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A90DD" w14:textId="428B9B76" w:rsidR="007E2481" w:rsidRPr="00E72303" w:rsidRDefault="0040430A" w:rsidP="007B178E">
      <w:pPr>
        <w:pStyle w:val="1stParagraph"/>
        <w:jc w:val="center"/>
        <w:rPr>
          <w:b/>
          <w:bCs/>
          <w:szCs w:val="24"/>
        </w:rPr>
      </w:pPr>
      <w:r w:rsidRPr="00E72303">
        <w:rPr>
          <w:b/>
          <w:bCs/>
          <w:szCs w:val="24"/>
        </w:rPr>
        <w:t xml:space="preserve"> </w:t>
      </w:r>
      <w:r w:rsidR="005D7C2E" w:rsidRPr="00E72303">
        <w:rPr>
          <w:b/>
          <w:bCs/>
          <w:szCs w:val="24"/>
        </w:rPr>
        <w:t>A Maximum Log-likelihood Based</w:t>
      </w:r>
      <w:r w:rsidR="00EE5B51" w:rsidRPr="00E72303">
        <w:rPr>
          <w:b/>
          <w:bCs/>
          <w:szCs w:val="24"/>
        </w:rPr>
        <w:t xml:space="preserve"> Data Fusion Model for Estimating Household’s Vehicle Purchase Decision</w:t>
      </w:r>
    </w:p>
    <w:p w14:paraId="6C22791D" w14:textId="77777777" w:rsidR="00511264" w:rsidRPr="00E72303" w:rsidRDefault="00511264" w:rsidP="007B178E">
      <w:pPr>
        <w:pStyle w:val="1stParagraph"/>
        <w:jc w:val="center"/>
        <w:rPr>
          <w:b/>
          <w:bCs/>
          <w:szCs w:val="24"/>
        </w:rPr>
      </w:pPr>
    </w:p>
    <w:p w14:paraId="03B90935" w14:textId="77777777" w:rsidR="00511264" w:rsidRPr="00E72303" w:rsidRDefault="00511264" w:rsidP="007B178E">
      <w:pPr>
        <w:pStyle w:val="1stParagraph"/>
        <w:jc w:val="center"/>
        <w:rPr>
          <w:b/>
          <w:bCs/>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72303" w:rsidRPr="00E72303" w14:paraId="7BAC9ADC" w14:textId="77777777" w:rsidTr="008F1023">
        <w:trPr>
          <w:jc w:val="center"/>
        </w:trPr>
        <w:tc>
          <w:tcPr>
            <w:tcW w:w="4675" w:type="dxa"/>
            <w:vAlign w:val="center"/>
          </w:tcPr>
          <w:p w14:paraId="7FFF5FC0" w14:textId="0E3E15B6" w:rsidR="00D2407C" w:rsidRPr="00E72303" w:rsidRDefault="00D2407C" w:rsidP="007B178E">
            <w:pPr>
              <w:pStyle w:val="1stParagraph"/>
              <w:jc w:val="center"/>
              <w:rPr>
                <w:rFonts w:cs="Times New Roman"/>
                <w:b/>
                <w:bCs/>
                <w:szCs w:val="24"/>
              </w:rPr>
            </w:pPr>
            <w:bookmarkStart w:id="0" w:name="_Hlk110213227"/>
            <w:r w:rsidRPr="00E72303">
              <w:rPr>
                <w:rFonts w:cs="Times New Roman"/>
                <w:b/>
                <w:bCs/>
                <w:szCs w:val="24"/>
              </w:rPr>
              <w:t>Md Istiak Jahan</w:t>
            </w:r>
            <w:r w:rsidR="00EB12F9" w:rsidRPr="00E72303">
              <w:rPr>
                <w:rStyle w:val="FootnoteReference"/>
                <w:rFonts w:cs="Times New Roman"/>
                <w:b/>
                <w:bCs/>
                <w:szCs w:val="24"/>
              </w:rPr>
              <w:footnoteReference w:customMarkFollows="1" w:id="2"/>
              <w:sym w:font="Symbol" w:char="F02A"/>
            </w:r>
          </w:p>
          <w:bookmarkEnd w:id="0"/>
          <w:p w14:paraId="030956BE" w14:textId="77777777" w:rsidR="00D2407C" w:rsidRPr="00E72303" w:rsidRDefault="00D2407C" w:rsidP="007B178E">
            <w:pPr>
              <w:pStyle w:val="1stParagraph"/>
              <w:jc w:val="center"/>
              <w:rPr>
                <w:rFonts w:cs="Times New Roman"/>
                <w:szCs w:val="24"/>
              </w:rPr>
            </w:pPr>
            <w:r w:rsidRPr="00E72303">
              <w:rPr>
                <w:rFonts w:cs="Times New Roman"/>
                <w:szCs w:val="24"/>
              </w:rPr>
              <w:t>Graduate Student</w:t>
            </w:r>
          </w:p>
          <w:p w14:paraId="18517298" w14:textId="77777777" w:rsidR="00D2407C" w:rsidRPr="00E72303" w:rsidRDefault="00D2407C" w:rsidP="007B178E">
            <w:pPr>
              <w:pStyle w:val="1stParagraph"/>
              <w:jc w:val="center"/>
              <w:rPr>
                <w:rFonts w:cs="Times New Roman"/>
                <w:szCs w:val="24"/>
              </w:rPr>
            </w:pPr>
            <w:r w:rsidRPr="00E72303">
              <w:rPr>
                <w:rFonts w:cs="Times New Roman"/>
                <w:szCs w:val="24"/>
              </w:rPr>
              <w:t>Department of Civil, Environmental &amp; Construction Engineering</w:t>
            </w:r>
          </w:p>
          <w:p w14:paraId="07A5F436" w14:textId="77777777" w:rsidR="00D2407C" w:rsidRPr="00E72303" w:rsidRDefault="00D2407C" w:rsidP="007B178E">
            <w:pPr>
              <w:pStyle w:val="1stParagraph"/>
              <w:jc w:val="center"/>
              <w:rPr>
                <w:rFonts w:cs="Times New Roman"/>
                <w:szCs w:val="24"/>
              </w:rPr>
            </w:pPr>
            <w:r w:rsidRPr="00E72303">
              <w:rPr>
                <w:rFonts w:cs="Times New Roman"/>
                <w:szCs w:val="24"/>
              </w:rPr>
              <w:t>University of Central Florida</w:t>
            </w:r>
          </w:p>
          <w:p w14:paraId="04966E93" w14:textId="44003CAA" w:rsidR="00D2407C" w:rsidRPr="00E72303" w:rsidRDefault="00D2407C" w:rsidP="007B178E">
            <w:pPr>
              <w:pStyle w:val="1stParagraph"/>
              <w:jc w:val="center"/>
              <w:rPr>
                <w:rFonts w:cs="Times New Roman"/>
                <w:szCs w:val="24"/>
              </w:rPr>
            </w:pPr>
            <w:r w:rsidRPr="00E72303">
              <w:rPr>
                <w:rFonts w:cs="Times New Roman"/>
                <w:szCs w:val="24"/>
              </w:rPr>
              <w:t>Email: md</w:t>
            </w:r>
            <w:r w:rsidR="000F53A6" w:rsidRPr="00E72303">
              <w:rPr>
                <w:rFonts w:cs="Times New Roman"/>
                <w:szCs w:val="24"/>
              </w:rPr>
              <w:t>.</w:t>
            </w:r>
            <w:r w:rsidRPr="00E72303">
              <w:rPr>
                <w:rFonts w:cs="Times New Roman"/>
                <w:szCs w:val="24"/>
              </w:rPr>
              <w:t>istiak</w:t>
            </w:r>
            <w:r w:rsidR="000F53A6" w:rsidRPr="00E72303">
              <w:rPr>
                <w:rFonts w:cs="Times New Roman"/>
                <w:szCs w:val="24"/>
              </w:rPr>
              <w:t>.</w:t>
            </w:r>
            <w:r w:rsidRPr="00E72303">
              <w:rPr>
                <w:rFonts w:cs="Times New Roman"/>
                <w:szCs w:val="24"/>
              </w:rPr>
              <w:t>jahan@ucf.edu</w:t>
            </w:r>
          </w:p>
          <w:p w14:paraId="2E438591" w14:textId="75D35D8C" w:rsidR="00D2407C" w:rsidRPr="00E72303" w:rsidRDefault="00D2407C" w:rsidP="007B178E">
            <w:pPr>
              <w:pStyle w:val="1stParagraph"/>
              <w:jc w:val="center"/>
              <w:rPr>
                <w:rFonts w:cs="Times New Roman"/>
                <w:szCs w:val="24"/>
              </w:rPr>
            </w:pPr>
            <w:proofErr w:type="spellStart"/>
            <w:r w:rsidRPr="00E72303">
              <w:rPr>
                <w:rFonts w:cs="Times New Roman"/>
                <w:szCs w:val="24"/>
              </w:rPr>
              <w:t>ORCiD</w:t>
            </w:r>
            <w:proofErr w:type="spellEnd"/>
            <w:r w:rsidRPr="00E72303">
              <w:rPr>
                <w:rFonts w:cs="Times New Roman"/>
                <w:szCs w:val="24"/>
              </w:rPr>
              <w:t xml:space="preserve"> number: 0000-0002-4056-7816</w:t>
            </w:r>
          </w:p>
        </w:tc>
        <w:tc>
          <w:tcPr>
            <w:tcW w:w="4675" w:type="dxa"/>
            <w:vAlign w:val="center"/>
          </w:tcPr>
          <w:p w14:paraId="0C181CA0" w14:textId="1B61BA88" w:rsidR="00D2407C" w:rsidRPr="00E72303" w:rsidRDefault="00D2407C" w:rsidP="007B178E">
            <w:pPr>
              <w:pStyle w:val="1stParagraph"/>
              <w:jc w:val="center"/>
              <w:rPr>
                <w:rFonts w:cs="Times New Roman"/>
                <w:b/>
                <w:bCs/>
                <w:szCs w:val="24"/>
              </w:rPr>
            </w:pPr>
            <w:r w:rsidRPr="00E72303">
              <w:rPr>
                <w:rFonts w:cs="Times New Roman"/>
                <w:b/>
                <w:bCs/>
                <w:szCs w:val="24"/>
              </w:rPr>
              <w:t>Tanmoy Bhowmik</w:t>
            </w:r>
          </w:p>
          <w:p w14:paraId="477207E6" w14:textId="77777777" w:rsidR="000F294C" w:rsidRPr="00E72303" w:rsidRDefault="000F294C" w:rsidP="007B178E">
            <w:pPr>
              <w:pStyle w:val="1stParagraph"/>
              <w:jc w:val="center"/>
              <w:rPr>
                <w:rFonts w:cs="Times New Roman"/>
                <w:szCs w:val="24"/>
              </w:rPr>
            </w:pPr>
            <w:r w:rsidRPr="00E72303">
              <w:rPr>
                <w:rFonts w:cs="Times New Roman"/>
                <w:szCs w:val="24"/>
              </w:rPr>
              <w:t>Assistant Professor</w:t>
            </w:r>
          </w:p>
          <w:p w14:paraId="7CA5D1FA" w14:textId="77777777" w:rsidR="000F294C" w:rsidRPr="00E72303" w:rsidRDefault="000F294C" w:rsidP="007B178E">
            <w:pPr>
              <w:pStyle w:val="1stParagraph"/>
              <w:jc w:val="center"/>
              <w:rPr>
                <w:rFonts w:cs="Times New Roman"/>
                <w:szCs w:val="24"/>
              </w:rPr>
            </w:pPr>
            <w:r w:rsidRPr="00E72303">
              <w:rPr>
                <w:rFonts w:cs="Times New Roman"/>
                <w:szCs w:val="24"/>
              </w:rPr>
              <w:t>Department of Civil, and Environmental Engineering</w:t>
            </w:r>
          </w:p>
          <w:p w14:paraId="00755258" w14:textId="77777777" w:rsidR="000F294C" w:rsidRPr="00E72303" w:rsidRDefault="000F294C" w:rsidP="007B178E">
            <w:pPr>
              <w:pStyle w:val="1stParagraph"/>
              <w:jc w:val="center"/>
              <w:rPr>
                <w:rFonts w:cs="Times New Roman"/>
                <w:szCs w:val="24"/>
              </w:rPr>
            </w:pPr>
            <w:r w:rsidRPr="00E72303">
              <w:rPr>
                <w:rFonts w:cs="Times New Roman"/>
                <w:szCs w:val="24"/>
              </w:rPr>
              <w:t>Portland State University</w:t>
            </w:r>
          </w:p>
          <w:p w14:paraId="2FE4AA73" w14:textId="77777777" w:rsidR="000F294C" w:rsidRPr="00E72303" w:rsidRDefault="000F294C" w:rsidP="007B178E">
            <w:pPr>
              <w:pStyle w:val="1stParagraph"/>
              <w:jc w:val="center"/>
              <w:rPr>
                <w:rFonts w:cs="Times New Roman"/>
                <w:szCs w:val="24"/>
              </w:rPr>
            </w:pPr>
            <w:r w:rsidRPr="00E72303">
              <w:rPr>
                <w:rFonts w:cs="Times New Roman"/>
                <w:szCs w:val="24"/>
              </w:rPr>
              <w:t>Tel: 407-927-6574</w:t>
            </w:r>
          </w:p>
          <w:p w14:paraId="726BC542" w14:textId="77777777" w:rsidR="000F294C" w:rsidRPr="00E72303" w:rsidRDefault="000F294C" w:rsidP="007B178E">
            <w:pPr>
              <w:pStyle w:val="1stParagraph"/>
              <w:jc w:val="center"/>
              <w:rPr>
                <w:rFonts w:cs="Times New Roman"/>
                <w:szCs w:val="24"/>
              </w:rPr>
            </w:pPr>
            <w:r w:rsidRPr="00E72303">
              <w:rPr>
                <w:rFonts w:cs="Times New Roman"/>
                <w:szCs w:val="24"/>
              </w:rPr>
              <w:t xml:space="preserve">Email: tbhowmik@pdx.edu </w:t>
            </w:r>
          </w:p>
          <w:p w14:paraId="6F67C990" w14:textId="2B7B6542" w:rsidR="00D2407C" w:rsidRPr="00E72303" w:rsidRDefault="000F294C" w:rsidP="007B178E">
            <w:pPr>
              <w:pStyle w:val="1stParagraph"/>
              <w:jc w:val="center"/>
              <w:rPr>
                <w:rFonts w:cs="Times New Roman"/>
                <w:szCs w:val="24"/>
              </w:rPr>
            </w:pPr>
            <w:proofErr w:type="spellStart"/>
            <w:r w:rsidRPr="00E72303">
              <w:rPr>
                <w:rFonts w:cs="Times New Roman"/>
                <w:szCs w:val="24"/>
              </w:rPr>
              <w:t>ORCiD</w:t>
            </w:r>
            <w:proofErr w:type="spellEnd"/>
            <w:r w:rsidRPr="00E72303">
              <w:rPr>
                <w:rFonts w:cs="Times New Roman"/>
                <w:szCs w:val="24"/>
              </w:rPr>
              <w:t xml:space="preserve"> number: 0000-0002-0258-1692</w:t>
            </w:r>
          </w:p>
        </w:tc>
      </w:tr>
      <w:tr w:rsidR="00E72303" w:rsidRPr="00E72303" w14:paraId="79EE4896" w14:textId="77777777" w:rsidTr="008F1023">
        <w:trPr>
          <w:trHeight w:val="1584"/>
          <w:jc w:val="center"/>
        </w:trPr>
        <w:tc>
          <w:tcPr>
            <w:tcW w:w="4675" w:type="dxa"/>
            <w:vAlign w:val="center"/>
          </w:tcPr>
          <w:p w14:paraId="3D7A7A08" w14:textId="77777777" w:rsidR="003E3244" w:rsidRPr="00E72303" w:rsidRDefault="003E3244" w:rsidP="007B178E">
            <w:pPr>
              <w:pStyle w:val="1stParagraph"/>
              <w:jc w:val="center"/>
              <w:rPr>
                <w:rFonts w:cs="Times New Roman"/>
                <w:b/>
                <w:bCs/>
                <w:szCs w:val="24"/>
              </w:rPr>
            </w:pPr>
            <w:proofErr w:type="spellStart"/>
            <w:r w:rsidRPr="00E72303">
              <w:rPr>
                <w:rFonts w:cs="Times New Roman"/>
                <w:b/>
                <w:bCs/>
                <w:szCs w:val="24"/>
              </w:rPr>
              <w:t>Sachraa</w:t>
            </w:r>
            <w:proofErr w:type="spellEnd"/>
            <w:r w:rsidRPr="00E72303">
              <w:rPr>
                <w:rFonts w:cs="Times New Roman"/>
                <w:b/>
                <w:bCs/>
                <w:szCs w:val="24"/>
              </w:rPr>
              <w:t xml:space="preserve"> G. Borjigin</w:t>
            </w:r>
          </w:p>
          <w:p w14:paraId="1EA86484" w14:textId="77777777" w:rsidR="003E3244" w:rsidRPr="00E72303" w:rsidRDefault="003E3244" w:rsidP="007B178E">
            <w:pPr>
              <w:pStyle w:val="1stParagraph"/>
              <w:jc w:val="center"/>
              <w:rPr>
                <w:rFonts w:cs="Times New Roman"/>
                <w:szCs w:val="24"/>
              </w:rPr>
            </w:pPr>
            <w:r w:rsidRPr="00E72303">
              <w:rPr>
                <w:rFonts w:cs="Times New Roman"/>
                <w:szCs w:val="24"/>
              </w:rPr>
              <w:t>Maryland Transportation Institute</w:t>
            </w:r>
          </w:p>
          <w:p w14:paraId="3D24ED1A" w14:textId="77777777" w:rsidR="003E3244" w:rsidRPr="00E72303" w:rsidRDefault="003E3244" w:rsidP="007B178E">
            <w:pPr>
              <w:pStyle w:val="1stParagraph"/>
              <w:jc w:val="center"/>
              <w:rPr>
                <w:rFonts w:cs="Times New Roman"/>
                <w:szCs w:val="24"/>
              </w:rPr>
            </w:pPr>
            <w:r w:rsidRPr="00E72303">
              <w:rPr>
                <w:rFonts w:cs="Times New Roman"/>
                <w:szCs w:val="24"/>
              </w:rPr>
              <w:t>Department of Civil and Environmental Engineering</w:t>
            </w:r>
          </w:p>
          <w:p w14:paraId="4CA8CD6B" w14:textId="77777777" w:rsidR="003E3244" w:rsidRPr="00E72303" w:rsidRDefault="003E3244" w:rsidP="007B178E">
            <w:pPr>
              <w:pStyle w:val="1stParagraph"/>
              <w:jc w:val="center"/>
              <w:rPr>
                <w:rFonts w:cs="Times New Roman"/>
                <w:szCs w:val="24"/>
              </w:rPr>
            </w:pPr>
            <w:r w:rsidRPr="00E72303">
              <w:rPr>
                <w:rFonts w:cs="Times New Roman"/>
                <w:szCs w:val="24"/>
              </w:rPr>
              <w:t>University of Maryland, College Park</w:t>
            </w:r>
          </w:p>
          <w:p w14:paraId="02DD6CF3" w14:textId="77777777" w:rsidR="003E3244" w:rsidRPr="00E72303" w:rsidRDefault="003E3244" w:rsidP="007B178E">
            <w:pPr>
              <w:pStyle w:val="1stParagraph"/>
              <w:jc w:val="center"/>
              <w:rPr>
                <w:rFonts w:cs="Times New Roman"/>
                <w:szCs w:val="24"/>
              </w:rPr>
            </w:pPr>
            <w:r w:rsidRPr="00E72303">
              <w:rPr>
                <w:rFonts w:cs="Times New Roman"/>
                <w:szCs w:val="24"/>
              </w:rPr>
              <w:t>1173 Glenn L. Martin Hall</w:t>
            </w:r>
          </w:p>
          <w:p w14:paraId="03A9490C" w14:textId="77777777" w:rsidR="003E3244" w:rsidRPr="00E72303" w:rsidRDefault="003E3244" w:rsidP="007B178E">
            <w:pPr>
              <w:pStyle w:val="1stParagraph"/>
              <w:jc w:val="center"/>
              <w:rPr>
                <w:rFonts w:cs="Times New Roman"/>
                <w:szCs w:val="24"/>
              </w:rPr>
            </w:pPr>
            <w:r w:rsidRPr="00E72303">
              <w:rPr>
                <w:rFonts w:cs="Times New Roman"/>
                <w:szCs w:val="24"/>
              </w:rPr>
              <w:t>4298 Campus Dr, College Park, MD 20742</w:t>
            </w:r>
          </w:p>
          <w:p w14:paraId="10640FA1" w14:textId="77777777" w:rsidR="003E3244" w:rsidRPr="00E72303" w:rsidRDefault="003E3244" w:rsidP="007B178E">
            <w:pPr>
              <w:pStyle w:val="1stParagraph"/>
              <w:jc w:val="center"/>
              <w:rPr>
                <w:rFonts w:cs="Times New Roman"/>
                <w:szCs w:val="24"/>
              </w:rPr>
            </w:pPr>
            <w:r w:rsidRPr="00E72303">
              <w:rPr>
                <w:rFonts w:cs="Times New Roman"/>
                <w:szCs w:val="24"/>
              </w:rPr>
              <w:t>College Park, MD 20742</w:t>
            </w:r>
          </w:p>
          <w:p w14:paraId="27BDEC60" w14:textId="63F593A9" w:rsidR="00D2407C" w:rsidRPr="00E72303" w:rsidRDefault="003E3244" w:rsidP="007B178E">
            <w:pPr>
              <w:pStyle w:val="1stParagraph"/>
              <w:jc w:val="center"/>
              <w:rPr>
                <w:rFonts w:cs="Times New Roman"/>
                <w:szCs w:val="24"/>
              </w:rPr>
            </w:pPr>
            <w:r w:rsidRPr="00E72303">
              <w:rPr>
                <w:rFonts w:cs="Times New Roman"/>
                <w:szCs w:val="24"/>
              </w:rPr>
              <w:t xml:space="preserve">Email: </w:t>
            </w:r>
            <w:r w:rsidR="0070610D" w:rsidRPr="00E72303">
              <w:rPr>
                <w:rFonts w:cs="Times New Roman"/>
                <w:szCs w:val="24"/>
              </w:rPr>
              <w:t>sachraa@outlook.com</w:t>
            </w:r>
          </w:p>
        </w:tc>
        <w:tc>
          <w:tcPr>
            <w:tcW w:w="4675" w:type="dxa"/>
            <w:vAlign w:val="center"/>
          </w:tcPr>
          <w:p w14:paraId="4F897184" w14:textId="77777777" w:rsidR="003E3244" w:rsidRPr="00E72303" w:rsidRDefault="003E3244" w:rsidP="007B178E">
            <w:pPr>
              <w:pStyle w:val="1stParagraph"/>
              <w:jc w:val="center"/>
              <w:rPr>
                <w:rFonts w:cs="Times New Roman"/>
                <w:b/>
                <w:bCs/>
                <w:szCs w:val="24"/>
              </w:rPr>
            </w:pPr>
            <w:r w:rsidRPr="00E72303">
              <w:rPr>
                <w:rFonts w:cs="Times New Roman"/>
                <w:b/>
                <w:bCs/>
                <w:szCs w:val="24"/>
              </w:rPr>
              <w:t>Jiehong Lou</w:t>
            </w:r>
          </w:p>
          <w:p w14:paraId="66D4B263" w14:textId="77777777" w:rsidR="003E3244" w:rsidRPr="00E72303" w:rsidRDefault="003E3244" w:rsidP="007B178E">
            <w:pPr>
              <w:pStyle w:val="1stParagraph"/>
              <w:jc w:val="center"/>
              <w:rPr>
                <w:rFonts w:cs="Times New Roman"/>
                <w:szCs w:val="24"/>
              </w:rPr>
            </w:pPr>
            <w:r w:rsidRPr="00E72303">
              <w:rPr>
                <w:rFonts w:cs="Times New Roman"/>
                <w:szCs w:val="24"/>
              </w:rPr>
              <w:t>Assistant Research Professor</w:t>
            </w:r>
          </w:p>
          <w:p w14:paraId="08CC6D37" w14:textId="77777777" w:rsidR="003E3244" w:rsidRPr="00E72303" w:rsidRDefault="003E3244" w:rsidP="007B178E">
            <w:pPr>
              <w:pStyle w:val="1stParagraph"/>
              <w:jc w:val="center"/>
              <w:rPr>
                <w:rFonts w:cs="Times New Roman"/>
                <w:szCs w:val="24"/>
              </w:rPr>
            </w:pPr>
            <w:r w:rsidRPr="00E72303">
              <w:rPr>
                <w:rFonts w:cs="Times New Roman"/>
                <w:szCs w:val="24"/>
              </w:rPr>
              <w:t>Center for Global Sustainability</w:t>
            </w:r>
          </w:p>
          <w:p w14:paraId="25868404" w14:textId="77777777" w:rsidR="003E3244" w:rsidRPr="00E72303" w:rsidRDefault="003E3244" w:rsidP="007B178E">
            <w:pPr>
              <w:pStyle w:val="1stParagraph"/>
              <w:jc w:val="center"/>
              <w:rPr>
                <w:rFonts w:cs="Times New Roman"/>
                <w:szCs w:val="24"/>
              </w:rPr>
            </w:pPr>
            <w:r w:rsidRPr="00E72303">
              <w:rPr>
                <w:rFonts w:cs="Times New Roman"/>
                <w:szCs w:val="24"/>
              </w:rPr>
              <w:t>School of Public Policy</w:t>
            </w:r>
          </w:p>
          <w:p w14:paraId="3483474C" w14:textId="77777777" w:rsidR="003E3244" w:rsidRPr="00E72303" w:rsidRDefault="003E3244" w:rsidP="007B178E">
            <w:pPr>
              <w:pStyle w:val="1stParagraph"/>
              <w:jc w:val="center"/>
              <w:rPr>
                <w:rFonts w:cs="Times New Roman"/>
                <w:szCs w:val="24"/>
              </w:rPr>
            </w:pPr>
            <w:r w:rsidRPr="00E72303">
              <w:rPr>
                <w:rFonts w:cs="Times New Roman"/>
                <w:szCs w:val="24"/>
              </w:rPr>
              <w:t>University of Maryland, College Park</w:t>
            </w:r>
          </w:p>
          <w:p w14:paraId="2B531124" w14:textId="77777777" w:rsidR="003E3244" w:rsidRPr="00E72303" w:rsidRDefault="003E3244" w:rsidP="007B178E">
            <w:pPr>
              <w:pStyle w:val="1stParagraph"/>
              <w:jc w:val="center"/>
              <w:rPr>
                <w:rFonts w:cs="Times New Roman"/>
                <w:szCs w:val="24"/>
              </w:rPr>
            </w:pPr>
            <w:r w:rsidRPr="00E72303">
              <w:rPr>
                <w:rFonts w:cs="Times New Roman"/>
                <w:szCs w:val="24"/>
              </w:rPr>
              <w:t>7805 Regents Dr.</w:t>
            </w:r>
          </w:p>
          <w:p w14:paraId="2CC56673" w14:textId="77777777" w:rsidR="003E3244" w:rsidRPr="00E72303" w:rsidRDefault="003E3244" w:rsidP="007B178E">
            <w:pPr>
              <w:pStyle w:val="1stParagraph"/>
              <w:jc w:val="center"/>
              <w:rPr>
                <w:rFonts w:cs="Times New Roman"/>
                <w:szCs w:val="24"/>
              </w:rPr>
            </w:pPr>
            <w:r w:rsidRPr="00E72303">
              <w:rPr>
                <w:rFonts w:cs="Times New Roman"/>
                <w:szCs w:val="24"/>
              </w:rPr>
              <w:t>College Park, MD 20742</w:t>
            </w:r>
          </w:p>
          <w:p w14:paraId="3C21DB7E" w14:textId="2BF8117C" w:rsidR="00D2407C" w:rsidRPr="00E72303" w:rsidRDefault="003E3244" w:rsidP="007B178E">
            <w:pPr>
              <w:pStyle w:val="1stParagraph"/>
              <w:jc w:val="center"/>
              <w:rPr>
                <w:rFonts w:cs="Times New Roman"/>
                <w:szCs w:val="24"/>
              </w:rPr>
            </w:pPr>
            <w:r w:rsidRPr="00E72303">
              <w:rPr>
                <w:rFonts w:cs="Times New Roman"/>
                <w:szCs w:val="24"/>
              </w:rPr>
              <w:t xml:space="preserve">Email: </w:t>
            </w:r>
            <w:hyperlink r:id="rId8" w:history="1">
              <w:r w:rsidRPr="00E72303">
                <w:rPr>
                  <w:rStyle w:val="Hyperlink"/>
                  <w:rFonts w:cs="Times New Roman"/>
                  <w:color w:val="auto"/>
                  <w:szCs w:val="24"/>
                  <w:u w:val="none"/>
                </w:rPr>
                <w:t>jlou@umd.edu</w:t>
              </w:r>
            </w:hyperlink>
          </w:p>
        </w:tc>
      </w:tr>
      <w:tr w:rsidR="00E72303" w:rsidRPr="00E72303" w14:paraId="647CC310" w14:textId="77777777" w:rsidTr="008F1023">
        <w:trPr>
          <w:jc w:val="center"/>
        </w:trPr>
        <w:tc>
          <w:tcPr>
            <w:tcW w:w="4675" w:type="dxa"/>
            <w:vAlign w:val="center"/>
          </w:tcPr>
          <w:p w14:paraId="14C31F50" w14:textId="77777777" w:rsidR="003E3244" w:rsidRPr="00E72303" w:rsidRDefault="003E3244" w:rsidP="007B178E">
            <w:pPr>
              <w:pStyle w:val="1stParagraph"/>
              <w:jc w:val="center"/>
              <w:rPr>
                <w:rFonts w:cs="Times New Roman"/>
                <w:b/>
                <w:bCs/>
                <w:szCs w:val="24"/>
              </w:rPr>
            </w:pPr>
            <w:bookmarkStart w:id="1" w:name="_Hlk110292870"/>
            <w:r w:rsidRPr="00E72303">
              <w:rPr>
                <w:rFonts w:cs="Times New Roman"/>
                <w:b/>
                <w:bCs/>
                <w:szCs w:val="24"/>
              </w:rPr>
              <w:t>Nneoma M. Ugwu</w:t>
            </w:r>
          </w:p>
          <w:bookmarkEnd w:id="1"/>
          <w:p w14:paraId="1C94EAD9" w14:textId="77777777" w:rsidR="003E3244" w:rsidRPr="00E72303" w:rsidRDefault="003E3244" w:rsidP="007B178E">
            <w:pPr>
              <w:pStyle w:val="1stParagraph"/>
              <w:jc w:val="center"/>
              <w:rPr>
                <w:rFonts w:cs="Times New Roman"/>
                <w:szCs w:val="24"/>
              </w:rPr>
            </w:pPr>
            <w:r w:rsidRPr="00E72303">
              <w:rPr>
                <w:rFonts w:cs="Times New Roman"/>
                <w:szCs w:val="24"/>
              </w:rPr>
              <w:t>Graduate Student</w:t>
            </w:r>
          </w:p>
          <w:p w14:paraId="180255CF" w14:textId="77777777" w:rsidR="003E3244" w:rsidRPr="00E72303" w:rsidRDefault="003E3244" w:rsidP="007B178E">
            <w:pPr>
              <w:pStyle w:val="1stParagraph"/>
              <w:jc w:val="center"/>
              <w:rPr>
                <w:rFonts w:cs="Times New Roman"/>
                <w:szCs w:val="24"/>
              </w:rPr>
            </w:pPr>
            <w:r w:rsidRPr="00E72303">
              <w:rPr>
                <w:rFonts w:cs="Times New Roman"/>
                <w:szCs w:val="24"/>
              </w:rPr>
              <w:t>Department of Civil and Environmental Engineering</w:t>
            </w:r>
          </w:p>
          <w:p w14:paraId="2CA2AAE9" w14:textId="77777777" w:rsidR="003E3244" w:rsidRPr="00E72303" w:rsidRDefault="003E3244" w:rsidP="007B178E">
            <w:pPr>
              <w:pStyle w:val="1stParagraph"/>
              <w:jc w:val="center"/>
              <w:rPr>
                <w:rFonts w:cs="Times New Roman"/>
                <w:szCs w:val="24"/>
              </w:rPr>
            </w:pPr>
            <w:r w:rsidRPr="00E72303">
              <w:rPr>
                <w:rFonts w:cs="Times New Roman"/>
                <w:szCs w:val="24"/>
              </w:rPr>
              <w:t>University of Maryland, College Park</w:t>
            </w:r>
          </w:p>
          <w:p w14:paraId="778375C5" w14:textId="77777777" w:rsidR="003E3244" w:rsidRPr="00E72303" w:rsidRDefault="003E3244" w:rsidP="007B178E">
            <w:pPr>
              <w:pStyle w:val="1stParagraph"/>
              <w:jc w:val="center"/>
              <w:rPr>
                <w:rFonts w:cs="Times New Roman"/>
                <w:szCs w:val="24"/>
              </w:rPr>
            </w:pPr>
            <w:r w:rsidRPr="00E72303">
              <w:rPr>
                <w:rFonts w:cs="Times New Roman"/>
                <w:szCs w:val="24"/>
              </w:rPr>
              <w:t>1173 Glenn L. Martin Hall</w:t>
            </w:r>
          </w:p>
          <w:p w14:paraId="094A1190" w14:textId="77777777" w:rsidR="003E3244" w:rsidRPr="00E72303" w:rsidRDefault="003E3244" w:rsidP="007B178E">
            <w:pPr>
              <w:pStyle w:val="1stParagraph"/>
              <w:jc w:val="center"/>
              <w:rPr>
                <w:rFonts w:cs="Times New Roman"/>
                <w:szCs w:val="24"/>
              </w:rPr>
            </w:pPr>
            <w:r w:rsidRPr="00E72303">
              <w:rPr>
                <w:rFonts w:cs="Times New Roman"/>
                <w:szCs w:val="24"/>
              </w:rPr>
              <w:t>4298 Campus Dr, College Park, MD 20742</w:t>
            </w:r>
          </w:p>
          <w:p w14:paraId="45639E33" w14:textId="799072B0" w:rsidR="00D2407C" w:rsidRPr="00E72303" w:rsidRDefault="003E3244" w:rsidP="007B178E">
            <w:pPr>
              <w:pStyle w:val="1stParagraph"/>
              <w:jc w:val="center"/>
              <w:rPr>
                <w:rFonts w:cs="Times New Roman"/>
                <w:szCs w:val="24"/>
              </w:rPr>
            </w:pPr>
            <w:r w:rsidRPr="00E72303">
              <w:rPr>
                <w:rFonts w:cs="Times New Roman"/>
                <w:szCs w:val="24"/>
              </w:rPr>
              <w:t>Email: nugwu@umd.edu</w:t>
            </w:r>
          </w:p>
        </w:tc>
        <w:tc>
          <w:tcPr>
            <w:tcW w:w="4675" w:type="dxa"/>
            <w:vAlign w:val="center"/>
          </w:tcPr>
          <w:p w14:paraId="07D406FD" w14:textId="77777777" w:rsidR="003E3244" w:rsidRPr="00E72303" w:rsidRDefault="003E3244" w:rsidP="007B178E">
            <w:pPr>
              <w:pStyle w:val="1stParagraph"/>
              <w:jc w:val="center"/>
              <w:rPr>
                <w:rFonts w:cs="Times New Roman"/>
                <w:b/>
                <w:bCs/>
                <w:szCs w:val="24"/>
              </w:rPr>
            </w:pPr>
            <w:r w:rsidRPr="00E72303">
              <w:rPr>
                <w:rFonts w:cs="Times New Roman"/>
                <w:b/>
                <w:bCs/>
                <w:szCs w:val="24"/>
              </w:rPr>
              <w:t>Deb A. Niemeier</w:t>
            </w:r>
          </w:p>
          <w:p w14:paraId="6C1CC191" w14:textId="77777777" w:rsidR="003E3244" w:rsidRPr="00E72303" w:rsidRDefault="003E3244" w:rsidP="007B178E">
            <w:pPr>
              <w:pStyle w:val="1stParagraph"/>
              <w:jc w:val="center"/>
              <w:rPr>
                <w:rFonts w:cs="Times New Roman"/>
                <w:szCs w:val="24"/>
              </w:rPr>
            </w:pPr>
            <w:r w:rsidRPr="00E72303">
              <w:rPr>
                <w:rFonts w:cs="Times New Roman"/>
                <w:szCs w:val="24"/>
              </w:rPr>
              <w:t>Clark Distinguished Chair Professor</w:t>
            </w:r>
          </w:p>
          <w:p w14:paraId="263AD795" w14:textId="77777777" w:rsidR="003E3244" w:rsidRPr="00E72303" w:rsidRDefault="003E3244" w:rsidP="007B178E">
            <w:pPr>
              <w:pStyle w:val="1stParagraph"/>
              <w:jc w:val="center"/>
              <w:rPr>
                <w:rFonts w:cs="Times New Roman"/>
                <w:szCs w:val="24"/>
              </w:rPr>
            </w:pPr>
            <w:r w:rsidRPr="00E72303">
              <w:rPr>
                <w:rFonts w:cs="Times New Roman"/>
                <w:szCs w:val="24"/>
              </w:rPr>
              <w:t>Director, Center for Disaster Resilience</w:t>
            </w:r>
          </w:p>
          <w:p w14:paraId="3A6D2501" w14:textId="77777777" w:rsidR="003E3244" w:rsidRPr="00E72303" w:rsidRDefault="003E3244" w:rsidP="007B178E">
            <w:pPr>
              <w:pStyle w:val="1stParagraph"/>
              <w:jc w:val="center"/>
              <w:rPr>
                <w:rFonts w:cs="Times New Roman"/>
                <w:szCs w:val="24"/>
              </w:rPr>
            </w:pPr>
            <w:r w:rsidRPr="00E72303">
              <w:rPr>
                <w:rFonts w:cs="Times New Roman"/>
                <w:szCs w:val="24"/>
              </w:rPr>
              <w:t>Maryland Transportation Institute</w:t>
            </w:r>
          </w:p>
          <w:p w14:paraId="083161D9" w14:textId="77777777" w:rsidR="003E3244" w:rsidRPr="00E72303" w:rsidRDefault="003E3244" w:rsidP="007B178E">
            <w:pPr>
              <w:pStyle w:val="1stParagraph"/>
              <w:jc w:val="center"/>
              <w:rPr>
                <w:rFonts w:cs="Times New Roman"/>
                <w:szCs w:val="24"/>
              </w:rPr>
            </w:pPr>
            <w:r w:rsidRPr="00E72303">
              <w:rPr>
                <w:rFonts w:cs="Times New Roman"/>
                <w:szCs w:val="24"/>
              </w:rPr>
              <w:t>Department of Civil and Environmental Engineering</w:t>
            </w:r>
          </w:p>
          <w:p w14:paraId="69836412" w14:textId="77777777" w:rsidR="003E3244" w:rsidRPr="00E72303" w:rsidRDefault="003E3244" w:rsidP="007B178E">
            <w:pPr>
              <w:pStyle w:val="1stParagraph"/>
              <w:jc w:val="center"/>
              <w:rPr>
                <w:rFonts w:cs="Times New Roman"/>
                <w:szCs w:val="24"/>
              </w:rPr>
            </w:pPr>
            <w:r w:rsidRPr="00E72303">
              <w:rPr>
                <w:rFonts w:cs="Times New Roman"/>
                <w:szCs w:val="24"/>
              </w:rPr>
              <w:t>University of Maryland, College Park</w:t>
            </w:r>
          </w:p>
          <w:p w14:paraId="70A3071D" w14:textId="77777777" w:rsidR="003E3244" w:rsidRPr="00E72303" w:rsidRDefault="003E3244" w:rsidP="007B178E">
            <w:pPr>
              <w:pStyle w:val="1stParagraph"/>
              <w:jc w:val="center"/>
              <w:rPr>
                <w:rFonts w:cs="Times New Roman"/>
                <w:szCs w:val="24"/>
              </w:rPr>
            </w:pPr>
            <w:r w:rsidRPr="00E72303">
              <w:rPr>
                <w:rFonts w:cs="Times New Roman"/>
                <w:szCs w:val="24"/>
              </w:rPr>
              <w:t>1173 Glenn L. Martin Hall</w:t>
            </w:r>
          </w:p>
          <w:p w14:paraId="3954D80D" w14:textId="77777777" w:rsidR="003E3244" w:rsidRPr="00E72303" w:rsidRDefault="003E3244" w:rsidP="007B178E">
            <w:pPr>
              <w:pStyle w:val="1stParagraph"/>
              <w:jc w:val="center"/>
              <w:rPr>
                <w:rFonts w:cs="Times New Roman"/>
                <w:szCs w:val="24"/>
              </w:rPr>
            </w:pPr>
            <w:r w:rsidRPr="00E72303">
              <w:rPr>
                <w:rFonts w:cs="Times New Roman"/>
                <w:szCs w:val="24"/>
              </w:rPr>
              <w:t>4298 Campus Dr, College Park, MD 20742</w:t>
            </w:r>
          </w:p>
          <w:p w14:paraId="06F12F96" w14:textId="77777777" w:rsidR="003E3244" w:rsidRPr="00E72303" w:rsidRDefault="003E3244" w:rsidP="007B178E">
            <w:pPr>
              <w:pStyle w:val="1stParagraph"/>
              <w:jc w:val="center"/>
              <w:rPr>
                <w:rFonts w:cs="Times New Roman"/>
                <w:szCs w:val="24"/>
              </w:rPr>
            </w:pPr>
            <w:r w:rsidRPr="00E72303">
              <w:rPr>
                <w:rFonts w:cs="Times New Roman"/>
                <w:szCs w:val="24"/>
              </w:rPr>
              <w:t>College Park, MD 20742</w:t>
            </w:r>
          </w:p>
          <w:p w14:paraId="6DBB3E31" w14:textId="77777777" w:rsidR="003E3244" w:rsidRPr="00E72303" w:rsidRDefault="003E3244" w:rsidP="007B178E">
            <w:pPr>
              <w:pStyle w:val="1stParagraph"/>
              <w:jc w:val="center"/>
              <w:rPr>
                <w:rFonts w:cs="Times New Roman"/>
                <w:szCs w:val="24"/>
              </w:rPr>
            </w:pPr>
            <w:r w:rsidRPr="00E72303">
              <w:rPr>
                <w:rFonts w:cs="Times New Roman"/>
                <w:szCs w:val="24"/>
              </w:rPr>
              <w:t>Email: niemeier@umd.edu</w:t>
            </w:r>
          </w:p>
          <w:p w14:paraId="19B8E02C" w14:textId="33447CA9" w:rsidR="00D2407C" w:rsidRPr="00E72303" w:rsidRDefault="00D2407C" w:rsidP="007B178E">
            <w:pPr>
              <w:pStyle w:val="1stParagraph"/>
              <w:jc w:val="center"/>
              <w:rPr>
                <w:rFonts w:cs="Times New Roman"/>
                <w:szCs w:val="24"/>
              </w:rPr>
            </w:pPr>
          </w:p>
        </w:tc>
      </w:tr>
      <w:tr w:rsidR="00D425F1" w:rsidRPr="00E72303" w14:paraId="1BB974C7" w14:textId="77777777" w:rsidTr="008F1023">
        <w:trPr>
          <w:jc w:val="center"/>
        </w:trPr>
        <w:tc>
          <w:tcPr>
            <w:tcW w:w="9350" w:type="dxa"/>
            <w:gridSpan w:val="2"/>
            <w:vAlign w:val="center"/>
          </w:tcPr>
          <w:p w14:paraId="397A2C1D" w14:textId="77777777" w:rsidR="003E3244" w:rsidRPr="00E72303" w:rsidRDefault="003E3244" w:rsidP="007B178E">
            <w:pPr>
              <w:pStyle w:val="1stParagraph"/>
              <w:jc w:val="center"/>
              <w:rPr>
                <w:rFonts w:cs="Times New Roman"/>
                <w:b/>
                <w:bCs/>
                <w:szCs w:val="24"/>
              </w:rPr>
            </w:pPr>
            <w:r w:rsidRPr="00E72303">
              <w:rPr>
                <w:rFonts w:cs="Times New Roman"/>
                <w:b/>
                <w:bCs/>
                <w:szCs w:val="24"/>
              </w:rPr>
              <w:t xml:space="preserve">Naveen </w:t>
            </w:r>
            <w:proofErr w:type="spellStart"/>
            <w:r w:rsidRPr="00E72303">
              <w:rPr>
                <w:rFonts w:cs="Times New Roman"/>
                <w:b/>
                <w:bCs/>
                <w:szCs w:val="24"/>
              </w:rPr>
              <w:t>Eluru</w:t>
            </w:r>
            <w:proofErr w:type="spellEnd"/>
          </w:p>
          <w:p w14:paraId="1EFB350C" w14:textId="77777777" w:rsidR="003E3244" w:rsidRPr="00E72303" w:rsidRDefault="003E3244" w:rsidP="007B178E">
            <w:pPr>
              <w:pStyle w:val="1stParagraph"/>
              <w:jc w:val="center"/>
              <w:rPr>
                <w:rFonts w:cs="Times New Roman"/>
                <w:szCs w:val="24"/>
              </w:rPr>
            </w:pPr>
            <w:r w:rsidRPr="00E72303">
              <w:rPr>
                <w:rFonts w:cs="Times New Roman"/>
                <w:szCs w:val="24"/>
              </w:rPr>
              <w:t>Professor</w:t>
            </w:r>
          </w:p>
          <w:p w14:paraId="262EBF0A" w14:textId="77777777" w:rsidR="003E3244" w:rsidRPr="00E72303" w:rsidRDefault="003E3244" w:rsidP="007B178E">
            <w:pPr>
              <w:pStyle w:val="1stParagraph"/>
              <w:jc w:val="center"/>
              <w:rPr>
                <w:rFonts w:cs="Times New Roman"/>
                <w:szCs w:val="24"/>
              </w:rPr>
            </w:pPr>
            <w:r w:rsidRPr="00E72303">
              <w:rPr>
                <w:rFonts w:cs="Times New Roman"/>
                <w:szCs w:val="24"/>
              </w:rPr>
              <w:t>Department of Civil, Environmental &amp; Construction Engineering</w:t>
            </w:r>
          </w:p>
          <w:p w14:paraId="6A63A684" w14:textId="77777777" w:rsidR="003E3244" w:rsidRPr="00E72303" w:rsidRDefault="003E3244" w:rsidP="007B178E">
            <w:pPr>
              <w:pStyle w:val="1stParagraph"/>
              <w:jc w:val="center"/>
              <w:rPr>
                <w:rFonts w:cs="Times New Roman"/>
                <w:szCs w:val="24"/>
              </w:rPr>
            </w:pPr>
            <w:r w:rsidRPr="00E72303">
              <w:rPr>
                <w:rFonts w:cs="Times New Roman"/>
                <w:szCs w:val="24"/>
              </w:rPr>
              <w:t>University of Central Florida</w:t>
            </w:r>
          </w:p>
          <w:p w14:paraId="0BF80586" w14:textId="77777777" w:rsidR="003E3244" w:rsidRPr="00E72303" w:rsidRDefault="003E3244" w:rsidP="007B178E">
            <w:pPr>
              <w:pStyle w:val="1stParagraph"/>
              <w:jc w:val="center"/>
              <w:rPr>
                <w:rFonts w:cs="Times New Roman"/>
                <w:szCs w:val="24"/>
              </w:rPr>
            </w:pPr>
            <w:r w:rsidRPr="00E72303">
              <w:rPr>
                <w:rFonts w:cs="Times New Roman"/>
                <w:szCs w:val="24"/>
              </w:rPr>
              <w:t>Tel: 407-823-4815</w:t>
            </w:r>
          </w:p>
          <w:p w14:paraId="44F8AAEA" w14:textId="77777777" w:rsidR="003E3244" w:rsidRPr="00E72303" w:rsidRDefault="003E3244" w:rsidP="007B178E">
            <w:pPr>
              <w:pStyle w:val="1stParagraph"/>
              <w:jc w:val="center"/>
              <w:rPr>
                <w:rFonts w:cs="Times New Roman"/>
                <w:szCs w:val="24"/>
              </w:rPr>
            </w:pPr>
            <w:r w:rsidRPr="00E72303">
              <w:rPr>
                <w:rFonts w:cs="Times New Roman"/>
                <w:szCs w:val="24"/>
              </w:rPr>
              <w:t>Email: naveen.eluru@ucf.edu</w:t>
            </w:r>
          </w:p>
          <w:p w14:paraId="12C1A68E" w14:textId="77777777" w:rsidR="003E3244" w:rsidRPr="00E72303" w:rsidRDefault="003E3244" w:rsidP="007B178E">
            <w:pPr>
              <w:pStyle w:val="1stParagraph"/>
              <w:jc w:val="center"/>
              <w:rPr>
                <w:rFonts w:cs="Times New Roman"/>
                <w:szCs w:val="24"/>
              </w:rPr>
            </w:pPr>
            <w:proofErr w:type="spellStart"/>
            <w:r w:rsidRPr="00E72303">
              <w:rPr>
                <w:rFonts w:cs="Times New Roman"/>
                <w:szCs w:val="24"/>
              </w:rPr>
              <w:t>ORCiD</w:t>
            </w:r>
            <w:proofErr w:type="spellEnd"/>
            <w:r w:rsidRPr="00E72303">
              <w:rPr>
                <w:rFonts w:cs="Times New Roman"/>
                <w:szCs w:val="24"/>
              </w:rPr>
              <w:t xml:space="preserve"> number: 0000-0003-1221-4113</w:t>
            </w:r>
          </w:p>
          <w:p w14:paraId="31FB9615" w14:textId="77777777" w:rsidR="00E21FA0" w:rsidRPr="00E72303" w:rsidRDefault="00E21FA0" w:rsidP="007B178E">
            <w:pPr>
              <w:pStyle w:val="1stParagraph"/>
              <w:jc w:val="center"/>
              <w:rPr>
                <w:rFonts w:cs="Times New Roman"/>
                <w:szCs w:val="24"/>
              </w:rPr>
            </w:pPr>
          </w:p>
        </w:tc>
      </w:tr>
    </w:tbl>
    <w:p w14:paraId="7AF9C4D8" w14:textId="77777777" w:rsidR="007B178E" w:rsidRPr="00E72303" w:rsidRDefault="007B178E" w:rsidP="007B178E">
      <w:pPr>
        <w:pStyle w:val="1stParagraph"/>
        <w:rPr>
          <w:b/>
          <w:bCs/>
        </w:rPr>
      </w:pPr>
    </w:p>
    <w:p w14:paraId="4572DB52" w14:textId="77777777" w:rsidR="007B178E" w:rsidRPr="00E72303" w:rsidRDefault="007B178E" w:rsidP="007B178E">
      <w:pPr>
        <w:pStyle w:val="1stParagraph"/>
        <w:rPr>
          <w:b/>
          <w:bCs/>
        </w:rPr>
      </w:pPr>
    </w:p>
    <w:p w14:paraId="40BAC147" w14:textId="77777777" w:rsidR="00511264" w:rsidRPr="00E72303" w:rsidRDefault="00511264" w:rsidP="007B178E">
      <w:pPr>
        <w:pStyle w:val="1stParagraph"/>
        <w:rPr>
          <w:b/>
          <w:bCs/>
        </w:rPr>
      </w:pPr>
    </w:p>
    <w:p w14:paraId="6D092C99" w14:textId="77777777" w:rsidR="00511264" w:rsidRPr="00E72303" w:rsidRDefault="00511264" w:rsidP="007B178E">
      <w:pPr>
        <w:pStyle w:val="1stParagraph"/>
        <w:rPr>
          <w:b/>
          <w:bCs/>
        </w:rPr>
      </w:pPr>
    </w:p>
    <w:p w14:paraId="56AA3510" w14:textId="5BF0F1A3" w:rsidR="001E089B" w:rsidRPr="00E72303" w:rsidRDefault="001E089B" w:rsidP="007B178E">
      <w:pPr>
        <w:pStyle w:val="1stParagraph"/>
        <w:rPr>
          <w:b/>
          <w:bCs/>
        </w:rPr>
      </w:pPr>
      <w:r w:rsidRPr="00E72303">
        <w:rPr>
          <w:b/>
          <w:bCs/>
        </w:rPr>
        <w:lastRenderedPageBreak/>
        <w:t>Abstract</w:t>
      </w:r>
    </w:p>
    <w:p w14:paraId="7D91F04B" w14:textId="5A8074FB" w:rsidR="009458D6" w:rsidRPr="00E72303" w:rsidRDefault="00EE5B51" w:rsidP="007B178E">
      <w:pPr>
        <w:ind w:firstLine="0"/>
      </w:pPr>
      <w:r w:rsidRPr="00E72303">
        <w:t xml:space="preserve">The growing adoption of </w:t>
      </w:r>
      <w:r w:rsidR="00F50AE9" w:rsidRPr="00E72303">
        <w:t>e</w:t>
      </w:r>
      <w:r w:rsidRPr="00E72303">
        <w:t xml:space="preserve">lectric </w:t>
      </w:r>
      <w:r w:rsidR="00F50AE9" w:rsidRPr="00E72303">
        <w:t>v</w:t>
      </w:r>
      <w:r w:rsidRPr="00E72303">
        <w:t xml:space="preserve">ehicles offers a potential opportunity to reduce transportation sector carbon footprint. In our research, we studied vehicle purchase behavior with emphasis on </w:t>
      </w:r>
      <w:r w:rsidR="006847E3" w:rsidRPr="00E72303">
        <w:t xml:space="preserve">alternative fuel vehicles </w:t>
      </w:r>
      <w:r w:rsidRPr="00E72303">
        <w:t>using the vehicle purchase dataset “</w:t>
      </w:r>
      <w:proofErr w:type="spellStart"/>
      <w:r w:rsidRPr="00E72303">
        <w:t>MaritzCX</w:t>
      </w:r>
      <w:proofErr w:type="spellEnd"/>
      <w:r w:rsidRPr="00E72303">
        <w:t xml:space="preserve"> New Vehicle Customer Study”. This study consisted of a two-level modeling approach. In the first level, purchasing of a new car was estimated based on consumers socio-economic characteristics. In the second level, the vehicle purchase decision was examined with a two-dimensional dependent variable – vehicle type and fuel type. We employ</w:t>
      </w:r>
      <w:r w:rsidR="009458D6" w:rsidRPr="00E72303">
        <w:t>ed</w:t>
      </w:r>
      <w:r w:rsidRPr="00E72303">
        <w:t xml:space="preserve"> an innovative data fusion approach that probabilistically links records from </w:t>
      </w:r>
      <w:proofErr w:type="spellStart"/>
      <w:r w:rsidRPr="00E72303">
        <w:t>MaritzCX</w:t>
      </w:r>
      <w:proofErr w:type="spellEnd"/>
      <w:r w:rsidRPr="00E72303">
        <w:t xml:space="preserve"> with records from National Household Travel Survey with the objective of identifying new independent variables affecting the decision process while maximizing data fit. The final model included a host of independent variables from four different categories: vehicle-</w:t>
      </w:r>
      <w:r w:rsidR="009458D6" w:rsidRPr="00E72303">
        <w:t>, economic-</w:t>
      </w:r>
      <w:r w:rsidRPr="00E72303">
        <w:t>,</w:t>
      </w:r>
      <w:r w:rsidR="009458D6" w:rsidRPr="00E72303">
        <w:t xml:space="preserve"> </w:t>
      </w:r>
      <w:r w:rsidRPr="00E72303">
        <w:t xml:space="preserve">demographic-, </w:t>
      </w:r>
      <w:r w:rsidR="009458D6" w:rsidRPr="00E72303">
        <w:t>and spatial</w:t>
      </w:r>
      <w:r w:rsidRPr="00E72303">
        <w:t xml:space="preserve"> characteristics. Finally, the model results were employed to conduct an elasticity analysis.</w:t>
      </w:r>
    </w:p>
    <w:p w14:paraId="3095B085" w14:textId="77777777" w:rsidR="00AB2197" w:rsidRPr="00E72303" w:rsidRDefault="00AB2197" w:rsidP="007B178E">
      <w:pPr>
        <w:ind w:firstLine="0"/>
      </w:pPr>
    </w:p>
    <w:p w14:paraId="6F311678" w14:textId="096833A5" w:rsidR="008E2D05" w:rsidRPr="00E72303" w:rsidRDefault="008E2D05" w:rsidP="007B178E">
      <w:pPr>
        <w:ind w:firstLine="0"/>
        <w:rPr>
          <w:rFonts w:cs="Times New Roman"/>
          <w:szCs w:val="24"/>
        </w:rPr>
      </w:pPr>
      <w:r w:rsidRPr="00E72303">
        <w:rPr>
          <w:rFonts w:cs="Times New Roman"/>
          <w:b/>
          <w:bCs/>
          <w:szCs w:val="24"/>
        </w:rPr>
        <w:t>Keywords:</w:t>
      </w:r>
      <w:r w:rsidRPr="00E72303">
        <w:rPr>
          <w:rFonts w:cs="Times New Roman"/>
          <w:szCs w:val="24"/>
        </w:rPr>
        <w:t xml:space="preserve"> Vehicle purchase decision, fuel type, vehicle type, </w:t>
      </w:r>
      <w:r w:rsidR="004664DF" w:rsidRPr="00E72303">
        <w:rPr>
          <w:rFonts w:cs="Times New Roman"/>
          <w:szCs w:val="24"/>
        </w:rPr>
        <w:t xml:space="preserve">fusion model, </w:t>
      </w:r>
      <w:proofErr w:type="spellStart"/>
      <w:r w:rsidR="004664DF" w:rsidRPr="00E72303">
        <w:rPr>
          <w:rFonts w:cs="Times New Roman"/>
          <w:szCs w:val="24"/>
        </w:rPr>
        <w:t>MaritzCX</w:t>
      </w:r>
      <w:proofErr w:type="spellEnd"/>
      <w:r w:rsidR="004664DF" w:rsidRPr="00E72303">
        <w:rPr>
          <w:rFonts w:cs="Times New Roman"/>
          <w:szCs w:val="24"/>
        </w:rPr>
        <w:t xml:space="preserve"> data</w:t>
      </w:r>
    </w:p>
    <w:p w14:paraId="774BAB24" w14:textId="3EC4776F" w:rsidR="00AA44FB" w:rsidRPr="00E72303" w:rsidRDefault="00AA44FB" w:rsidP="007B178E">
      <w:pPr>
        <w:rPr>
          <w:rFonts w:cs="Times New Roman"/>
          <w:szCs w:val="24"/>
        </w:rPr>
      </w:pPr>
    </w:p>
    <w:p w14:paraId="1226BBF6" w14:textId="49F32C5E" w:rsidR="00AA44FB" w:rsidRPr="00E72303" w:rsidRDefault="00AA44FB" w:rsidP="007B178E">
      <w:pPr>
        <w:rPr>
          <w:rFonts w:cs="Times New Roman"/>
          <w:szCs w:val="24"/>
        </w:rPr>
      </w:pPr>
    </w:p>
    <w:p w14:paraId="10F9E8B2" w14:textId="23CF3E30" w:rsidR="00AA44FB" w:rsidRPr="00E72303" w:rsidRDefault="00AA44FB" w:rsidP="007B178E">
      <w:pPr>
        <w:rPr>
          <w:rFonts w:cs="Times New Roman"/>
          <w:szCs w:val="24"/>
        </w:rPr>
      </w:pPr>
    </w:p>
    <w:p w14:paraId="60918A15" w14:textId="3ACCB9F2" w:rsidR="00AA44FB" w:rsidRPr="00E72303" w:rsidRDefault="00AA44FB" w:rsidP="007B178E">
      <w:pPr>
        <w:rPr>
          <w:rFonts w:cs="Times New Roman"/>
          <w:szCs w:val="24"/>
        </w:rPr>
      </w:pPr>
    </w:p>
    <w:p w14:paraId="5B065E4A" w14:textId="57755DA4" w:rsidR="00AA44FB" w:rsidRPr="00E72303" w:rsidRDefault="00AA44FB" w:rsidP="007B178E">
      <w:pPr>
        <w:rPr>
          <w:rFonts w:cs="Times New Roman"/>
          <w:szCs w:val="24"/>
        </w:rPr>
      </w:pPr>
    </w:p>
    <w:p w14:paraId="294E40B8" w14:textId="77777777" w:rsidR="00C64D4B" w:rsidRPr="00E72303" w:rsidRDefault="00C64D4B" w:rsidP="007B178E">
      <w:pPr>
        <w:rPr>
          <w:rFonts w:cs="Times New Roman"/>
          <w:szCs w:val="24"/>
        </w:rPr>
      </w:pPr>
    </w:p>
    <w:p w14:paraId="28EAE726" w14:textId="77777777" w:rsidR="007B178E" w:rsidRPr="00E72303" w:rsidRDefault="007B178E" w:rsidP="007B178E">
      <w:pPr>
        <w:rPr>
          <w:rFonts w:cs="Times New Roman"/>
          <w:szCs w:val="24"/>
        </w:rPr>
      </w:pPr>
    </w:p>
    <w:p w14:paraId="5CD41634" w14:textId="77777777" w:rsidR="007B178E" w:rsidRPr="00E72303" w:rsidRDefault="007B178E" w:rsidP="007B178E">
      <w:pPr>
        <w:rPr>
          <w:rFonts w:cs="Times New Roman"/>
          <w:szCs w:val="24"/>
        </w:rPr>
      </w:pPr>
    </w:p>
    <w:p w14:paraId="7B4A88B9" w14:textId="77777777" w:rsidR="007B178E" w:rsidRPr="00E72303" w:rsidRDefault="007B178E" w:rsidP="007B178E">
      <w:pPr>
        <w:rPr>
          <w:rFonts w:cs="Times New Roman"/>
          <w:szCs w:val="24"/>
        </w:rPr>
      </w:pPr>
    </w:p>
    <w:p w14:paraId="2A163F59" w14:textId="77777777" w:rsidR="007B178E" w:rsidRPr="00E72303" w:rsidRDefault="007B178E" w:rsidP="007B178E">
      <w:pPr>
        <w:rPr>
          <w:rFonts w:cs="Times New Roman"/>
          <w:szCs w:val="24"/>
        </w:rPr>
      </w:pPr>
    </w:p>
    <w:p w14:paraId="418917F5" w14:textId="77777777" w:rsidR="007B178E" w:rsidRPr="00E72303" w:rsidRDefault="007B178E" w:rsidP="007B178E">
      <w:pPr>
        <w:rPr>
          <w:rFonts w:cs="Times New Roman"/>
          <w:szCs w:val="24"/>
        </w:rPr>
      </w:pPr>
    </w:p>
    <w:p w14:paraId="196D8A81" w14:textId="77777777" w:rsidR="007B178E" w:rsidRPr="00E72303" w:rsidRDefault="007B178E" w:rsidP="007B178E">
      <w:pPr>
        <w:rPr>
          <w:rFonts w:cs="Times New Roman"/>
          <w:szCs w:val="24"/>
        </w:rPr>
      </w:pPr>
    </w:p>
    <w:p w14:paraId="1B5CE02E" w14:textId="77777777" w:rsidR="007B178E" w:rsidRPr="00E72303" w:rsidRDefault="007B178E" w:rsidP="007B178E">
      <w:pPr>
        <w:rPr>
          <w:rFonts w:cs="Times New Roman"/>
          <w:szCs w:val="24"/>
        </w:rPr>
      </w:pPr>
    </w:p>
    <w:p w14:paraId="0DD230EA" w14:textId="77777777" w:rsidR="007B178E" w:rsidRPr="00E72303" w:rsidRDefault="007B178E" w:rsidP="007B178E">
      <w:pPr>
        <w:rPr>
          <w:rFonts w:cs="Times New Roman"/>
          <w:szCs w:val="24"/>
        </w:rPr>
      </w:pPr>
    </w:p>
    <w:p w14:paraId="1328F7F0" w14:textId="77777777" w:rsidR="007B178E" w:rsidRPr="00E72303" w:rsidRDefault="007B178E" w:rsidP="007B178E">
      <w:pPr>
        <w:rPr>
          <w:rFonts w:cs="Times New Roman"/>
          <w:szCs w:val="24"/>
        </w:rPr>
      </w:pPr>
    </w:p>
    <w:p w14:paraId="4B0CBB9C" w14:textId="77777777" w:rsidR="007B178E" w:rsidRPr="00E72303" w:rsidRDefault="007B178E" w:rsidP="007B178E">
      <w:pPr>
        <w:rPr>
          <w:rFonts w:cs="Times New Roman"/>
          <w:szCs w:val="24"/>
        </w:rPr>
      </w:pPr>
    </w:p>
    <w:p w14:paraId="38FDB353" w14:textId="77777777" w:rsidR="007B178E" w:rsidRPr="00E72303" w:rsidRDefault="007B178E" w:rsidP="007B178E">
      <w:pPr>
        <w:rPr>
          <w:rFonts w:cs="Times New Roman"/>
          <w:szCs w:val="24"/>
        </w:rPr>
      </w:pPr>
    </w:p>
    <w:p w14:paraId="2C3C151D" w14:textId="77777777" w:rsidR="007B178E" w:rsidRPr="00E72303" w:rsidRDefault="007B178E" w:rsidP="007B178E">
      <w:pPr>
        <w:rPr>
          <w:rFonts w:cs="Times New Roman"/>
          <w:szCs w:val="24"/>
        </w:rPr>
      </w:pPr>
    </w:p>
    <w:p w14:paraId="57FD6A6E" w14:textId="77777777" w:rsidR="007B178E" w:rsidRPr="00E72303" w:rsidRDefault="007B178E" w:rsidP="007B178E">
      <w:pPr>
        <w:rPr>
          <w:rFonts w:cs="Times New Roman"/>
          <w:szCs w:val="24"/>
        </w:rPr>
      </w:pPr>
    </w:p>
    <w:p w14:paraId="49236CAE" w14:textId="77777777" w:rsidR="007B178E" w:rsidRPr="00E72303" w:rsidRDefault="007B178E" w:rsidP="007B178E">
      <w:pPr>
        <w:rPr>
          <w:rFonts w:cs="Times New Roman"/>
          <w:szCs w:val="24"/>
        </w:rPr>
      </w:pPr>
    </w:p>
    <w:p w14:paraId="1884B638" w14:textId="77777777" w:rsidR="007B178E" w:rsidRPr="00E72303" w:rsidRDefault="007B178E" w:rsidP="007B178E">
      <w:pPr>
        <w:pStyle w:val="1stParagraph"/>
      </w:pPr>
    </w:p>
    <w:p w14:paraId="7AC65B73" w14:textId="77777777" w:rsidR="007B178E" w:rsidRPr="00E72303" w:rsidRDefault="007B178E" w:rsidP="007B178E">
      <w:pPr>
        <w:pStyle w:val="1stParagraph"/>
      </w:pPr>
    </w:p>
    <w:p w14:paraId="673C0C91" w14:textId="77777777" w:rsidR="007B178E" w:rsidRPr="00E72303" w:rsidRDefault="007B178E" w:rsidP="007B178E">
      <w:pPr>
        <w:pStyle w:val="1stParagraph"/>
      </w:pPr>
    </w:p>
    <w:p w14:paraId="01063372" w14:textId="77777777" w:rsidR="007B178E" w:rsidRPr="00E72303" w:rsidRDefault="007B178E" w:rsidP="007B178E">
      <w:pPr>
        <w:pStyle w:val="1stParagraph"/>
      </w:pPr>
    </w:p>
    <w:p w14:paraId="7E66586F" w14:textId="77777777" w:rsidR="007B178E" w:rsidRPr="00E72303" w:rsidRDefault="007B178E" w:rsidP="007B178E">
      <w:pPr>
        <w:pStyle w:val="1stParagraph"/>
      </w:pPr>
    </w:p>
    <w:p w14:paraId="4472AC5C" w14:textId="77777777" w:rsidR="007B178E" w:rsidRPr="00E72303" w:rsidRDefault="007B178E" w:rsidP="007B178E">
      <w:pPr>
        <w:pStyle w:val="1stParagraph"/>
      </w:pPr>
    </w:p>
    <w:p w14:paraId="7C417D63" w14:textId="77777777" w:rsidR="007B178E" w:rsidRPr="00E72303" w:rsidRDefault="007B178E" w:rsidP="007B178E">
      <w:pPr>
        <w:pStyle w:val="1stParagraph"/>
      </w:pPr>
    </w:p>
    <w:p w14:paraId="73C9EF16" w14:textId="77777777" w:rsidR="007B178E" w:rsidRPr="00E72303" w:rsidRDefault="007B178E" w:rsidP="007B178E">
      <w:pPr>
        <w:pStyle w:val="1stParagraph"/>
      </w:pPr>
    </w:p>
    <w:p w14:paraId="4E00A1E5" w14:textId="77777777" w:rsidR="007B178E" w:rsidRPr="00E72303" w:rsidRDefault="007B178E" w:rsidP="007B178E">
      <w:pPr>
        <w:pStyle w:val="1stParagraph"/>
      </w:pPr>
    </w:p>
    <w:p w14:paraId="293E527A" w14:textId="77777777" w:rsidR="00511264" w:rsidRPr="00E72303" w:rsidRDefault="00511264" w:rsidP="007B178E">
      <w:pPr>
        <w:pStyle w:val="1stParagraph"/>
      </w:pPr>
    </w:p>
    <w:p w14:paraId="0C27A3AA" w14:textId="13EAF5D6" w:rsidR="008C37E9" w:rsidRPr="00E72303" w:rsidRDefault="00BA1139" w:rsidP="007B178E">
      <w:pPr>
        <w:pStyle w:val="Heading1"/>
        <w:rPr>
          <w:color w:val="auto"/>
        </w:rPr>
      </w:pPr>
      <w:r w:rsidRPr="00E72303">
        <w:rPr>
          <w:color w:val="auto"/>
        </w:rPr>
        <w:lastRenderedPageBreak/>
        <w:t>Background</w:t>
      </w:r>
    </w:p>
    <w:p w14:paraId="38CED2FC" w14:textId="3A7F6168" w:rsidR="00D2616A" w:rsidRPr="00E72303" w:rsidRDefault="00D2616A" w:rsidP="007B178E">
      <w:pPr>
        <w:pStyle w:val="1stParagraph"/>
      </w:pPr>
      <w:r w:rsidRPr="00E72303">
        <w:t xml:space="preserve">In the United States, the over-reliance on personal automobile </w:t>
      </w:r>
      <w:r w:rsidR="001E19E9" w:rsidRPr="00E72303">
        <w:t xml:space="preserve">for mobility needs </w:t>
      </w:r>
      <w:r w:rsidRPr="00E72303">
        <w:t xml:space="preserve">is well recognized. </w:t>
      </w:r>
      <w:r w:rsidR="00ED3DC6" w:rsidRPr="00E72303">
        <w:t>T</w:t>
      </w:r>
      <w:r w:rsidRPr="00E72303">
        <w:t>he number of households reported to own at least one vehicle has increase</w:t>
      </w:r>
      <w:r w:rsidR="001E19E9" w:rsidRPr="00E72303">
        <w:t>d</w:t>
      </w:r>
      <w:r w:rsidRPr="00E72303">
        <w:t xml:space="preserve"> from </w:t>
      </w:r>
      <w:r w:rsidR="00185601" w:rsidRPr="00E72303">
        <w:t>86.5</w:t>
      </w:r>
      <w:r w:rsidRPr="00E72303">
        <w:t xml:space="preserve">% in </w:t>
      </w:r>
      <w:r w:rsidR="00185601" w:rsidRPr="00E72303">
        <w:t>1983</w:t>
      </w:r>
      <w:r w:rsidRPr="00E72303">
        <w:t xml:space="preserve"> to 91.</w:t>
      </w:r>
      <w:r w:rsidR="002E7737" w:rsidRPr="00E72303">
        <w:t>1</w:t>
      </w:r>
      <w:r w:rsidRPr="00E72303">
        <w:t>% in 20</w:t>
      </w:r>
      <w:r w:rsidR="002E7737" w:rsidRPr="00E72303">
        <w:t>17</w:t>
      </w:r>
      <w:r w:rsidR="00404FC2" w:rsidRPr="00E72303">
        <w:t xml:space="preserve"> </w:t>
      </w:r>
      <w:r w:rsidR="00404FC2" w:rsidRPr="00E72303">
        <w:fldChar w:fldCharType="begin" w:fldLock="1"/>
      </w:r>
      <w:r w:rsidR="00151AD7" w:rsidRPr="00E72303">
        <w:instrText>ADDIN CSL_CITATION {"citationItems":[{"id":"ITEM-1","itemData":{"abstract":"US. The survey series (conducted since 1969) includes demographic data on households, people, vehicles, and detailed information on daily travel by all modes of transportation and for all purposes. NHTS survey data are collected from a sample of households and expanded to provide estimates of trips and miles of travel by travel mode, trip purpose, and other important attributes. When combined with historical data from the earlier surveys (1969, 1977, 1983, 1990, and 1995 NPTS and the 2001 NHTS, 2009 NHTS, and 2017 NHTS) these data serve as a rich source of information on the trends in travel over time. This report summarizes trends in household and personal travel patterns, including information on changes to the household-based vehicle fleet and commuting patterns. The report begins with a summary of the changes in the population, demographics, and related travel. Next, travel trends are examined at the household level, including differences between different areas of the US and by household income, for example. Next, changes in travel are summarized at the person-level, including trips by purpose and miles of travel by age and sex. Following sections detail changes in vehicle availability and usage, commute travel patterns, temporal distribution, and the travel of special populations. The 2017 NHTS was conducted with major changes in sampling strategy (an address-based sample compared to previous land-line random-digit sample) and methodology (Web-based self-reports compared to previous computer-aided interviewing). These and other critical changes are summarized here in Appendix A and in the data documentation at https://nhts.ornl.gov/. Researchers and data users are cautioned to do their best to assess how the change in methods may affect their estimates and to caution their readers about these critical changes in the data series.","author":[{"dropping-particle":"","family":"Mcguckin","given":"N","non-dropping-particle":"","parse-names":false,"suffix":""},{"dropping-particle":"","family":"Fucci","given":"A","non-dropping-particle":"","parse-names":false,"suffix":""},{"dropping-particle":"","family":"Jenkins","given":"Daniel E","non-dropping-particle":"","parse-names":false,"suffix":""}],"id":"ITEM-1","issued":{"date-parts":[["2018"]]},"number-of-pages":"1969-2017","title":"Summary of Travel Trends: 2017 National Household Travel Survey","type":"report"},"uris":["http://www.mendeley.com/documents/?uuid=afcaac74-ae83-3953-9354-758960817439"]}],"mendeley":{"formattedCitation":"(Mcguckin et al., 2018)","manualFormatting":"(Mcguckin et al., 2018)","plainTextFormattedCitation":"(Mcguckin et al., 2018)","previouslyFormattedCitation":"(Mcguckin et al., 2018)"},"properties":{"noteIndex":0},"schema":"https://github.com/citation-style-language/schema/raw/master/csl-citation.json"}</w:instrText>
      </w:r>
      <w:r w:rsidR="00404FC2" w:rsidRPr="00E72303">
        <w:fldChar w:fldCharType="separate"/>
      </w:r>
      <w:r w:rsidR="00B11099" w:rsidRPr="00E72303">
        <w:rPr>
          <w:noProof/>
        </w:rPr>
        <w:t xml:space="preserve">(Mcguckin </w:t>
      </w:r>
      <w:r w:rsidR="00D30BAA" w:rsidRPr="00E72303">
        <w:rPr>
          <w:noProof/>
        </w:rPr>
        <w:t>et al.</w:t>
      </w:r>
      <w:r w:rsidR="00B11099" w:rsidRPr="00E72303">
        <w:rPr>
          <w:noProof/>
        </w:rPr>
        <w:t>, 2018)</w:t>
      </w:r>
      <w:r w:rsidR="00404FC2" w:rsidRPr="00E72303">
        <w:fldChar w:fldCharType="end"/>
      </w:r>
      <w:r w:rsidR="006854D5" w:rsidRPr="00E72303">
        <w:t>.</w:t>
      </w:r>
      <w:r w:rsidR="001E0D13" w:rsidRPr="00E72303">
        <w:t xml:space="preserve"> </w:t>
      </w:r>
      <w:r w:rsidR="00841F84" w:rsidRPr="00E72303">
        <w:t>The</w:t>
      </w:r>
      <w:r w:rsidR="007D7672" w:rsidRPr="00E72303">
        <w:t xml:space="preserve"> over-</w:t>
      </w:r>
      <w:r w:rsidR="00841F84" w:rsidRPr="00E72303">
        <w:t xml:space="preserve">reliance on </w:t>
      </w:r>
      <w:r w:rsidR="00F71F0B" w:rsidRPr="00E72303">
        <w:t>automobiles</w:t>
      </w:r>
      <w:r w:rsidR="00841F84" w:rsidRPr="00E72303">
        <w:t xml:space="preserve"> has </w:t>
      </w:r>
      <w:r w:rsidR="0027079E" w:rsidRPr="00E72303">
        <w:t xml:space="preserve">economic and environmental implications. On the economic front, over reliance contributes to </w:t>
      </w:r>
      <w:r w:rsidR="00DA071D" w:rsidRPr="00E72303">
        <w:t xml:space="preserve">increase in household expenditure in response to gas prices, </w:t>
      </w:r>
      <w:r w:rsidR="00215B1A" w:rsidRPr="00E72303">
        <w:t xml:space="preserve">congestion related losses (time and money), </w:t>
      </w:r>
      <w:r w:rsidR="00DA071D" w:rsidRPr="00E72303">
        <w:t>suburban sprawl and i</w:t>
      </w:r>
      <w:r w:rsidR="007D7672" w:rsidRPr="00E72303">
        <w:t>ncreased i</w:t>
      </w:r>
      <w:r w:rsidR="00DA071D" w:rsidRPr="00E72303">
        <w:t>nfrastructure construction and maintenance costs</w:t>
      </w:r>
      <w:r w:rsidR="00F6736A" w:rsidRPr="00E72303">
        <w:t xml:space="preserve"> </w:t>
      </w:r>
      <w:r w:rsidR="00F6736A" w:rsidRPr="00E72303">
        <w:fldChar w:fldCharType="begin" w:fldLock="1"/>
      </w:r>
      <w:r w:rsidR="00151AD7" w:rsidRPr="00E72303">
        <w:instrText>ADDIN CSL_CITATION {"citationItems":[{"id":"ITEM-1","itemData":{"DOI":"10.14207/ejsd.2020.v9n3p157","ISSN":"22396101","abstract":"Just like the plough breaking the grounds, many Nigerian cities have been transformed by the use of automobile. Cars have reshaped public realms and remodelled the nation’s landscape, creating a bizarre unpaved erstwhile versions of centuries ago. The rising dominance of automobile is well revealed by their imprints on the urban land use patterns. However, the invention of the mass-produced automobile was a breakthrough in mobility and comfort; the modern consequences of its heavy use has led to a dramatic increase in accident death rates, the use of fossil fuels, social isolation, community disconnection, obesity, environmental pollution, urban sprawl and urban decay. This research, therefore provides an insight into some of the causes of over-dependence on automobile and its impact on the lives of city dwellers using Achara Layout in Enugu as a case study. The target goal is to proffer solution to remedy this obvious lack of foresight on urban transportation system. Using a descriptive research method that utilizes both primary and secondary data, the study through surveys, x-rayed why the increase in automobile dependence. Furthermore, it reveals that although the use of automobile is advantageous, the consequence of over dependency is far more overwhelming. The research results note that four fundamental policies will address successfully and specifically automobile dependency imposed by local conditions. It concludes that the gross accommodation of urban land to automobile be redressed and the expensive sterility of excessive motorized traffic be eliminated and advocates for an eco-friendly alternative means of city transportation.","author":[{"dropping-particle":"","family":"Okeke","given":"Francis O.","non-dropping-particle":"","parse-names":false,"suffix":""},{"dropping-particle":"","family":"Okosun","given":"Andy E.","non-dropping-particle":"","parse-names":false,"suffix":""},{"dropping-particle":"","family":"Udeh","given":"Clifford A.","non-dropping-particle":"","parse-names":false,"suffix":""},{"dropping-particle":"","family":"Okekeogbu","given":"Chukwumezie J.","non-dropping-particle":"","parse-names":false,"suffix":""}],"container-title":"European Journal of Sustainable Development","id":"ITEM-1","issue":"3","issued":{"date-parts":[["2020"]]},"page":"157-178","title":"Cities for people: The dependency &amp; impact of automobile in the life of city dwellers","type":"article-journal","volume":"9"},"uris":["http://www.mendeley.com/documents/?uuid=d2c46d13-66cc-4d86-bcba-6ffaa9d4a1da"]},{"id":"ITEM-2","itemData":{"DOI":"10.25034/ijcua.2021.v5n1-6","ISSN":"2475-6164","abstract":"The interaction between transport, land-uses and travel patterns produce diverse transportation problems in urban cities with traffic congestion as the most visible manifestation. Traffic congestion is a frequent phenomenon in most cities around the globe. This paper reviews the interaction between land-use traffic congestion through published literature. The objective of this study is to encourage and provide researchers with future research directions in land-use and traffic congestion. For this purpose, a systematic review was performed analysing 45 articles from the year 2010 to 2020 using a descriptive approach. Subsequently, the results of the study show that although the interaction between land-use and traffic congestion has gained currency in developed countries far less is known on this subject in developing parts of the world, though new evidence is steadily accumulating. Consequently, limitations of this work are presented, opportunities are identified for future lines of research. Finally, the conclusion confirms the need for further research addressing the methodological concerns.","author":[{"dropping-particle":"","family":"Kanyepe","given":"James","non-dropping-particle":"","parse-names":false,"suffix":""},{"dropping-particle":"","family":"Tukuta","given":"Marian","non-dropping-particle":"","parse-names":false,"suffix":""},{"dropping-particle":"","family":"Chirisa","given":"Innocent","non-dropping-particle":"","parse-names":false,"suffix":""}],"container-title":"Journal of Contemporary Urban Affairs","id":"ITEM-2","issue":"1","issued":{"date-parts":[["2021"]]},"page":"77-84","title":"Urban Land-use and Traffic Congestion: Mapping the Interaction","type":"article-journal","volume":"5"},"uris":["http://www.mendeley.com/documents/?uuid=d3a49816-29ef-416b-931b-c6a85112129d"]}],"mendeley":{"formattedCitation":"(Kanyepe et al., 2021; Okeke et al., 2020)","manualFormatting":"(Okeke et al., 2020; Kanyepe et al. , 2021)","plainTextFormattedCitation":"(Kanyepe et al., 2021; Okeke et al., 2020)","previouslyFormattedCitation":"(Kanyepe et al., 2021; Okeke et al., 2020)"},"properties":{"noteIndex":0},"schema":"https://github.com/citation-style-language/schema/raw/master/csl-citation.json"}</w:instrText>
      </w:r>
      <w:r w:rsidR="00F6736A" w:rsidRPr="00E72303">
        <w:fldChar w:fldCharType="separate"/>
      </w:r>
      <w:r w:rsidR="00B11099" w:rsidRPr="00E72303">
        <w:rPr>
          <w:noProof/>
        </w:rPr>
        <w:t>(Okeke et al., 2020; Kanyepe</w:t>
      </w:r>
      <w:r w:rsidR="00D30BAA" w:rsidRPr="00E72303">
        <w:rPr>
          <w:noProof/>
        </w:rPr>
        <w:t xml:space="preserve"> et al. </w:t>
      </w:r>
      <w:r w:rsidR="00B11099" w:rsidRPr="00E72303">
        <w:rPr>
          <w:noProof/>
        </w:rPr>
        <w:t>, 2021)</w:t>
      </w:r>
      <w:r w:rsidR="00F6736A" w:rsidRPr="00E72303">
        <w:fldChar w:fldCharType="end"/>
      </w:r>
      <w:r w:rsidR="00F6736A" w:rsidRPr="00E72303">
        <w:t>.</w:t>
      </w:r>
      <w:r w:rsidR="00DA071D" w:rsidRPr="00E72303">
        <w:t xml:space="preserve"> On the environmental front, increased reliance on automobile alternative results in significant </w:t>
      </w:r>
      <w:r w:rsidR="00471846" w:rsidRPr="00E72303">
        <w:t xml:space="preserve">noise and </w:t>
      </w:r>
      <w:r w:rsidR="00DA071D" w:rsidRPr="00E72303">
        <w:t>air pollution</w:t>
      </w:r>
      <w:r w:rsidR="00FA76ED" w:rsidRPr="00E72303">
        <w:t xml:space="preserve"> contributing to increased carbon emissions and worsening public health</w:t>
      </w:r>
      <w:r w:rsidR="00925F97" w:rsidRPr="00E72303">
        <w:t xml:space="preserve"> </w:t>
      </w:r>
      <w:r w:rsidR="00925F97" w:rsidRPr="00E72303">
        <w:fldChar w:fldCharType="begin" w:fldLock="1"/>
      </w:r>
      <w:r w:rsidR="00151AD7" w:rsidRPr="00E72303">
        <w:instrText>ADDIN CSL_CITATION {"citationItems":[{"id":"ITEM-1","itemData":{"DOI":"10.1016/S2214-109X(22)00069-9","ISSN":"2214109X","abstract":"City planning policies influence urban lifestyles, health, and sustainability. We assessed policy frameworks for city planning for 25 cities across 19 lower-middle-income countries, upper-middle-income countries, and high-income countries to identify whether these policies supported the creation of healthy and sustainable cities. We systematically collected policy data for evidence-informed indicators related to integrated city planning, air pollution, destination accessibility, distribution of employment, demand management, design, density, distance to public transport, and transport infrastructure investment. Content analysis identified strengths, limitations, and gaps in policies, allowing us to draw comparisons between cities. We found that despite common policy rhetoric endorsing healthy and sustainable cities, there was a paucity of measurable policy targets in place to achieve these aspirations. Some policies were inconsistent with public health evidence, which sets up barriers to achieving healthy and sustainable urban environments. There is an urgent need to build capacity for health-enhancing city planning policy and governance, particularly in low-income and middle-income countries.","author":[{"dropping-particle":"","family":"Lowe","given":"Melanie","non-dropping-particle":"","parse-names":false,"suffix":""},{"dropping-particle":"","family":"Adlakha","given":"Deepti","non-dropping-particle":"","parse-names":false,"suffix":""},{"dropping-particle":"","family":"Sallis","given":"James F.","non-dropping-particle":"","parse-names":false,"suffix":""},{"dropping-particle":"","family":"Salvo","given":"Deborah","non-dropping-particle":"","parse-names":false,"suffix":""},{"dropping-particle":"","family":"Cerin","given":"Ester","non-dropping-particle":"","parse-names":false,"suffix":""},{"dropping-particle":"","family":"Moudon","given":"Anne Vernez","non-dropping-particle":"","parse-names":false,"suffix":""},{"dropping-particle":"","family":"Higgs","given":"Carl","non-dropping-particle":"","parse-names":false,"suffix":""},{"dropping-particle":"","family":"Hinckson","given":"Erica","non-dropping-particle":"","parse-names":false,"suffix":""},{"dropping-particle":"","family":"Arundel","given":"Jonathan","non-dropping-particle":"","parse-names":false,"suffix":""},{"dropping-particle":"","family":"Boeing","given":"Geoff","non-dropping-particle":"","parse-names":false,"suffix":""},{"dropping-particle":"","family":"Liu","given":"Shiqin","non-dropping-particle":"","parse-names":false,"suffix":""},{"dropping-particle":"","family":"Mansour","given":"Perla","non-dropping-particle":"","parse-names":false,"suffix":""},{"dropping-particle":"","family":"Gebel","given":"Klaus","non-dropping-particle":"","parse-names":false,"suffix":""},{"dropping-particle":"","family":"Puig-Ribera","given":"Anna","non-dropping-particle":"","parse-names":false,"suffix":""},{"dropping-particle":"","family":"Mishra","given":"Pinki Bhasin","non-dropping-particle":"","parse-names":false,"suffix":""},{"dropping-particle":"","family":"Bozovic","given":"Tamara","non-dropping-particle":"","parse-names":false,"suffix":""},{"dropping-particle":"","family":"Carson","given":"Jacob","non-dropping-particle":"","parse-names":false,"suffix":""},{"dropping-particle":"","family":"Dygrýn","given":"Jan","non-dropping-particle":"","parse-names":false,"suffix":""},{"dropping-particle":"","family":"Florindo","given":"Alex A.","non-dropping-particle":"","parse-names":false,"suffix":""},{"dropping-particle":"","family":"Ho","given":"Thanh Phuong","non-dropping-particle":"","parse-names":false,"suffix":""},{"dropping-particle":"","family":"Hook","given":"Hannah","non-dropping-particle":"","parse-names":false,"suffix":""},{"dropping-particle":"","family":"Hunter","given":"Ruth F.","non-dropping-particle":"","parse-names":false,"suffix":""},{"dropping-particle":"","family":"Lai","given":"Poh Chin","non-dropping-particle":"","parse-names":false,"suffix":""},{"dropping-particle":"","family":"Molina-García","given":"Javier","non-dropping-particle":"","parse-names":false,"suffix":""},{"dropping-particle":"","family":"Nitvimol","given":"Kornsupha","non-dropping-particle":"","parse-names":false,"suffix":""},{"dropping-particle":"","family":"Oyeyemi","given":"Adewale L.","non-dropping-particle":"","parse-names":false,"suffix":""},{"dropping-particle":"","family":"Ramos","given":"Carolina D.G.","non-dropping-particle":"","parse-names":false,"suffix":""},{"dropping-particle":"","family":"Resendiz","given":"Eugen","non-dropping-particle":"","parse-names":false,"suffix":""},{"dropping-particle":"","family":"Troelsen","given":"Jens","non-dropping-particle":"","parse-names":false,"suffix":""},{"dropping-particle":"","family":"Witlox","given":"Frank","non-dropping-particle":"","parse-names":false,"suffix":""},{"dropping-particle":"","family":"Giles-Corti","given":"Billie","non-dropping-particle":"","parse-names":false,"suffix":""}],"container-title":"The Lancet Global Health","id":"ITEM-1","issue":"6","issued":{"date-parts":[["2022","6","1"]]},"page":"e882-e894","publisher":"Elsevier Ltd","title":"City planning policies to support health and sustainability: an international comparison of policy indicators for 25 cities","type":"article-journal","volume":"10"},"uris":["http://www.mendeley.com/documents/?uuid=76a7b77e-2563-3ed2-a912-ccf56fadd80b"]},{"id":"ITEM-2","itemData":{"DOI":"10.3390/ijerph17145061","ISSN":"16604601","PMID":"32674442","abstract":"Land use and transportation scenarios can help evaluate the potential impacts of urban compact or transit-oriented development (TOD). Future scenarios have been based on hypothetical developments or strategic planning but both have rarely been compared. We developed scenarios for an entire metropolitan area (Montreal, Canada) based on current strategic planning documents and contrasted their potential impacts on car use and active transportation with those of hypothetical scenarios. We collected and analyzed available urban planning documents and obtained key stakeholders’ appreciation of transportation projects on their likelihood of implementation. We allocated 2006–2031 population growth according to recent trends (Business As Usual, BAU) or alternative scenarios (current planning; all in TOD areas; all in central zone). A large-scale and representative Origin-Destination Household Travel Survey was used to measure travel behavior. To estimate distances travelled by mode, in 2031, we used a mode choice model and a simpler method based on the 2008 modal share across population strata. Compared to the BAU, the scenario that allocated all the new population in already dense areas and that also included numerous public transit projects (unlikely to be implemented in 2031), was associated with greatest impacts. Nonetheless such major changes had relatively minor impacts, inducing at most a 15% reduction in distances travel by car and a 28% increase in distances walked, compared to a BAU. Strategies that directly target the reduction of car use, not considered in the scenarios assessed, may be necessary to induce substantial changes in a metropolitan area.","author":[{"dropping-particle":"","family":"Morency","given":"Patrick","non-dropping-particle":"","parse-names":false,"suffix":""},{"dropping-particle":"","family":"Plante","given":"Céline","non-dropping-particle":"","parse-names":false,"suffix":""},{"dropping-particle":"","family":"Dubé","given":"Anne Sophie","non-dropping-particle":"","parse-names":false,"suffix":""},{"dropping-particle":"","family":"Goudreau","given":"Sophie","non-dropping-particle":"","parse-names":false,"suffix":""},{"dropping-particle":"","family":"Morency","given":"Catherine","non-dropping-particle":"","parse-names":false,"suffix":""},{"dropping-particle":"","family":"Bourbonnais","given":"Pierre Léo","non-dropping-particle":"","parse-names":false,"suffix":""},{"dropping-particle":"","family":"Eluru","given":"Naveen","non-dropping-particle":"","parse-names":false,"suffix":""},{"dropping-particle":"","family":"Tétreault","given":"Louis François","non-dropping-particle":"","parse-names":false,"suffix":""},{"dropping-particle":"","family":"Hatzopoulou","given":"Marianne","non-dropping-particle":"","parse-names":false,"suffix":""},{"dropping-particle":"","family":"Iraganaboina","given":"Naveen Chandra","non-dropping-particle":"","parse-names":false,"suffix":""},{"dropping-particle":"","family":"Bhowmik","given":"Tanmoy","non-dropping-particle":"","parse-names":false,"suffix":""},{"dropping-particle":"","family":"Smargiassi","given":"Audrey","non-dropping-particle":"","parse-names":false,"suffix":""}],"container-title":"International Journal of Environmental Research and Public Health","id":"ITEM-2","issue":"14","issued":{"date-parts":[["2020"]]},"page":"1-15","title":"The potential impacts of urban and transit planning scenarios for 2031 on car use and active transportation in a metropolitan area","type":"article-journal","volume":"17"},"uris":["http://www.mendeley.com/documents/?uuid=c4979039-8c4a-4345-8ac1-068753030e94"]}],"mendeley":{"formattedCitation":"(Lowe et al., 2022; Morency et al., 2020)","plainTextFormattedCitation":"(Lowe et al., 2022; Morency et al., 2020)","previouslyFormattedCitation":"(Lowe et al., 2022; Morency et al., 2020)"},"properties":{"noteIndex":0},"schema":"https://github.com/citation-style-language/schema/raw/master/csl-citation.json"}</w:instrText>
      </w:r>
      <w:r w:rsidR="00925F97" w:rsidRPr="00E72303">
        <w:fldChar w:fldCharType="separate"/>
      </w:r>
      <w:r w:rsidR="00151AD7" w:rsidRPr="00E72303">
        <w:rPr>
          <w:noProof/>
        </w:rPr>
        <w:t>(Lowe et al., 2022; Morency et al., 2020)</w:t>
      </w:r>
      <w:r w:rsidR="00925F97" w:rsidRPr="00E72303">
        <w:fldChar w:fldCharType="end"/>
      </w:r>
      <w:r w:rsidR="00925F97" w:rsidRPr="00E72303">
        <w:t>.</w:t>
      </w:r>
      <w:r w:rsidR="00215B1A" w:rsidRPr="00E72303">
        <w:t xml:space="preserve"> </w:t>
      </w:r>
      <w:r w:rsidR="00DA071D" w:rsidRPr="00E72303">
        <w:t xml:space="preserve"> </w:t>
      </w:r>
      <w:r w:rsidR="00FA76ED" w:rsidRPr="00E72303">
        <w:t xml:space="preserve">In fact, a typical </w:t>
      </w:r>
      <w:r w:rsidR="00B33FEC" w:rsidRPr="00E72303">
        <w:t xml:space="preserve">passenger vehicle driven for 11,500 miles at a fuel efficiency of 22 miles per gallon </w:t>
      </w:r>
      <w:r w:rsidR="00525948" w:rsidRPr="00E72303">
        <w:t>is expected to emit 4.6 metric tons of CO2 annually</w:t>
      </w:r>
      <w:r w:rsidR="00925F97" w:rsidRPr="00E72303">
        <w:t xml:space="preserve"> </w:t>
      </w:r>
      <w:r w:rsidR="00925F97" w:rsidRPr="00E72303">
        <w:fldChar w:fldCharType="begin" w:fldLock="1"/>
      </w:r>
      <w:r w:rsidR="00722547" w:rsidRPr="00E72303">
        <w:instrText>ADDIN CSL_CITATION {"citationItems":[{"id":"ITEM-1","itemData":{"URL":"https://www.epa.gov/greenvehicles/greenhouse-gas-emissions-typical-passenger-vehicle#typical-passenger","accessed":{"date-parts":[["2022","7","18"]]},"author":[{"dropping-particle":"","family":"USEPA","given":"","non-dropping-particle":"","parse-names":false,"suffix":""}],"id":"ITEM-1","issued":{"date-parts":[["2022"]]},"title":"Greenhouse Gas Emissions from a Typical Passenger Vehicle","type":"webpage"},"uris":["http://www.mendeley.com/documents/?uuid=5c5ba1bb-3b91-3c4e-9948-3d756561429c"]}],"mendeley":{"formattedCitation":"(USEPA, 2022)","plainTextFormattedCitation":"(USEPA, 2022)","previouslyFormattedCitation":"(USEPA, 2022)"},"properties":{"noteIndex":0},"schema":"https://github.com/citation-style-language/schema/raw/master/csl-citation.json"}</w:instrText>
      </w:r>
      <w:r w:rsidR="00925F97" w:rsidRPr="00E72303">
        <w:fldChar w:fldCharType="separate"/>
      </w:r>
      <w:r w:rsidR="00B11099" w:rsidRPr="00E72303">
        <w:rPr>
          <w:noProof/>
        </w:rPr>
        <w:t>(USEPA, 2022)</w:t>
      </w:r>
      <w:r w:rsidR="00925F97" w:rsidRPr="00E72303">
        <w:fldChar w:fldCharType="end"/>
      </w:r>
      <w:r w:rsidR="00016DD1" w:rsidRPr="00E72303">
        <w:t xml:space="preserve">. </w:t>
      </w:r>
      <w:r w:rsidR="008E01F2" w:rsidRPr="00E72303">
        <w:t xml:space="preserve">The growing </w:t>
      </w:r>
      <w:r w:rsidR="00A3534A" w:rsidRPr="00E72303">
        <w:t>adoption</w:t>
      </w:r>
      <w:r w:rsidR="008E01F2" w:rsidRPr="00E72303">
        <w:t xml:space="preserve"> of </w:t>
      </w:r>
      <w:r w:rsidR="006847E3" w:rsidRPr="00E72303">
        <w:t>a</w:t>
      </w:r>
      <w:r w:rsidR="00AE0633" w:rsidRPr="00E72303">
        <w:t xml:space="preserve">lternative </w:t>
      </w:r>
      <w:r w:rsidR="006847E3" w:rsidRPr="00E72303">
        <w:t>f</w:t>
      </w:r>
      <w:r w:rsidR="00AE0633" w:rsidRPr="00E72303">
        <w:t xml:space="preserve">uel </w:t>
      </w:r>
      <w:r w:rsidR="006847E3" w:rsidRPr="00E72303">
        <w:t>v</w:t>
      </w:r>
      <w:r w:rsidR="008329B4" w:rsidRPr="00E72303">
        <w:t>ehicle</w:t>
      </w:r>
      <w:r w:rsidR="00A3534A" w:rsidRPr="00E72303">
        <w:t>s</w:t>
      </w:r>
      <w:r w:rsidR="006847E3" w:rsidRPr="00E72303">
        <w:t xml:space="preserve"> (AFVs)</w:t>
      </w:r>
      <w:r w:rsidR="008E01F2" w:rsidRPr="00E72303">
        <w:t xml:space="preserve"> </w:t>
      </w:r>
      <w:r w:rsidR="000905A6" w:rsidRPr="00E72303">
        <w:t xml:space="preserve">including Hybrid vehicles, electric vehicles (EVs) and </w:t>
      </w:r>
      <w:r w:rsidR="00A24282" w:rsidRPr="00E72303">
        <w:t>plug-in hybrid electric vehicles (PHEVs)</w:t>
      </w:r>
      <w:r w:rsidR="008E01F2" w:rsidRPr="00E72303">
        <w:t xml:space="preserve"> </w:t>
      </w:r>
      <w:r w:rsidR="00CB2EC6" w:rsidRPr="00E72303">
        <w:t>offers</w:t>
      </w:r>
      <w:r w:rsidR="008E01F2" w:rsidRPr="00E72303">
        <w:t xml:space="preserve"> a mecha</w:t>
      </w:r>
      <w:r w:rsidR="008329B4" w:rsidRPr="00E72303">
        <w:t>n</w:t>
      </w:r>
      <w:r w:rsidR="008E01F2" w:rsidRPr="00E72303">
        <w:t xml:space="preserve">ism for reducing the </w:t>
      </w:r>
      <w:r w:rsidR="0002539F" w:rsidRPr="00E72303">
        <w:t>impact</w:t>
      </w:r>
      <w:r w:rsidR="008E01F2" w:rsidRPr="00E72303">
        <w:t xml:space="preserve"> of automobile dependency on the environment. </w:t>
      </w:r>
      <w:r w:rsidR="0002539F" w:rsidRPr="00E72303">
        <w:t xml:space="preserve">The </w:t>
      </w:r>
      <w:r w:rsidR="00D37E2F" w:rsidRPr="00E72303">
        <w:t xml:space="preserve">carbon </w:t>
      </w:r>
      <w:r w:rsidR="0002539F" w:rsidRPr="00E72303">
        <w:t xml:space="preserve">emissions from </w:t>
      </w:r>
      <w:r w:rsidR="008171E7" w:rsidRPr="00E72303">
        <w:t xml:space="preserve">these alternative fuel vehicles </w:t>
      </w:r>
      <w:r w:rsidR="0002539F" w:rsidRPr="00E72303">
        <w:t xml:space="preserve">are reported to be </w:t>
      </w:r>
      <w:r w:rsidR="008A54E9" w:rsidRPr="00E72303">
        <w:t>17-30%</w:t>
      </w:r>
      <w:r w:rsidR="0002539F" w:rsidRPr="00E72303">
        <w:t xml:space="preserve"> lower than the emissions from conventional </w:t>
      </w:r>
      <w:r w:rsidR="008A54E9" w:rsidRPr="00E72303">
        <w:t xml:space="preserve">gasoline or diesel </w:t>
      </w:r>
      <w:r w:rsidR="0002539F" w:rsidRPr="00E72303">
        <w:t>vehicles</w:t>
      </w:r>
      <w:r w:rsidR="00341A94" w:rsidRPr="00E72303">
        <w:t xml:space="preserve"> </w:t>
      </w:r>
      <w:r w:rsidR="00341A94" w:rsidRPr="00E72303">
        <w:fldChar w:fldCharType="begin" w:fldLock="1"/>
      </w:r>
      <w:r w:rsidR="00341A94" w:rsidRPr="00E72303">
        <w:instrText>ADDIN CSL_CITATION {"citationItems":[{"id":"ITEM-1","itemData":{"DOI":"https://blinkcharging.com/blog/how-evs-are-reducing-carbon-co2-emissions","URL":"https://blinkcharging.com/blog/how-evs-are-reducing-carbon-co2-emissions","author":[{"dropping-particle":"","family":"Blink","given":"","non-dropping-particle":"","parse-names":false,"suffix":""}],"id":"ITEM-1","issued":{"date-parts":[["2023"]]},"title":"How EVs Are Reducing Carbon (CO2) Emissions","type":"webpage"},"uris":["http://www.mendeley.com/documents/?uuid=96994a01-16f4-4d70-8311-ca75716ff76e"]}],"mendeley":{"formattedCitation":"(Blink, 2023)","plainTextFormattedCitation":"(Blink, 2023)"},"properties":{"noteIndex":0},"schema":"https://github.com/citation-style-language/schema/raw/master/csl-citation.json"}</w:instrText>
      </w:r>
      <w:r w:rsidR="00341A94" w:rsidRPr="00E72303">
        <w:fldChar w:fldCharType="separate"/>
      </w:r>
      <w:r w:rsidR="00341A94" w:rsidRPr="00E72303">
        <w:rPr>
          <w:noProof/>
        </w:rPr>
        <w:t>(Blink, 2023)</w:t>
      </w:r>
      <w:r w:rsidR="00341A94" w:rsidRPr="00E72303">
        <w:fldChar w:fldCharType="end"/>
      </w:r>
      <w:r w:rsidR="0002539F" w:rsidRPr="00E72303">
        <w:t xml:space="preserve">. </w:t>
      </w:r>
    </w:p>
    <w:p w14:paraId="26FCA216" w14:textId="54F8F9DD" w:rsidR="00850C3B" w:rsidRPr="00E72303" w:rsidRDefault="006847E3" w:rsidP="007B178E">
      <w:r w:rsidRPr="00E72303">
        <w:t>I</w:t>
      </w:r>
      <w:r w:rsidR="00B82F33" w:rsidRPr="00E72303">
        <w:t>n the US, t</w:t>
      </w:r>
      <w:r w:rsidR="00FF7328" w:rsidRPr="00E72303">
        <w:t xml:space="preserve">he sales of </w:t>
      </w:r>
      <w:r w:rsidRPr="00E72303">
        <w:t>various AFVs</w:t>
      </w:r>
      <w:r w:rsidR="00D84D1E" w:rsidRPr="00E72303">
        <w:t xml:space="preserve"> have increased over time. For instance, </w:t>
      </w:r>
      <w:r w:rsidR="0076552A" w:rsidRPr="00E72303">
        <w:t xml:space="preserve">light duty plug-in EVs </w:t>
      </w:r>
      <w:r w:rsidR="00B47CB4" w:rsidRPr="00E72303">
        <w:t xml:space="preserve">in 2021 </w:t>
      </w:r>
      <w:r w:rsidR="00B82F33" w:rsidRPr="00E72303">
        <w:t>were</w:t>
      </w:r>
      <w:r w:rsidR="0076552A" w:rsidRPr="00E72303">
        <w:t xml:space="preserve"> 608,000</w:t>
      </w:r>
      <w:r w:rsidR="00620DBC" w:rsidRPr="00E72303">
        <w:t xml:space="preserve">; about </w:t>
      </w:r>
      <w:r w:rsidR="0076552A" w:rsidRPr="00E72303">
        <w:t>twice the sales in 2020</w:t>
      </w:r>
      <w:r w:rsidR="00663446" w:rsidRPr="00E72303">
        <w:t xml:space="preserve"> </w:t>
      </w:r>
      <w:r w:rsidR="00663446" w:rsidRPr="00E72303">
        <w:fldChar w:fldCharType="begin" w:fldLock="1"/>
      </w:r>
      <w:r w:rsidR="00722547" w:rsidRPr="00E72303">
        <w:instrText>ADDIN CSL_CITATION {"citationItems":[{"id":"ITEM-1","itemData":{"URL":"https://www.energy.gov/energysaver/articles/new-plug-electric-vehicle-sales-united-states-nearly-doubled-2020-2021","accessed":{"date-parts":[["2022","7","19"]]},"author":[{"dropping-particle":"","family":"Minos","given":"Scott","non-dropping-particle":"","parse-names":false,"suffix":""}],"container-title":"US Department of Energy","id":"ITEM-1","issued":{"date-parts":[["2022"]]},"title":"New Plug-in Electric Vehicle Sales in the United States Nearly Doubled from 2020 to 2021","type":"webpage"},"uris":["http://www.mendeley.com/documents/?uuid=bbe28b1a-6898-3507-99a9-2976462c8538"]}],"mendeley":{"formattedCitation":"(Minos, 2022)","plainTextFormattedCitation":"(Minos, 2022)","previouslyFormattedCitation":"(Minos, 2022)"},"properties":{"noteIndex":0},"schema":"https://github.com/citation-style-language/schema/raw/master/csl-citation.json"}</w:instrText>
      </w:r>
      <w:r w:rsidR="00663446" w:rsidRPr="00E72303">
        <w:fldChar w:fldCharType="separate"/>
      </w:r>
      <w:r w:rsidR="00B11099" w:rsidRPr="00E72303">
        <w:rPr>
          <w:noProof/>
        </w:rPr>
        <w:t>(Minos, 2022)</w:t>
      </w:r>
      <w:r w:rsidR="00663446" w:rsidRPr="00E72303">
        <w:fldChar w:fldCharType="end"/>
      </w:r>
      <w:r w:rsidR="00A5541F" w:rsidRPr="00E72303">
        <w:t xml:space="preserve">. </w:t>
      </w:r>
      <w:r w:rsidR="00C63A0E" w:rsidRPr="00E72303">
        <w:t xml:space="preserve">The growing </w:t>
      </w:r>
      <w:r w:rsidR="00F445A5" w:rsidRPr="00E72303">
        <w:t>adoption</w:t>
      </w:r>
      <w:r w:rsidR="00C63A0E" w:rsidRPr="00E72303">
        <w:t xml:space="preserve"> of </w:t>
      </w:r>
      <w:r w:rsidR="00D84D1E" w:rsidRPr="00E72303">
        <w:t xml:space="preserve">these alternative fuel vehicles </w:t>
      </w:r>
      <w:r w:rsidR="00F445A5" w:rsidRPr="00E72303">
        <w:t xml:space="preserve">across the country </w:t>
      </w:r>
      <w:r w:rsidR="00AE4F36" w:rsidRPr="00E72303">
        <w:t xml:space="preserve">raises an important question for </w:t>
      </w:r>
      <w:r w:rsidR="00826517" w:rsidRPr="00E72303">
        <w:t>transportation</w:t>
      </w:r>
      <w:r w:rsidR="00AE4F36" w:rsidRPr="00E72303">
        <w:t xml:space="preserve"> planners, energy </w:t>
      </w:r>
      <w:r w:rsidR="00826517" w:rsidRPr="00E72303">
        <w:t xml:space="preserve">companies and vehicle manufacturers – </w:t>
      </w:r>
      <w:r w:rsidR="00826517" w:rsidRPr="00E72303">
        <w:rPr>
          <w:i/>
          <w:iCs/>
        </w:rPr>
        <w:t xml:space="preserve">What are factors that encourage or dissuade the purchase of </w:t>
      </w:r>
      <w:r w:rsidRPr="00E72303">
        <w:rPr>
          <w:i/>
          <w:iCs/>
        </w:rPr>
        <w:t>AFVs</w:t>
      </w:r>
      <w:r w:rsidR="005527BE" w:rsidRPr="00E72303">
        <w:t xml:space="preserve">? </w:t>
      </w:r>
      <w:r w:rsidR="001B1485" w:rsidRPr="00E72303">
        <w:t xml:space="preserve">The objective of the current research is </w:t>
      </w:r>
      <w:r w:rsidR="002F70DD" w:rsidRPr="00E72303">
        <w:t xml:space="preserve">to </w:t>
      </w:r>
      <w:r w:rsidR="001B74B9" w:rsidRPr="00E72303">
        <w:t>study</w:t>
      </w:r>
      <w:r w:rsidR="002F70DD" w:rsidRPr="00E72303">
        <w:t xml:space="preserve"> </w:t>
      </w:r>
      <w:r w:rsidR="00A00F86" w:rsidRPr="00E72303">
        <w:t xml:space="preserve">vehicle </w:t>
      </w:r>
      <w:r w:rsidR="001B74B9" w:rsidRPr="00E72303">
        <w:t>purchase behavior</w:t>
      </w:r>
      <w:r w:rsidR="002F70DD" w:rsidRPr="00E72303">
        <w:t xml:space="preserve"> </w:t>
      </w:r>
      <w:r w:rsidR="00A00F86" w:rsidRPr="00E72303">
        <w:t xml:space="preserve">with emphasis on </w:t>
      </w:r>
      <w:r w:rsidR="00D84D1E" w:rsidRPr="00E72303">
        <w:t xml:space="preserve">AFVs </w:t>
      </w:r>
      <w:r w:rsidR="002F70DD" w:rsidRPr="00E72303">
        <w:t xml:space="preserve">using a </w:t>
      </w:r>
      <w:r w:rsidR="001F42AB" w:rsidRPr="00E72303">
        <w:t xml:space="preserve">scarcely used </w:t>
      </w:r>
      <w:r w:rsidR="002F70DD" w:rsidRPr="00E72303">
        <w:t>vehicle purchase dataset</w:t>
      </w:r>
      <w:r w:rsidR="004814B3" w:rsidRPr="00E72303">
        <w:t xml:space="preserve"> </w:t>
      </w:r>
      <w:proofErr w:type="spellStart"/>
      <w:r w:rsidR="004814B3" w:rsidRPr="00E72303">
        <w:t>MaritzCX</w:t>
      </w:r>
      <w:proofErr w:type="spellEnd"/>
      <w:r w:rsidR="00DF1B49" w:rsidRPr="00E72303">
        <w:t xml:space="preserve"> New Vehicle Customer Study (NVCS)</w:t>
      </w:r>
      <w:r w:rsidR="004814B3" w:rsidRPr="00E72303">
        <w:t xml:space="preserve">. </w:t>
      </w:r>
      <w:proofErr w:type="spellStart"/>
      <w:r w:rsidR="004814B3" w:rsidRPr="00E72303">
        <w:t>MaritzCX</w:t>
      </w:r>
      <w:proofErr w:type="spellEnd"/>
      <w:r w:rsidR="004814B3" w:rsidRPr="00E72303">
        <w:t xml:space="preserve"> data</w:t>
      </w:r>
      <w:r w:rsidR="00DF1B49" w:rsidRPr="00E72303">
        <w:t xml:space="preserve"> is </w:t>
      </w:r>
      <w:r w:rsidR="00C144E8" w:rsidRPr="00E72303">
        <w:t xml:space="preserve">a </w:t>
      </w:r>
      <w:r w:rsidR="00DF1B49" w:rsidRPr="00E72303">
        <w:t>long-serving vehicle purchase</w:t>
      </w:r>
      <w:r w:rsidR="004968B8" w:rsidRPr="00E72303">
        <w:t xml:space="preserve"> behavior consumer survey</w:t>
      </w:r>
      <w:r w:rsidR="00DE1EF7" w:rsidRPr="00E72303">
        <w:t xml:space="preserve"> that provides details of </w:t>
      </w:r>
      <w:r w:rsidR="00E73913" w:rsidRPr="00E72303">
        <w:t xml:space="preserve">the various vehicles purchased or leased across US and Canada. </w:t>
      </w:r>
      <w:r w:rsidR="002A6090" w:rsidRPr="00E72303">
        <w:t>The dataset is the most comprehensive survey of vehicle purchases</w:t>
      </w:r>
      <w:r w:rsidR="00FC079C" w:rsidRPr="00E72303">
        <w:t xml:space="preserve"> with about </w:t>
      </w:r>
      <w:r w:rsidR="009E6120" w:rsidRPr="00E72303">
        <w:t>12.5 million survey responses in the last 50 years</w:t>
      </w:r>
      <w:r w:rsidR="002A6090" w:rsidRPr="00E72303">
        <w:t xml:space="preserve">. </w:t>
      </w:r>
      <w:r w:rsidR="009747EC" w:rsidRPr="00E72303">
        <w:t xml:space="preserve">The data is employed by vehicle manufacturers </w:t>
      </w:r>
      <w:r w:rsidR="009E6120" w:rsidRPr="00E72303">
        <w:t xml:space="preserve">to draw on insights on customer </w:t>
      </w:r>
      <w:r w:rsidR="00AD57E6" w:rsidRPr="00E72303">
        <w:t xml:space="preserve">behavior including evolving trends, changes to behavior and brand value </w:t>
      </w:r>
      <w:r w:rsidR="00663446" w:rsidRPr="00E72303">
        <w:fldChar w:fldCharType="begin" w:fldLock="1"/>
      </w:r>
      <w:r w:rsidR="00722547" w:rsidRPr="00E72303">
        <w:instrText>ADDIN CSL_CITATION {"citationItems":[{"id":"ITEM-1","itemData":{"URL":"https://inmoment.com/news/vehicle-manufacturers-secret-sauce-the-maritzcx-new-vehicle-customer-survey-marks-50-year-anniversary/","accessed":{"date-parts":[["2022","8","1"]]},"author":[{"dropping-particle":"","family":"MaritzCX","given":"","non-dropping-particle":"","parse-names":false,"suffix":""}],"container-title":"InMoment","id":"ITEM-1","issued":{"date-parts":[["2019"]]},"title":"Vehicle Manufacturers’ Secret Sauce, The MaritzCX New Vehicle Customer Survey, Marks 50-Year Anniversary","type":"webpage"},"uris":["http://www.mendeley.com/documents/?uuid=e8921b80-09d4-3f6e-8543-4bcfd43be0ff"]}],"mendeley":{"formattedCitation":"(MaritzCX, 2019)","plainTextFormattedCitation":"(MaritzCX, 2019)","previouslyFormattedCitation":"(MaritzCX, 2019)"},"properties":{"noteIndex":0},"schema":"https://github.com/citation-style-language/schema/raw/master/csl-citation.json"}</w:instrText>
      </w:r>
      <w:r w:rsidR="00663446" w:rsidRPr="00E72303">
        <w:fldChar w:fldCharType="separate"/>
      </w:r>
      <w:r w:rsidR="00B11099" w:rsidRPr="00E72303">
        <w:rPr>
          <w:noProof/>
        </w:rPr>
        <w:t>(MaritzCX, 2019)</w:t>
      </w:r>
      <w:r w:rsidR="00663446" w:rsidRPr="00E72303">
        <w:fldChar w:fldCharType="end"/>
      </w:r>
      <w:r w:rsidR="00AD57E6" w:rsidRPr="00E72303">
        <w:t xml:space="preserve">. </w:t>
      </w:r>
      <w:r w:rsidR="000E5052" w:rsidRPr="00E72303">
        <w:t xml:space="preserve">While the </w:t>
      </w:r>
      <w:proofErr w:type="spellStart"/>
      <w:r w:rsidR="000E5052" w:rsidRPr="00E72303">
        <w:t>MaritzCX</w:t>
      </w:r>
      <w:proofErr w:type="spellEnd"/>
      <w:r w:rsidR="000E5052" w:rsidRPr="00E72303">
        <w:t xml:space="preserve"> data provides the most comprehensive vehicle purchase data, it is not employed in transportation modeling to understand </w:t>
      </w:r>
      <w:r w:rsidR="0038443E" w:rsidRPr="00E72303">
        <w:t xml:space="preserve">population </w:t>
      </w:r>
      <w:r w:rsidR="000E5052" w:rsidRPr="00E72303">
        <w:t xml:space="preserve">vehicle purchase behavior for two reasons. First, </w:t>
      </w:r>
      <w:proofErr w:type="spellStart"/>
      <w:r w:rsidR="000E5052" w:rsidRPr="00E72303">
        <w:t>MaritzCX</w:t>
      </w:r>
      <w:proofErr w:type="spellEnd"/>
      <w:r w:rsidR="000E5052" w:rsidRPr="00E72303">
        <w:t xml:space="preserve"> records </w:t>
      </w:r>
      <w:r w:rsidR="001A5F5B" w:rsidRPr="00E72303">
        <w:t>represent a self-selected sample of vehicle purchasers</w:t>
      </w:r>
      <w:r w:rsidR="005E744A" w:rsidRPr="00E72303">
        <w:t xml:space="preserve"> (and not the general population). Second, </w:t>
      </w:r>
      <w:proofErr w:type="spellStart"/>
      <w:r w:rsidR="005E744A" w:rsidRPr="00E72303">
        <w:t>MaritzCX</w:t>
      </w:r>
      <w:proofErr w:type="spellEnd"/>
      <w:r w:rsidR="005E744A" w:rsidRPr="00E72303">
        <w:t xml:space="preserve"> </w:t>
      </w:r>
      <w:r w:rsidR="007B2FC4" w:rsidRPr="00E72303">
        <w:t xml:space="preserve">data provides very limited data </w:t>
      </w:r>
      <w:r w:rsidR="001D0176" w:rsidRPr="00E72303">
        <w:t xml:space="preserve">on the household </w:t>
      </w:r>
      <w:r w:rsidR="00164DEA" w:rsidRPr="00E72303">
        <w:t>characteristics of the vehicle purchases.</w:t>
      </w:r>
      <w:r w:rsidR="00512267" w:rsidRPr="00E72303">
        <w:t xml:space="preserve"> Hence, the rich set of vehicle purchase observations are not useful in understanding vehicle fleet evolution at </w:t>
      </w:r>
      <w:r w:rsidR="00D53B47" w:rsidRPr="00E72303">
        <w:t xml:space="preserve">the </w:t>
      </w:r>
      <w:r w:rsidR="00512267" w:rsidRPr="00E72303">
        <w:t xml:space="preserve">household </w:t>
      </w:r>
      <w:r w:rsidR="00D53B47" w:rsidRPr="00E72303">
        <w:t xml:space="preserve">resolution. </w:t>
      </w:r>
    </w:p>
    <w:p w14:paraId="41F94D5C" w14:textId="6A8AFE3C" w:rsidR="0025659A" w:rsidRPr="00E72303" w:rsidRDefault="00C45C0C" w:rsidP="007B178E">
      <w:r w:rsidRPr="00E72303">
        <w:t xml:space="preserve">In the current research effort, we propose </w:t>
      </w:r>
      <w:r w:rsidR="00C312B3" w:rsidRPr="00E72303">
        <w:t>solutions</w:t>
      </w:r>
      <w:r w:rsidR="00C81C23" w:rsidRPr="00E72303">
        <w:t xml:space="preserve"> to </w:t>
      </w:r>
      <w:r w:rsidR="009020CB" w:rsidRPr="00E72303">
        <w:t xml:space="preserve">address these limitations and develop a framework that will allow us to tap into the rich information available in </w:t>
      </w:r>
      <w:proofErr w:type="spellStart"/>
      <w:r w:rsidR="009020CB" w:rsidRPr="00E72303">
        <w:t>Martiz</w:t>
      </w:r>
      <w:r w:rsidR="00191F8E" w:rsidRPr="00E72303">
        <w:t>CX</w:t>
      </w:r>
      <w:proofErr w:type="spellEnd"/>
      <w:r w:rsidR="00191F8E" w:rsidRPr="00E72303">
        <w:t xml:space="preserve"> data. </w:t>
      </w:r>
      <w:r w:rsidR="0023142B" w:rsidRPr="00E72303">
        <w:t xml:space="preserve">The </w:t>
      </w:r>
      <w:r w:rsidR="0023142B" w:rsidRPr="00E72303">
        <w:rPr>
          <w:i/>
          <w:iCs/>
          <w:u w:val="single"/>
        </w:rPr>
        <w:t>self-selection of vehicle purchasers</w:t>
      </w:r>
      <w:r w:rsidR="0023142B" w:rsidRPr="00E72303">
        <w:t xml:space="preserve"> is addressed by developing a vehicle purchase decision model using data from the 2017 National Household Travel Survey (NHTS, 2017). </w:t>
      </w:r>
      <w:r w:rsidR="0025659A" w:rsidRPr="00E72303">
        <w:t xml:space="preserve">From the NHTS data we create a binary dependent variable – new vehicle purchase </w:t>
      </w:r>
      <w:r w:rsidR="00FC6EE2" w:rsidRPr="00E72303">
        <w:t xml:space="preserve">decision </w:t>
      </w:r>
      <w:r w:rsidR="0025659A" w:rsidRPr="00E72303">
        <w:t>based on vehicle acquisition year reported in the survey. The households that acquired a new vehicle ar</w:t>
      </w:r>
      <w:r w:rsidR="00491F87" w:rsidRPr="00E72303">
        <w:t>e</w:t>
      </w:r>
      <w:r w:rsidR="0025659A" w:rsidRPr="00E72303">
        <w:t xml:space="preserve"> assigned a value of one and rest of the households are assigned a value of zero. The dependent variable created is analyzed to identify the factors influencing </w:t>
      </w:r>
      <w:r w:rsidR="002761AE" w:rsidRPr="00E72303">
        <w:t xml:space="preserve">the decision to </w:t>
      </w:r>
      <w:r w:rsidR="0025659A" w:rsidRPr="00E72303">
        <w:t>purchas</w:t>
      </w:r>
      <w:r w:rsidR="002761AE" w:rsidRPr="00E72303">
        <w:t xml:space="preserve">e a vehicle. The binary model thus allows us to create the sample of households </w:t>
      </w:r>
      <w:r w:rsidR="00850C3B" w:rsidRPr="00E72303">
        <w:t xml:space="preserve">that are in the market for purchasing vehicles – the sample represented in </w:t>
      </w:r>
      <w:proofErr w:type="spellStart"/>
      <w:r w:rsidR="00850C3B" w:rsidRPr="00E72303">
        <w:t>MaritzCX</w:t>
      </w:r>
      <w:proofErr w:type="spellEnd"/>
      <w:r w:rsidR="00850C3B" w:rsidRPr="00E72303">
        <w:t xml:space="preserve"> data. </w:t>
      </w:r>
    </w:p>
    <w:p w14:paraId="7E3B7D22" w14:textId="51E3B6E3" w:rsidR="009747EC" w:rsidRPr="00E72303" w:rsidRDefault="00AE5FAB" w:rsidP="007B178E">
      <w:bookmarkStart w:id="2" w:name="_Hlk110279816"/>
      <w:r w:rsidRPr="00E72303">
        <w:t xml:space="preserve">To improve the </w:t>
      </w:r>
      <w:r w:rsidRPr="00E72303">
        <w:rPr>
          <w:i/>
          <w:iCs/>
          <w:u w:val="single"/>
        </w:rPr>
        <w:t>independent variables available</w:t>
      </w:r>
      <w:r w:rsidRPr="00E72303">
        <w:t xml:space="preserve"> in the </w:t>
      </w:r>
      <w:proofErr w:type="spellStart"/>
      <w:r w:rsidRPr="00E72303">
        <w:t>MaritzCX</w:t>
      </w:r>
      <w:proofErr w:type="spellEnd"/>
      <w:r w:rsidRPr="00E72303">
        <w:t xml:space="preserve"> data, we employ an innovative data fusion approach that probabilistically links </w:t>
      </w:r>
      <w:r w:rsidR="00575CEA" w:rsidRPr="00E72303">
        <w:t xml:space="preserve">records from </w:t>
      </w:r>
      <w:proofErr w:type="spellStart"/>
      <w:r w:rsidR="00575CEA" w:rsidRPr="00E72303">
        <w:t>MartitzCX</w:t>
      </w:r>
      <w:proofErr w:type="spellEnd"/>
      <w:r w:rsidR="00575CEA" w:rsidRPr="00E72303">
        <w:t xml:space="preserve"> with records </w:t>
      </w:r>
      <w:r w:rsidR="00575CEA" w:rsidRPr="00E72303">
        <w:lastRenderedPageBreak/>
        <w:t>from NHTS.</w:t>
      </w:r>
      <w:bookmarkEnd w:id="2"/>
      <w:r w:rsidR="00575CEA" w:rsidRPr="00E72303">
        <w:t xml:space="preserve"> The fusion process</w:t>
      </w:r>
      <w:r w:rsidR="0070158E" w:rsidRPr="00E72303">
        <w:t xml:space="preserve">, developed recently by the </w:t>
      </w:r>
      <w:r w:rsidR="007A2B81" w:rsidRPr="00E72303">
        <w:t>study</w:t>
      </w:r>
      <w:r w:rsidR="00E020E5" w:rsidRPr="00E72303">
        <w:t xml:space="preserve"> </w:t>
      </w:r>
      <w:r w:rsidR="00E020E5" w:rsidRPr="00E72303">
        <w:fldChar w:fldCharType="begin" w:fldLock="1"/>
      </w:r>
      <w:r w:rsidR="00E020E5" w:rsidRPr="00E72303">
        <w:instrText>ADDIN CSL_CITATION {"citationItems":[{"id":"ITEM-1","itemData":{"author":[{"dropping-particle":"","family":"Bhowmik","given":"Tanmoy","non-dropping-particle":"","parse-names":false,"suffix":""},{"dropping-particle":"","family":"Iraganaboina","given":"Naveen Chandra","non-dropping-particle":"","parse-names":false,"suffix":""},{"dropping-particle":"","family":"Eluru","given":"Naveen","non-dropping-particle":"","parse-names":false,"suffix":""}],"container-title":"PLoS ONE","id":"ITEM-1","issued":{"date-parts":[["2024"]]},"title":"A Novel Maximum Likelihood Based Probabilistic Behavioral Data Fusion Algorithm for Modeling Residential Energy Consumption","type":"article-journal","volume":"Under revi"},"uris":["http://www.mendeley.com/documents/?uuid=e489d871-f6ef-495b-9bc5-d8b17df6555b"]},{"id":"ITEM-2","itemData":{"DOI":"10.1016/j.trc.2024.104753","ISSN":"0968-090X","author":[{"dropping-particle":"","family":"Bhowmik","given":"Tanmoy","non-dropping-particle":"","parse-names":false,"suffix":""},{"dropping-particle":"","family":"Eluru","given":"Naveen","non-dropping-particle":"","parse-names":false,"suffix":""},{"dropping-particle":"","family":"Hasan","given":"Samiul","non-dropping-particle":"","parse-names":false,"suffix":""},{"dropping-particle":"","family":"Culotta","given":"Aron","non-dropping-particle":"","parse-names":false,"suffix":""},{"dropping-particle":"","family":"Chandra","given":"Kamol","non-dropping-particle":"","parse-names":false,"suffix":""}],"container-title":"Transportation Research Part C","id":"ITEM-2","issue":"July","issued":{"date-parts":[["2024"]]},"page":"104753","publisher":"Elsevier Ltd","title":"Predicting hurricane evacuation behavior synthesizing data from travel surveys and social media","type":"article-journal","volume":"165"},"uris":["http://www.mendeley.com/documents/?uuid=4f461fbf-49b0-45cb-81b6-f0dd715c7c3f"]}],"mendeley":{"formattedCitation":"(Bhowmik, Eluru, et al., 2024; Bhowmik, Iraganaboina, et al., 2024)","manualFormatting":"(Bhowmik et al., 2024a; Bhowmik et al., 2024b)","plainTextFormattedCitation":"(Bhowmik, Eluru, et al., 2024; Bhowmik, Iraganaboina, et al., 2024)","previouslyFormattedCitation":"(Bhowmik, Eluru, et al., 2024; Bhowmik, Iraganaboina, et al., 2024)"},"properties":{"noteIndex":0},"schema":"https://github.com/citation-style-language/schema/raw/master/csl-citation.json"}</w:instrText>
      </w:r>
      <w:r w:rsidR="00E020E5" w:rsidRPr="00E72303">
        <w:fldChar w:fldCharType="separate"/>
      </w:r>
      <w:r w:rsidR="00E020E5" w:rsidRPr="00E72303">
        <w:rPr>
          <w:noProof/>
        </w:rPr>
        <w:t>(Bhowmik et al., 2024a; Bhowmik et al., 2024b)</w:t>
      </w:r>
      <w:r w:rsidR="00E020E5" w:rsidRPr="00E72303">
        <w:fldChar w:fldCharType="end"/>
      </w:r>
      <w:r w:rsidR="0070158E" w:rsidRPr="00E72303">
        <w:t xml:space="preserve">, </w:t>
      </w:r>
      <w:r w:rsidR="00575CEA" w:rsidRPr="00E72303">
        <w:t xml:space="preserve">is guided by a maximum likelihood approach that </w:t>
      </w:r>
      <w:r w:rsidR="000E2778" w:rsidRPr="00E72303">
        <w:t>allows for fusing two datasets without any common identifier (mathematical details are provided in Methodology section)</w:t>
      </w:r>
      <w:r w:rsidR="002660C8" w:rsidRPr="00E72303">
        <w:t xml:space="preserve"> with the objective of improving the </w:t>
      </w:r>
      <w:r w:rsidR="00970668" w:rsidRPr="00E72303">
        <w:t xml:space="preserve">model fit </w:t>
      </w:r>
      <w:r w:rsidR="002660C8" w:rsidRPr="00E72303">
        <w:t xml:space="preserve">of the choice variable of </w:t>
      </w:r>
      <w:r w:rsidR="00970668" w:rsidRPr="00E72303">
        <w:t>interest</w:t>
      </w:r>
      <w:r w:rsidR="000E2778" w:rsidRPr="00E72303">
        <w:t xml:space="preserve">. </w:t>
      </w:r>
      <w:r w:rsidR="00970668" w:rsidRPr="00E72303">
        <w:t xml:space="preserve">In our research, the choice variable of interest is the combination of vehicle type (defined as </w:t>
      </w:r>
      <w:r w:rsidR="003043BC" w:rsidRPr="00E72303">
        <w:t>Utility vehicles, Sport sedans, Sedans, and Pickup trucks</w:t>
      </w:r>
      <w:r w:rsidR="00970668" w:rsidRPr="00E72303">
        <w:t>) and fuel type (defined as Gasoline and non-Gasoline</w:t>
      </w:r>
      <w:r w:rsidR="00FB1E2B" w:rsidRPr="00E72303">
        <w:rPr>
          <w:rStyle w:val="FootnoteReference"/>
        </w:rPr>
        <w:footnoteReference w:id="3"/>
      </w:r>
      <w:r w:rsidR="00970668" w:rsidRPr="00E72303">
        <w:t xml:space="preserve">). </w:t>
      </w:r>
      <w:r w:rsidR="00E66FB1" w:rsidRPr="00E72303">
        <w:t>The fused dataset is employed to analyze vehicle purchase decisions</w:t>
      </w:r>
      <w:r w:rsidR="002660C8" w:rsidRPr="00E72303">
        <w:t xml:space="preserve"> </w:t>
      </w:r>
      <w:r w:rsidR="00970668" w:rsidRPr="00E72303">
        <w:t xml:space="preserve">with eight alternatives using </w:t>
      </w:r>
      <w:r w:rsidR="002660C8" w:rsidRPr="00E72303">
        <w:t xml:space="preserve">a multinomial </w:t>
      </w:r>
      <w:r w:rsidR="00970668" w:rsidRPr="00E72303">
        <w:t xml:space="preserve">logit model. </w:t>
      </w:r>
      <w:r w:rsidR="00FA02E1" w:rsidRPr="00E72303">
        <w:t xml:space="preserve">The model estimation </w:t>
      </w:r>
      <w:r w:rsidR="00F15B03" w:rsidRPr="00E72303">
        <w:t xml:space="preserve">process </w:t>
      </w:r>
      <w:r w:rsidR="00FA02E1" w:rsidRPr="00E72303">
        <w:t xml:space="preserve">clearly illustrates how the model developed with fused records (i.e., considering the newly added independent variables from </w:t>
      </w:r>
      <w:r w:rsidR="00E37C0D" w:rsidRPr="00E72303">
        <w:t>NHTS</w:t>
      </w:r>
      <w:r w:rsidR="00FA02E1" w:rsidRPr="00E72303">
        <w:t xml:space="preserve">) offer significant improvement in data fit. </w:t>
      </w:r>
      <w:r w:rsidR="0025659A" w:rsidRPr="00E72303">
        <w:t xml:space="preserve">The model exercise is supplemented with elasticity analysis to illustrate the applicability of the proposed model. </w:t>
      </w:r>
    </w:p>
    <w:p w14:paraId="681FF00C" w14:textId="124B42EC" w:rsidR="00CF537E" w:rsidRPr="00E72303" w:rsidRDefault="00EF1CF4" w:rsidP="007B178E">
      <w:r w:rsidRPr="00E72303">
        <w:t>The r</w:t>
      </w:r>
      <w:r w:rsidR="00914193" w:rsidRPr="00E72303">
        <w:t xml:space="preserve">emainder of the paper is organized as follows: The earlier literature section provides a brief overview of vehicle ownership models. The next section outlines the methodological details while the Data Section summarizes the datasets. </w:t>
      </w:r>
      <w:r w:rsidR="009F0EC0" w:rsidRPr="00E72303">
        <w:t>The Model</w:t>
      </w:r>
      <w:r w:rsidR="00575589" w:rsidRPr="00E72303">
        <w:t xml:space="preserve"> results section summarizes the results of the models estimated. The </w:t>
      </w:r>
      <w:r w:rsidR="004E481E" w:rsidRPr="00E72303">
        <w:t xml:space="preserve">applicability of the proposed framework is illustrated in the elasticity analysis section. </w:t>
      </w:r>
      <w:r w:rsidR="00D564FB" w:rsidRPr="00E72303">
        <w:t xml:space="preserve">The final section concludes the paper. </w:t>
      </w:r>
    </w:p>
    <w:p w14:paraId="68FC5320" w14:textId="77777777" w:rsidR="007B178E" w:rsidRPr="00E72303" w:rsidRDefault="007B178E" w:rsidP="007B178E">
      <w:pPr>
        <w:ind w:firstLine="0"/>
      </w:pPr>
    </w:p>
    <w:p w14:paraId="56A2ED83" w14:textId="570258C3" w:rsidR="00DB61E9" w:rsidRPr="00E72303" w:rsidRDefault="00D040AF" w:rsidP="007B178E">
      <w:pPr>
        <w:pStyle w:val="Heading1"/>
        <w:rPr>
          <w:color w:val="auto"/>
        </w:rPr>
      </w:pPr>
      <w:r w:rsidRPr="00E72303">
        <w:rPr>
          <w:color w:val="auto"/>
        </w:rPr>
        <w:t>earlier work and study contributions</w:t>
      </w:r>
    </w:p>
    <w:p w14:paraId="1E7818E8" w14:textId="77777777" w:rsidR="007B178E" w:rsidRPr="00E72303" w:rsidRDefault="007B178E" w:rsidP="007B178E">
      <w:pPr>
        <w:pStyle w:val="1stParagraph"/>
      </w:pPr>
    </w:p>
    <w:p w14:paraId="4191F2E6" w14:textId="0E81DE53" w:rsidR="001B10C6" w:rsidRPr="00E72303" w:rsidRDefault="00AB34BE" w:rsidP="007B178E">
      <w:pPr>
        <w:pStyle w:val="Heading2"/>
        <w:rPr>
          <w:color w:val="auto"/>
        </w:rPr>
      </w:pPr>
      <w:r w:rsidRPr="00E72303">
        <w:rPr>
          <w:color w:val="auto"/>
        </w:rPr>
        <w:t>Earlier Research</w:t>
      </w:r>
    </w:p>
    <w:p w14:paraId="31DB6172" w14:textId="733FE017" w:rsidR="001E2EAF" w:rsidRPr="00E72303" w:rsidRDefault="00C968B5" w:rsidP="007B178E">
      <w:pPr>
        <w:pStyle w:val="1stParagraph"/>
      </w:pPr>
      <w:r w:rsidRPr="00E72303">
        <w:t>Vehicle ownership models have received significant attention in transportation literature</w:t>
      </w:r>
      <w:r w:rsidR="00BA0678" w:rsidRPr="00E72303">
        <w:t xml:space="preserve"> (see </w:t>
      </w:r>
      <w:r w:rsidR="00BA0678" w:rsidRPr="00E72303">
        <w:fldChar w:fldCharType="begin" w:fldLock="1"/>
      </w:r>
      <w:r w:rsidR="00151AD7" w:rsidRPr="00E72303">
        <w:instrText>ADDIN CSL_CITATION {"citationItems":[{"id":"ITEM-1","itemData":{"DOI":"10.1080/01441647.2014.915440","ISSN":"1464-5327","abstract":"Household vehicle ownership, and the associated dimensions including fleet size, vehicle type and usage, has been one of the most researched transport topics. This paper endeavors to provide a critical overview of the wide-ranging methodological approaches employed in vehicle ownership modeling depending on the ownership representation over the past two decades. The studies in the existing literature based on the vehicle ownership representation are classified as: exogenous static, exogenous dynamic, endogenous static and endogenous dynamic models. The methodological approaches applied range from simple linear regressions to complex econometrics formulations taking into account a rich set of covariates. In spite of the steady advancement and impressive evolution in terms of methodological approaches to examine the decision process, we identify complex issues that pose a formidable challenge to address the evolution of vehicle ownership in the coming years. Specifically, we discuss challenges with data availability and methodological framework selection. In light of these discussions, we provide a decision matrix for aiding research-ers/practitioners in determining appropriate model frameworks for conducting vehicle ownership analysis.","author":[{"dropping-particle":"","family":"Anowar","given":"Sabreena","non-dropping-particle":"","parse-names":false,"suffix":""},{"dropping-particle":"","family":"Eluru","given":"Naveen","non-dropping-particle":"","parse-names":false,"suffix":""},{"dropping-particle":"","family":"Miranda-Moreno","given":"Luis F","non-dropping-particle":"","parse-names":false,"suffix":""},{"dropping-particle":"","family":"Miranda-moreno","given":"Luis F","non-dropping-particle":"","parse-names":false,"suffix":""}],"container-title":"Transport Reviews","id":"ITEM-1","issue":"4","issued":{"date-parts":[["2014"]]},"page":"441-473","title":"Alternative Modeling Approaches Used for Examining Automobile Ownership: A Comprehensive Review","type":"article-journal","volume":"34"},"uris":["http://www.mendeley.com/documents/?uuid=3ab92b22-d993-3d76-adb2-22c6c59959bb"]},{"id":"ITEM-2","itemData":{"author":[{"dropping-particle":"","family":"Ye","given":"Jie Ma and Xin","non-dropping-particle":"","parse-names":false,"suffix":""}],"container-title":"Journal of the Indian Institution of Science","id":"ITEM-2","issue":"4","issued":{"date-parts":[["2019"]]},"page":"647-671","title":"Modeling Household Vehicle Ownership in Emerging Economies","type":"article-journal","volume":"94"},"uris":["http://www.mendeley.com/documents/?uuid=2fdd0952-2442-419d-a0d5-e923dba66ea3"]}],"mendeley":{"formattedCitation":"(Anowar et al., 2014; Ye, 2019)","manualFormatting":"(Anowar et al., 2014; Ma and Ye, 2019)","plainTextFormattedCitation":"(Anowar et al., 2014; Ye, 2019)","previouslyFormattedCitation":"(Anowar et al., 2014; Ye, 2019)"},"properties":{"noteIndex":0},"schema":"https://github.com/citation-style-language/schema/raw/master/csl-citation.json"}</w:instrText>
      </w:r>
      <w:r w:rsidR="00BA0678" w:rsidRPr="00E72303">
        <w:fldChar w:fldCharType="separate"/>
      </w:r>
      <w:r w:rsidR="00B11099" w:rsidRPr="00E72303">
        <w:rPr>
          <w:noProof/>
        </w:rPr>
        <w:t xml:space="preserve">(Anowar et al., 2014; </w:t>
      </w:r>
      <w:r w:rsidR="00A44665" w:rsidRPr="00E72303">
        <w:rPr>
          <w:noProof/>
        </w:rPr>
        <w:t xml:space="preserve">Ma and </w:t>
      </w:r>
      <w:r w:rsidR="00B11099" w:rsidRPr="00E72303">
        <w:rPr>
          <w:noProof/>
        </w:rPr>
        <w:t>Ye, 2019)</w:t>
      </w:r>
      <w:r w:rsidR="00BA0678" w:rsidRPr="00E72303">
        <w:fldChar w:fldCharType="end"/>
      </w:r>
      <w:r w:rsidR="001D3EEC" w:rsidRPr="00E72303">
        <w:t xml:space="preserve"> for review efforts</w:t>
      </w:r>
      <w:r w:rsidR="00BA0678" w:rsidRPr="00E72303">
        <w:t>)</w:t>
      </w:r>
      <w:r w:rsidRPr="00E72303">
        <w:t xml:space="preserve">. </w:t>
      </w:r>
      <w:r w:rsidR="00FD1F30" w:rsidRPr="00E72303">
        <w:t xml:space="preserve">In our study, we provide a brief review of relevant literature. </w:t>
      </w:r>
      <w:r w:rsidR="006028EE" w:rsidRPr="00E72303">
        <w:t xml:space="preserve">In vehicle ownership studies, the </w:t>
      </w:r>
      <w:r w:rsidR="006028EE" w:rsidRPr="00E72303">
        <w:rPr>
          <w:u w:val="single"/>
        </w:rPr>
        <w:t>dimensions of interest</w:t>
      </w:r>
      <w:r w:rsidR="006028EE" w:rsidRPr="00E72303">
        <w:t xml:space="preserve"> include: (a) vehicle type choice </w:t>
      </w:r>
      <w:r w:rsidR="009B210E" w:rsidRPr="00E72303">
        <w:t>such as sedan, and sports utility vehicle (SUV)</w:t>
      </w:r>
      <w:r w:rsidR="00432A8B" w:rsidRPr="00E72303">
        <w:t xml:space="preserve"> </w:t>
      </w:r>
      <w:r w:rsidR="00432A8B" w:rsidRPr="00E72303">
        <w:fldChar w:fldCharType="begin" w:fldLock="1"/>
      </w:r>
      <w:r w:rsidR="00151AD7" w:rsidRPr="00E72303">
        <w:instrText>ADDIN CSL_CITATION {"citationItems":[{"id":"ITEM-1","itemData":{"DOI":"10.1016/j.tra.2013.07.007","ISSN":"09658564","abstract":"Based on the data collected from a large-scale survey research of 1622 consumers, the present paper develops a disaggregate, compensatory choice model to collectively examine the impact of under-examined factors on consumer car type choice behaviour. All existing econometric forecasting models of vehicle type choice in the literature have so far considered objective measures as determinants of vehicle type choice. The proposed choice model considers 12 car-type alternatives and is successively extended to allow for choice probability distortions resulting from individual heterogeneity across a set of 30 variables, related to objective, behavioural and psychographic consumer characteristics. The results provide clear evidence that variables such as purpose of car use, prepurchase information source used, consumer's proneness towards buying an ecological car, consumer's involvement with cars, and consumer's attachment to cars, significantly affect car type choice. The results yield important implications for manufacturers, transportation planners and researchers. © 2013.","author":[{"dropping-particle":"","family":"Baltas","given":"George","non-dropping-particle":"","parse-names":false,"suffix":""},{"dropping-particle":"","family":"Saridakis","given":"Charalampos","non-dropping-particle":"","parse-names":false,"suffix":""}],"container-title":"Transportation Research Part A: Policy and Practice","id":"ITEM-1","issued":{"date-parts":[["2013"]]},"page":"92-110","publisher":"Elsevier Ltd","title":"An empirical investigation of the impact of behavioural and psychographic consumer characteristics on car preferences: An integrated model of car type choice","type":"article-journal","volume":"54"},"uris":["http://www.mendeley.com/documents/?uuid=d9b6f427-4dc9-45c8-8816-57f199dd2ee5"]},{"id":"ITEM-2","itemData":{"DOI":"10.1016/J.TRANPOL.2016.05.012","ISSN":"1879310X","abstract":"The transport sector is a major source of greenhouse gas emissions worldwide as well as in Germany and is therefore able to contribute significantly to the achievement of climate protection goals. With this in mind and the steadily increasing electricity generation from renewable energy sources in Germany, electrically driven vehicles can be an attractive option to reach the climate targets of the EU and the German government. The target of the German government to have at least one million electric vehicles registered by 2020 seems currently far from realisation. For this reason, this article analyses the total cost of ownership (TCO) of electric passenger vehicles in Germany on a component-based approach and gives an estimation about the further development until 2050. To represent the German market, we investigate different vehicle sizes, user types and drive technologies. Furthermore, we show the CO2 abatement potential offered by different types of electric vehicles. Finally, we analyse buyer's premiums as an incentive to accelerate the uptake of electric vehicles on German roads.In result, even without governmental subsidies, full and mild hybrid electric vehicles are already an economic option for a wide range of vehicle sizes and user types. To achieve nowadays cost competitiveness for full electric vehicle powertrains, considerable buyer's premiums are necessary. For plug-in hybrid electric vehicles and battery electric vehicles, the premiums range from about 8,600 to 32,400 EUR2010/vehicle depending on the vehicle size and user type. Eventually, following the future cost estimations, full electric vehicles can reach economic viability from 2030 onwards for many of the investigated vehicles and users.","author":[{"dropping-particle":"","family":"Bubeck","given":"Steffen","non-dropping-particle":"","parse-names":false,"suffix":""},{"dropping-particle":"","family":"Tomaschek","given":"Jan","non-dropping-particle":"","parse-names":false,"suffix":""},{"dropping-particle":"","family":"Fahl","given":"Ulrich","non-dropping-particle":"","parse-names":false,"suffix":""}],"container-title":"Transport Policy","id":"ITEM-2","issued":{"date-parts":[["2016","8","1"]]},"page":"63-77","publisher":"Elsevier Ltd","title":"Perspectives of electric mobility: Total cost of ownership of electric vehicles in Germany","type":"article-journal","volume":"50"},"uris":["http://www.mendeley.com/documents/?uuid=dbd0c73e-4a16-3d2c-aa43-134160f9e592"]},{"id":"ITEM-3","itemData":{"DOI":"10.1287/TRSC.2015.0597","ISSN":"15265447","abstract":"Discrete choice models are commonly used in transportation planning and modeling, but their theoretical basis and applications have been mainly developed in a static context. In this paper, we prop...","author":[{"dropping-particle":"","family":"Cirillo","given":"Cinzia","non-dropping-particle":"","parse-names":false,"suffix":""},{"dropping-particle":"","family":"Xu","given":"Renting","non-dropping-particle":"","parse-names":false,"suffix":""},{"dropping-particle":"","family":"Bastin","given":"Fabian","non-dropping-particle":"","parse-names":false,"suffix":""}],"container-title":"Transportation Science","id":"ITEM-3","issue":"1","issued":{"date-parts":[["2016","5","15"]]},"page":"322-335","publisher":"INFORMS","title":"A Dynamic Formulation for Car Ownership Modeling","type":"article-journal","volume":"50"},"uris":["http://www.mendeley.com/documents/?uuid=04c6b8ec-aa4c-346a-94f6-9ae95d62d082"]},{"id":"ITEM-4","itemData":{"abstract":"This paper develops an estimable structural microeconometric model of car choice and usage that features endogenous equilibrium prices on the used-car market. Households buy and sell cars in the market and car owners choose how much to drive their car in a finitehorizon model. Moreover, we explicitly model the choice between scrapping the car or selling it on the used-car market. We estimate the model using full-population Danish register data on car ownership, driving and demographics for the period 1996–2009, covering all Danish households and cars. Simulations show that the equilibrium prices are essential for producing realistic simulations of the car age distribution and scrappage patterns over the macro cycle. We illustrate the usefulness of the model for policy analysis with a counterfactual simulation that reduces new car prices but raises fuel taxes. The simulations show how equilibrium prices imply that the boom in new car sales come at the cost of accelerated scrappage of older cars. Furthermore, the model gives predictions on tax revenue, fuel use, emissions, the lifetime of vehicles as well as the composition of types and ages of cars in the future.","author":[{"dropping-particle":"","family":"Gillingham","given":"Kenneth","non-dropping-particle":"","parse-names":false,"suffix":""},{"dropping-particle":"","family":"Iskhakov","given":"Fedor","non-dropping-particle":"","parse-names":false,"suffix":""},{"dropping-particle":"","family":"Munk-Nielsen","given":"Anders","non-dropping-particle":"","parse-names":false,"suffix":""},{"dropping-particle":"","family":"Rust","given":"John","non-dropping-particle":"","parse-names":false,"suffix":""},{"dropping-particle":"","family":"Schjerning Bertel","given":"","non-dropping-particle":"","parse-names":false,"suffix":""}],"id":"ITEM-4","issued":{"date-parts":[["2015"]]},"number-of-pages":"1-89","title":"A Dynamic Model of Vehicle Ownership, Type Choice, and Usage","type":"book"},"uris":["http://www.mendeley.com/documents/?uuid=06e96fd4-75ab-32c8-b345-b93fd139a45e"]},{"id":"ITEM-5","itemData":{"DOI":"10.1016/J.TRA.2017.06.012","ISSN":"0965-8564","abstract":"Facing the growing demand for carsharing services, it is critical for operators to accurately predict users’ preferences on different vehicle types and their vehicle usage. This vehicle choice behavior involves choosing multiple vehicle types simultaneously and allocating continuous amounts of budget to the chosen vehicles. The recent developed multiple discrete-continuous extreme value (MDCEV) modeling framework provides a suitable platform for allocation of continuous amounts of a consumer good (expenditure) to different discrete outcomes (different vehicle types). In this study, we develop three MDCEV models considering travel time, mileage, and monetary expenditure as the continuous consumption constraints. The three models estimate the impacts of a set of socio-demographic attributes on user's vehicle choice and capture the satiation effect with increasing the consumption for each vehicle type. The study also employs an efficient simulation procedure to obtain the simulated results of the three models, and compare the results to the observed data using normalized RMSE and correct ratio to determine the best-fitted model. The estimation results suggest that user age, income level, driving license country, insurance plan, membership plan, and origin location have impacts on users’ vehicle utilization patterns. The comparison results indicate that travel time, mileage and expenditure affect users’ vehicle utilization patterns in the same way, and all three models can provide accurate predictions for the vehicle choice behavior. These findings can be referred to by operators when determining the most efficient allocation of resources within carsharing systems.","author":[{"dropping-particle":"","family":"Jian","given":"Sisi","non-dropping-particle":"","parse-names":false,"suffix":""},{"dropping-particle":"","family":"Rashidi","given":"Taha Hossein","non-dropping-particle":"","parse-names":false,"suffix":""},{"dropping-particle":"","family":"Dixit","given":"Vinayak","non-dropping-particle":"","parse-names":false,"suffix":""}],"container-title":"Transportation Research Part A: Policy and Practice","id":"ITEM-5","issued":{"date-parts":[["2017","9","1"]]},"page":"362-376","publisher":"Pergamon","title":"An analysis of carsharing vehicle choice and utilization patterns using multiple discrete-continuous extreme value (MDCEV) models","type":"article-journal","volume":"103"},"uris":["http://www.mendeley.com/documents/?uuid=dd22fefa-bdfe-38ec-aaa6-4bd6dec8e959"]},{"id":"ITEM-6","itemData":{"DOI":"10.1016/j.tra.2014.03.004","ISSN":"09658564","abstract":"Differentiated vehicle taxes are considered by many a useful tool for promoting environmentally friendly vehicles. Various structures have been implemented in several countries, e.g. Ireland, France, The Czech Republic, and Denmark. In many countries the tax reforms have been followed by a steep change in new vehicle purchases toward more diesel vehicles and more fuel-efficient vehicles. The paper analyses to what extent a vehicle tax reform similar to the Danish 2007 reform may explain changes in purchasing behaviour. The paper investigates the effects of a tax reform, fuel price changes, and technological development on vehicle type choice using a mixed logit model. The model allows a simulation of the effect of car price changes that resemble those induced by the tax reform. This effect is compared to the effects of fuel price changes and technology improvements. The simulations show that the effect of the tax reform on fuel efficiency is similar to the effect of rising fuel prices while the effect of technological development is much larger. The conclusion is that while the tax reform appeared in the same year as a large increase in fuel efficiency, it seems likely that it only explains a small part of the shift in fuel efficiency that occurred and that the main driver was the technological development. © 2014 Elsevier Ltd.","author":[{"dropping-particle":"","family":"Mabit","given":"Stefan L.","non-dropping-particle":"","parse-names":false,"suffix":""}],"container-title":"Transportation Research Part A: Policy and Practice","id":"ITEM-6","issued":{"date-parts":[["2014"]]},"page":"32-42","publisher":"Elsevier Ltd","title":"Vehicle type choice under the influence of a tax reform and rising fuel prices","type":"article-journal","volume":"64"},"uris":["http://www.mendeley.com/documents/?uuid=7d93f2f4-1adc-4ea9-b83f-702dd34da2e1"]},{"id":"ITEM-7","itemData":{"DOI":"10.1016/J.TRD.2019.04.010","ISSN":"1361-9209","abstract":"This paper presents a behavioral model of public, revealed preferences (RP) for various types of electric vehicles (EVs) while accounting for a latent (green) travel pattern construct and charging infrastructure characteristics. Specifically, a two-level nested logit (NL) model is estimated to explain households’ fuel type choice among five alternatives and three nests: (1) battery electric vehicles (BEVs); (2) hybrid vehicles including hybrid electric vehicles (HEVs) and plug-in HEVs (PHEVs); and (3) conventional vehicles including gasoline and diesel vehicles. Further, a latent travel pattern construct which captures a week-long number of trips by non-vehicle travel modes as well as daily vehicle and tollway use is estimated in a structural equation setting and subsequently fed into the NL model. Using a recent RP dataset from the California Household Travel Survey, we identify market segments for alternative fuel types based on households’ socio-economic characteristics, built environment factors concerning public plug-in EV (PEV) charging infrastructure characteristics, latent and observable travel behavior factors of a household vehicle's principal driver, and vehicle attributes. The results highlight that the number of public PEV charging stations is only significant for households choosing PHEVs and interestingly insignificant in the BEV utility. Furthermore, the sensitivity analysis of the findings reveals that PHEV users are elastic with respect to household vehicle ownership ratio and the latent green travel pattern construct, while BEV users are inelastic to any explanatory variable.","author":[{"dropping-particle":"","family":"Nazari","given":"Fatemeh","non-dropping-particle":"","parse-names":false,"suffix":""},{"dropping-particle":"","family":"Mohammadian","given":"Abolfazl (Kouros)","non-dropping-particle":"","parse-names":false,"suffix":""},{"dropping-particle":"","family":"Stephens","given":"Thomas","non-dropping-particle":"","parse-names":false,"suffix":""}],"container-title":"Transportation Research Part D: Transport and Environment","id":"ITEM-7","issued":{"date-parts":[["2019","7","1"]]},"page":"65-82","publisher":"Pergamon","title":"Modeling electric vehicle adoption considering a latent travel pattern construct and charging infrastructure","type":"article-journal","volume":"72"},"uris":["http://www.mendeley.com/documents/?uuid=036f4337-355d-30ec-b7cf-9e6cb0cb71ed"]},{"id":"ITEM-8","itemData":{"DOI":"10.1007/S11116-009-9208-X/TABLES/2","ISSN":"00494488","abstract":"In this paper, a joint model of vehicle type choice and utilization is formulated and estimated on a data set of vehicles drawn from the 2000 San Francisco Bay Area Travel Survey. The joint discrete-continuous model system formulated in this study explicitly accounts for common unobserved factors that may affect the choice and utilization of a certain vehicle type (i.e., self-selection effects). A new copula-based methodology is adopted to facilitate model estimation without imposing restrictive distribution assumptions on the dependency structures between the errors in the discrete and continuous choice components. The copula-based methodology is found to provide statistically superior goodness-of-fit when compared with previous estimation approaches for joint discrete-continuous model systems. The model system, when applied to simulate the impacts of a doubling in fuel price, shows that individuals are more likely to shift vehicle type choices than vehicle usage patterns. © Springer Science+Business Media, LLC. 2009.","author":[{"dropping-particle":"","family":"Spissu","given":"Erika","non-dropping-particle":"","parse-names":false,"suffix":""},{"dropping-particle":"","family":"Pinjari","given":"Abdul Rawoof","non-dropping-particle":"","parse-names":false,"suffix":""},{"dropping-particle":"","family":"Pendyala","given":"Ram M.","non-dropping-particle":"","parse-names":false,"suffix":""},{"dropping-particle":"","family":"Bhat","given":"Chandra R.","non-dropping-particle":"","parse-names":false,"suffix":""}],"container-title":"Transportation","id":"ITEM-8","issue":"4","issued":{"date-parts":[["2009","4","19"]]},"page":"403-422","publisher":"Springer","title":"A copula-based joint multinomial discrete-continuous model of vehicle type choice and miles of travel","type":"article-journal","volume":"36"},"uris":["http://www.mendeley.com/documents/?uuid=c8e1fade-0f4e-33e0-a5c0-8fb66b150bfd"]}],"mendeley":{"formattedCitation":"(Baltas &amp; Saridakis, 2013; Bubeck et al., 2016; Cirillo et al., 2016; Gillingham et al., 2015; Jian et al., 2017; Mabit, 2014; Nazari et al., 2019; Spissu et al., 2009)","manualFormatting":"(Spissu et al., 2009; Baltas and Saridakis, 2013; Mabit, 2014; Gillingham et al., 2015; Bubeck et al., 2016; Cirillo et al., 2016; Jian et al., 2017; Nazari et al., 2019)","plainTextFormattedCitation":"(Baltas &amp; Saridakis, 2013; Bubeck et al., 2016; Cirillo et al., 2016; Gillingham et al., 2015; Jian et al., 2017; Mabit, 2014; Nazari et al., 2019; Spissu et al., 2009)","previouslyFormattedCitation":"(Baltas &amp; Saridakis, 2013; Bubeck et al., 2016; Cirillo et al., 2016; Gillingham et al., 2015; Jian et al., 2017; Mabit, 2014; Nazari et al., 2019; Spissu et al., 2009)"},"properties":{"noteIndex":0},"schema":"https://github.com/citation-style-language/schema/raw/master/csl-citation.json"}</w:instrText>
      </w:r>
      <w:r w:rsidR="00432A8B" w:rsidRPr="00E72303">
        <w:fldChar w:fldCharType="separate"/>
      </w:r>
      <w:r w:rsidR="00B11099" w:rsidRPr="00E72303">
        <w:rPr>
          <w:noProof/>
        </w:rPr>
        <w:t>(Spissu et al., 2009; Baltas and Saridakis, 2013; Mabit, 2014; Gillingham et al., 2015; Bubeck</w:t>
      </w:r>
      <w:r w:rsidR="00D30BAA" w:rsidRPr="00E72303">
        <w:rPr>
          <w:noProof/>
        </w:rPr>
        <w:t xml:space="preserve"> et al.</w:t>
      </w:r>
      <w:r w:rsidR="00B11099" w:rsidRPr="00E72303">
        <w:rPr>
          <w:noProof/>
        </w:rPr>
        <w:t>, 2016; Cirillo</w:t>
      </w:r>
      <w:r w:rsidR="00D30BAA" w:rsidRPr="00E72303">
        <w:rPr>
          <w:noProof/>
        </w:rPr>
        <w:t xml:space="preserve"> et al.</w:t>
      </w:r>
      <w:r w:rsidR="00B11099" w:rsidRPr="00E72303">
        <w:rPr>
          <w:noProof/>
        </w:rPr>
        <w:t>, 2016; Jian</w:t>
      </w:r>
      <w:r w:rsidR="00D30BAA" w:rsidRPr="00E72303">
        <w:rPr>
          <w:noProof/>
        </w:rPr>
        <w:t xml:space="preserve"> et al.</w:t>
      </w:r>
      <w:r w:rsidR="00B11099" w:rsidRPr="00E72303">
        <w:rPr>
          <w:noProof/>
        </w:rPr>
        <w:t>, 2017; Nazari</w:t>
      </w:r>
      <w:r w:rsidR="00D30BAA" w:rsidRPr="00E72303">
        <w:rPr>
          <w:noProof/>
        </w:rPr>
        <w:t xml:space="preserve"> et al.</w:t>
      </w:r>
      <w:r w:rsidR="00B11099" w:rsidRPr="00E72303">
        <w:rPr>
          <w:noProof/>
        </w:rPr>
        <w:t>, 2019)</w:t>
      </w:r>
      <w:r w:rsidR="00432A8B" w:rsidRPr="00E72303">
        <w:fldChar w:fldCharType="end"/>
      </w:r>
      <w:r w:rsidR="00432A8B" w:rsidRPr="00E72303">
        <w:t xml:space="preserve">, </w:t>
      </w:r>
      <w:r w:rsidR="006028EE" w:rsidRPr="00E72303">
        <w:t xml:space="preserve">(b) </w:t>
      </w:r>
      <w:r w:rsidR="00E809B7" w:rsidRPr="00E72303">
        <w:t xml:space="preserve">comparative </w:t>
      </w:r>
      <w:r w:rsidR="002637CD" w:rsidRPr="00E72303">
        <w:t xml:space="preserve">evaluation of </w:t>
      </w:r>
      <w:r w:rsidR="00E809B7" w:rsidRPr="00E72303">
        <w:t xml:space="preserve">various </w:t>
      </w:r>
      <w:r w:rsidR="006028EE" w:rsidRPr="00E72303">
        <w:t xml:space="preserve">fuel </w:t>
      </w:r>
      <w:r w:rsidR="002637CD" w:rsidRPr="00E72303">
        <w:t>type</w:t>
      </w:r>
      <w:r w:rsidR="00E809B7" w:rsidRPr="00E72303">
        <w:t>s</w:t>
      </w:r>
      <w:r w:rsidR="002637CD" w:rsidRPr="00E72303">
        <w:t xml:space="preserve"> </w:t>
      </w:r>
      <w:r w:rsidR="00C41ABD" w:rsidRPr="00E72303">
        <w:t>considering costs</w:t>
      </w:r>
      <w:r w:rsidR="002637CD" w:rsidRPr="00E72303">
        <w:t xml:space="preserve"> </w:t>
      </w:r>
      <w:r w:rsidR="00B066A4" w:rsidRPr="00E72303">
        <w:t xml:space="preserve"> </w:t>
      </w:r>
      <w:r w:rsidR="00B066A4" w:rsidRPr="00E72303">
        <w:fldChar w:fldCharType="begin" w:fldLock="1"/>
      </w:r>
      <w:r w:rsidR="00151AD7" w:rsidRPr="00E72303">
        <w:instrText xml:space="preserve">ADDIN CSL_CITATION {"citationItems":[{"id":"ITEM-1","itemData":{"DOI":"10.1016/j.eneco.2007.10.003","ISSN":"01409883","abstract":"The paper analyzes how adding alternative fuel passenger cars to the market will affect patterns in demand for passenger cars. We use conjoint analysis and a multiple discrete-continuous choice model to estimate consumer preferences regarding alternative fuel vehicles, and based on the estimates we conduct a simulation to analyze changing rates of ownership and use of variously fueled passenger cars under the effect of the introduction of alternative fuel passenger cars. In addition, we estimate changes in overall fuel consumption and the emission of pollutants. The results show that gasoline-fueled cars will still be most consumers' first choice, but alternative fuel passenger cars will nevertheless compete and offer a substitute for the purchase and use of gasoline-fueled or diesel-fueled cars. Finally, results show that adding alternative fuel cars to the market would effectively lower gasoline and diesel fuel consumption and the emission of pollutants. © 2007 Elsevier B.V. All rights reserved.","author":[{"dropping-particle":"","family":"Ahn","given":"Jiwoon","non-dropping-particle":"","parse-names":false,"suffix":""},{"dropping-particle":"","family":"Jeong","given":"Gicheol","non-dropping-particle":"","parse-names":false,"suffix":""},{"dropping-particle":"","family":"Kim","given":"Yeonbae","non-dropping-particle":"","parse-names":false,"suffix":""}],"container-title":"Energy Economics","id":"ITEM-1","issue":"5","issued":{"date-parts":[["2008"]]},"page":"2091-2104","title":"A forecast of household ownership and use of alternative fuel vehicles: A multiple discrete-continuous choice approach","type":"article-journal","volume":"30"},"uris":["http://www.mendeley.com/documents/?uuid=b44f0252-251d-4e3a-9b29-41f8bcc5dedd"]},{"id":"ITEM-2","itemData":{"DOI":"10.1016/j.trb.2008.06.009","ISSN":"01912615","abstract":"In this paper, we formulate and estimate a nested model structure that includes a multiple discrete-continuous extreme value (MDCEV) component to analyze the choice of vehicle type/vintage and usage in the upper level and a multinomial logit (MNL) component to analyze the choice of vehicle make/model in the lower nest. Data for the analysis are drawn from the 2000 San Francisco Bay Area Travel Survey. The model results indicate the important effects of household demographics, household location characteristics, built environment attributes, household head characteristics, and vehicle attributes on household vehicle holdings and use. The model developed in the paper is applied to predict the impact of land-use and fuel cost changes on vehicle holdings and usage of the households. Such predictions can inform the design of proactive land-use, economic, and transportation policies to influence household vehicle holdings and usage in a way that reduces the negative impacts of automobile dependency such as traffic congestion, fuel consumption and air pollution. © 2008 Elsevier Ltd. All rights reserved.","author":[{"dropping-particle":"","family":"Bhat","given":"Chandra R.","non-dropping-particle":"","parse-names":false,"suffix":""},{"dropping-particle":"","family":"Sen","given":"Sudeshna","non-dropping-particle":"","parse-names":false,"suffix":""},{"dropping-particle":"","family":"Eluru","given":"Naveen","non-dropping-particle":"","parse-names":false,"suffix":""}],"container-title":"Transportation Research Part B: Methodological","id":"ITEM-2","issue":"1","issued":{"date-parts":[["2009"]]},"page":"1-18","publisher":"Elsevier Ltd","title":"The impact of demographics, built environment attributes, vehicle characteristics, and gasoline prices on household vehicle holdings and use","type":"article-journal","volume":"43"},"uris":["http://www.mendeley.com/documents/?uuid=d805dd2b-0ab3-4aea-93db-27cda158fc9e"]},{"id":"ITEM-3","itemData":{"DOI":"10.3141/2082-08","abstract":"hybrid model is estimated. Empirical data on the car choices made by Canadian consumers are presented, and a multinomial logit model is applied. This standard model is expanded by presentation of the results of each partial model that configures the hybrid model setting. The main conclusions of this work are then presented. HYBRID CHOICE MODELING Standard Discrete Choice Modeling In discrete choice modeling, the most common approach is based on random utility theory (1). According to this theory, each individual has a utility function associated with each of the alternatives. This individual function can be divided into a systematic part, which considers the effects of the explanatory variables, and a random part, which takes into account all the effects not included in the systematic part of the utility function. In other words, choices are modeled by using a structural equation (Equation 1) for the utility function, which represents the individual preferences and in which the inputs are the alternative attributes and individual characteristics. The observed choice corresponds to the alternative that maximizes the individual utility function, a process represented by a measurement equation (Equation 2). Because the utility function has a random nature, the output of the model actually corresponds to the choice probability of individual n choosing alternative i. The set of equations describing the standard discrete choice setting is given by where U in = utility of alternative i as perceived by individual n, X in = row vector of attributes of alternative i and socioeconomic characteristics of individual n, β = column vector of unknown parameters, υ in = error term, and y in = indicator of whether alternative i is chosen by individual n or not. Different choice models can be derived depending on the assumptions considered for the distribution of the random error term (2). So far the workhorses in this area have been the multinomial logit model (1) and the nested logit model (3). Both offer closed-choice probabilities but with not always properly justified restrictive simplifying assumptions. With the aim of gaining generality, more flexible models have been incorporated in practice. Indeed, one powerful y U U j i in in jn = ≥ ≠ </w:instrText>
      </w:r>
      <w:r w:rsidR="00151AD7" w:rsidRPr="00E72303">
        <w:rPr>
          <w:rFonts w:ascii="Cambria Math" w:hAnsi="Cambria Math" w:cs="Cambria Math"/>
        </w:rPr>
        <w:instrText>⎧</w:instrText>
      </w:r>
      <w:r w:rsidR="00151AD7" w:rsidRPr="00E72303">
        <w:instrText xml:space="preserve"> </w:instrText>
      </w:r>
      <w:r w:rsidR="00151AD7" w:rsidRPr="00E72303">
        <w:rPr>
          <w:rFonts w:ascii="Cambria Math" w:hAnsi="Cambria Math" w:cs="Cambria Math"/>
        </w:rPr>
        <w:instrText>⎨</w:instrText>
      </w:r>
      <w:r w:rsidR="00151AD7" w:rsidRPr="00E72303">
        <w:instrText xml:space="preserve"> </w:instrText>
      </w:r>
      <w:r w:rsidR="00151AD7" w:rsidRPr="00E72303">
        <w:rPr>
          <w:rFonts w:ascii="Cambria Math" w:hAnsi="Cambria Math" w:cs="Cambria Math"/>
        </w:rPr>
        <w:instrText>⎪</w:instrText>
      </w:r>
      <w:r w:rsidR="00151AD7" w:rsidRPr="00E72303">
        <w:instrText xml:space="preserve"> </w:instrText>
      </w:r>
      <w:r w:rsidR="00151AD7" w:rsidRPr="00E72303">
        <w:rPr>
          <w:rFonts w:ascii="Cambria Math" w:hAnsi="Cambria Math" w:cs="Cambria Math"/>
        </w:rPr>
        <w:instrText>⎩</w:instrText>
      </w:r>
      <w:r w:rsidR="00151AD7" w:rsidRPr="00E72303">
        <w:instrText xml:space="preserve"> </w:instrText>
      </w:r>
      <w:r w:rsidR="00151AD7" w:rsidRPr="00E72303">
        <w:rPr>
          <w:rFonts w:ascii="Cambria Math" w:hAnsi="Cambria Math" w:cs="Cambria Math"/>
        </w:rPr>
        <w:instrText>⎪</w:instrText>
      </w:r>
      <w:r w:rsidR="00151AD7" w:rsidRPr="00E72303">
        <w:instrText xml:space="preserve"> 1 0 2 if otherwise , () U X in in in = + </w:instrText>
      </w:r>
      <w:r w:rsidR="00151AD7" w:rsidRPr="00E72303">
        <w:rPr>
          <w:rFonts w:cs="Times New Roman"/>
        </w:rPr>
        <w:instrText>β</w:instrText>
      </w:r>
      <w:r w:rsidR="00151AD7" w:rsidRPr="00E72303">
        <w:instrText xml:space="preserve"> </w:instrText>
      </w:r>
      <w:r w:rsidR="00151AD7" w:rsidRPr="00E72303">
        <w:rPr>
          <w:rFonts w:cs="Times New Roman"/>
        </w:rPr>
        <w:instrText>υ</w:instrText>
      </w:r>
      <w:r w:rsidR="00151AD7" w:rsidRPr="00E72303">
        <w:instrText xml:space="preserve"> () 1 In the past decade, a new trend in discrete choice modeling has emerged: psychological factors are explicitly incorporated to enhance the behavioral representation of the</w:instrText>
      </w:r>
      <w:r w:rsidR="00151AD7" w:rsidRPr="00E72303">
        <w:rPr>
          <w:rFonts w:cs="Times New Roman"/>
        </w:rPr>
        <w:instrText>…</w:instrText>
      </w:r>
      <w:r w:rsidR="00151AD7" w:rsidRPr="00E72303">
        <w:instrText>","author":[{"dropping-particle":"","family":"Bolduc","given":"Denis","non-dropping-particle":"","parse-names":false,"suffix":""},{"dropping-particle":"","family":"Boucher","given":"Nathalie","non-dropping-particle":"","parse-names":false,"suffix":""},{"dropping-particle":"","family":"Alvarez-Daziano","given":"Ricardo","non-dropping-particle":"","parse-names":false,"suffix":""}],"container-title":"Transportation Research Record: Journal of the Transportation Research","id":"ITEM-3","issued":{"date-parts":[["2008"]]},"page":"63-71","title":"Hybrid Choice Modeling of New Technologies for Car Choice in Canada","type":"article-journal","volume":"2082"},"uris":["http://www.mendeley.com/documents/?uuid=bf7e04b6-4949-3c62-b836-b2b369217583"]},{"id":"ITEM-4","itemData":{"DOI":"10.1016/J.TRB.2008.01.004","ISSN":"0191-2615","abstract":"This paper develops a new method to solve multivariate discrete-continuous problems and applies the model to measure the influence of residential density on households' vehicle fuel efficiency and usage choices. Traditional discrete-continuous modelling of vehicle holding choice and vehicle usage becomes unwieldy with large numbers of vehicles and vehicle categories. I propose a more flexible method of modelling vehicle holdings in terms of number of vehicles in each category, using a Bayesian multivariate ordinal response system. I also combine the multivariate ordered equations with Tobit equations to jointly estimate vehicle type/usage demand in a reduced form, offering a simpler alternative to the traditional discrete/continuous analysis. Using the 2001 National Household Travel Survey data, I find that increasing residential density reduces households' truck holdings and utilization in a statistically significant but economically insignificant way. The results are broadly consistent with those from a model derived from random utility maximization. The method developed above can be applied to other discrete-continuous problems. © 2008 Elsevier Ltd. All rights reserved.","author":[{"dropping-particle":"","family":"Fang","given":"Hao Audrey","non-dropping-particle":"","parse-names":false,"suffix":""}],"container-title":"Transportation Research Part B: Methodological","id":"ITEM-4","issue":"9","issued":{"date-parts":[["2008","11","1"]]},"page":"736-758","publisher":"Pergamon","title":"A discrete–continuous model of households’ vehicle choice and usage, with an application to the effects of residential density","type":"article-journal","volume":"42"},"uris":["http://www.mendeley.com/documents/?uuid=b9a12786-8cc6-3cfe-a2bd-33dd85d1cf1e"]},{"id":"ITEM-5","itemData":{"DOI":"10.1016/J.SCITOTENV.2019.01.222","ISSN":"0048-9697","PMID":"30739861","abstract":"The rapidly increasing and widespread use of vehicles has intensified fuel consumption and environmental pollution. Big data on urban dynamic traffic flow can be used to improve the economics and environmental impact of vehicle travel by effectively reducing fuel usage and pollution. In this study, a fuel consumption and emissions measurement model of vehicles coupled with a dynamic traffic network were established based on a large dataset of real-world vehicle experiments. This study improved upon the traditional Dijkstra algorithm used for path planning and then, the improved algorithm was combined with a vehicle fuel consumption and emissions measurement model. An optimal path simulation analysis was performed in MATLAB based on road networks generated by ArcGIS and different optimization targets were assessed including the shortest time, shortest distance, least fuel consumption, and lowest emissions. The results show that factors such as the road type and traffic environment at intersections can greatly affect fuel consumption and emissions. Large differences in path planning results were observed depending on the optimization target. The proposed economic and environmental protection model for vehicle path planning based on a dynamic traffic network can effectively reduce fuel consumption and emissions during travel, thus, providing a new method to improve urban environmental pollution in China.","author":[{"dropping-particle":"","family":"Guo","given":"Dong","non-dropping-particle":"","parse-names":false,"suffix":""},{"dropping-particle":"","family":"Wang","given":"Juan","non-dropping-particle":"","parse-names":false,"suffix":""},{"dropping-particle":"","family":"Zhao","given":"Jin B.","non-dropping-particle":"","parse-names":false,"suffix":""},{"dropping-particle":"","family":"Sun","given":"Feng","non-dropping-particle":"","parse-names":false,"suffix":""},{"dropping-particle":"","family":"Gao","given":"Song","non-dropping-particle":"","parse-names":false,"suffix":""},{"dropping-particle":"","family":"Li","given":"Chun D.","non-dropping-particle":"","parse-names":false,"suffix":""},{"dropping-particle":"","family":"Li","given":"Ming H.","non-dropping-particle":"","parse-names":false,"suffix":""},{"dropping-particle":"","family":"Li","given":"Chao C.","non-dropping-particle":"","parse-names":false,"suffix":""}],"container-title":"Science of The Total Environment","id":"ITEM-5","issued":{"date-parts":[["2019","5","1"]]},"page":"935-943","publisher":"Elsevier","title":"A vehicle path planning method based on a dynamic traffic network that considers fuel consumption and emissions","type":"article-journal","volume":"663"},"uris":["http://www.mendeley.com/documents/?uuid=44de3b6d-6a3a-32ed-a40d-10e0208fd445"]},{"id":"ITEM-6","itemData":{"DOI":"10.1007/S12239-018-0122-8","ISSN":"1976-3832","abstract":"In order to build and efficiently implement a policy to reduce greenhouse gas (GHG) emissions, a Tier-3 level emission factor is necessary. The GHG emission factor for the passenger vehicle segment was developed by the Korean Ministry of Environment up to 2009, after which the Korean Ministry of Land, Infrastructure and Transport has been conducting the task. This study aims to develop a Tier-3 level GHG emission factor reflecting the emission trends of passenger vehicles by fuel type and size class from 2010 to 2018. To secure the reliability of the newly developed Tier-3 GHG emission factor, all testing results were obtained through statistical analysis, and the final regression model was selected through a comparison of a coefficient of determination (R2). A review of the measurement uncertainty was conducted in order to examine the accuracy of the test results. The new Tier-3 emission factor developed through this study will be used for calculating national GHG emissions as well as establishing policies for the issue.","author":[{"dropping-particle":"","family":"Ryu","given":"Dojeung","non-dropping-particle":"","parse-names":false,"suffix":""},{"dropping-particle":"","family":"Kim","given":"Charyung","non-dropping-particle":"","parse-names":false,"suffix":""},{"dropping-particle":"","family":"Lee","given":"Shibok","non-dropping-particle":"","parse-names":false,"suffix":""}],"container-title":"International Journal of Automotive Technology 2020 21:5","id":"ITEM-6","issue":"5","issued":{"date-parts":[["2020","10","2"]]},"page":"1293-1302","publisher":"Springer","title":"Development of GHG Emission Factor for Passenger Vehicles by Fuel Type and Size Class Using Statistical Analysis Method","type":"article-journal","volume":"21"},"uris":["http://www.mendeley.com/documents/?uuid=c728ca1e-f2ec-3a5e-93d2-416713b646a2"]},{"id":"ITEM-7","itemData":{"DOI":"10.1016/J.ENPOL.2018.05.057","ISSN":"03014215","abstract":"Conventional counterfactuals used in literature may underestimate fuel savings from clean vehicle adoption, thus overestimating the costs of securing associated environmental benefits. Using a large-scale nationally representative sample of U.S. new car buyers, we propose a choice model-based counterfactual approach to predict what consumers would purchase if clean vehicles were unavailable. We find that gasoline consumption under a no clean vehicle scenario increases by 1.7%, compared with 1.1% based on a conventional counterfactual. The conventional counterfactual overestimates the cost of gasoline savings from clean vehicle adoption incentives by $1.16 (27%) per gallon compared with the choice model-based counterfactual.","author":[{"dropping-particle":"","family":"Sheldon","given":"Tamara L.","non-dropping-particle":"","parse-names":false,"suffix":""},{"dropping-particle":"","family":"Dua","given":"Rubal","non-dropping-particle":"","parse-names":false,"suffix":""}],"container-title":"Energy Policy","id":"ITEM-7","issued":{"date-parts":[["2018","9","1"]]},"page":"418-424","publisher":"Elsevier Ltd","title":"Gasoline savings from clean vehicle adoption","type":"article-journal","volume":"120"},"uris":["http://www.mendeley.com/documents/?uuid=fb9399f3-4f77-3f11-84c2-4edc1d2f6b98"]},{"id":"ITEM-8","itemData":{"DOI":"10.1016/J.ENECO.2020.105026","ISSN":"01409883","abstract":"This paper investigates the drivers of recent improvements in Saudi Arabia's fleet fuel economy for new vehicles including passenger cars and light-duty trucks. Vehicle choice models are estimated using both aggregate new vehicle sales data and disaggregate new vehicle buyer survey data. The estimated models are used to simulate counterfactual policy scenarios. Simulation results suggest that the Saudi gasoline price elasticity of demand for new vehicle fuel economy decreased slightly over recent years, but it is still more elastic than that of the United States. Moreover, the increase in domestic gasoline prices between 2014 and 2016 accounted for 42% of the increase in estimated new vehicle fleet fuel economy over that period. Finally, the estimated elasticities, and thus policy sensitivities, vary by income and household size. A revenue-neutral household income- and size-based feebate policy could be more progressive than a gasoline price increase for improving the new vehicle fleet fuel economy.","author":[{"dropping-particle":"","family":"Sheldon","given":"Tamara L.","non-dropping-particle":"","parse-names":false,"suffix":""},{"dropping-particle":"","family":"Dua","given":"Rubal","non-dropping-particle":"","parse-names":false,"suffix":""}],"container-title":"Energy Economics","id":"ITEM-8","issued":{"date-parts":[["2021","5","1"]]},"publisher":"Elsevier B.V.","title":"How responsive is Saudi new vehicle fleet fuel economy to fuel-and vehicle-price policy levers?","type":"article-journal","volume":"97"},"uris":["http://www.mendeley.com/documents/?uuid=dd054349-c069-30c1-b2da-dce6fce13606"]}],"mendeley":{"formattedCitation":"(Ahn et al., 2008; Bhat et al., 2009; Bolduc et al., 2008; Fang, 2008; Guo et al., 2019; Ryu et al., 2020; Sheldon &amp; Dua, 2018, 2021)","manualFormatting":"(Ahn et al., 2008; Bolduc et al., 2008; Fang, 2008; Bhat et al., 2009; Sheldon and Dua, 2018, 2021; Guo et al., 2019; Ryu et al., 2020)","plainTextFormattedCitation":"(Ahn et al., 2008; Bhat et al., 2009; Bolduc et al., 2008; Fang, 2008; Guo et al., 2019; Ryu et al., 2020; Sheldon &amp; Dua, 2018, 2021)","previouslyFormattedCitation":"(Ahn et al., 2008; Bhat et al., 2009; Bolduc et al., 2008; Fang, 2008; Guo et al., 2019; Ryu et al., 2020; Sheldon &amp; Dua, 2018, 2021)"},"properties":{"noteIndex":0},"schema":"https://github.com/citation-style-language/schema/raw/master/csl-citation.json"}</w:instrText>
      </w:r>
      <w:r w:rsidR="00B066A4" w:rsidRPr="00E72303">
        <w:fldChar w:fldCharType="separate"/>
      </w:r>
      <w:r w:rsidR="00B11099" w:rsidRPr="00E72303">
        <w:rPr>
          <w:noProof/>
        </w:rPr>
        <w:t>(Ahn</w:t>
      </w:r>
      <w:r w:rsidR="00D30BAA" w:rsidRPr="00E72303">
        <w:rPr>
          <w:noProof/>
        </w:rPr>
        <w:t xml:space="preserve"> et al.</w:t>
      </w:r>
      <w:r w:rsidR="00B11099" w:rsidRPr="00E72303">
        <w:rPr>
          <w:noProof/>
        </w:rPr>
        <w:t>, 2008; Bolduc</w:t>
      </w:r>
      <w:r w:rsidR="00D30BAA" w:rsidRPr="00E72303">
        <w:rPr>
          <w:noProof/>
        </w:rPr>
        <w:t xml:space="preserve"> et al.</w:t>
      </w:r>
      <w:r w:rsidR="00B11099" w:rsidRPr="00E72303">
        <w:rPr>
          <w:noProof/>
        </w:rPr>
        <w:t>, 2008; Fang, 2008; Bhat</w:t>
      </w:r>
      <w:r w:rsidR="00D30BAA" w:rsidRPr="00E72303">
        <w:rPr>
          <w:noProof/>
        </w:rPr>
        <w:t xml:space="preserve"> et al.</w:t>
      </w:r>
      <w:r w:rsidR="00B11099" w:rsidRPr="00E72303">
        <w:rPr>
          <w:noProof/>
        </w:rPr>
        <w:t>, 2009; Sheldon and Dua, 2018, 2021; Guo et al., 2019; Ryu</w:t>
      </w:r>
      <w:r w:rsidR="00D30BAA" w:rsidRPr="00E72303">
        <w:rPr>
          <w:noProof/>
        </w:rPr>
        <w:t xml:space="preserve"> et al.</w:t>
      </w:r>
      <w:r w:rsidR="00B11099" w:rsidRPr="00E72303">
        <w:rPr>
          <w:noProof/>
        </w:rPr>
        <w:t>, 2020)</w:t>
      </w:r>
      <w:r w:rsidR="00B066A4" w:rsidRPr="00E72303">
        <w:fldChar w:fldCharType="end"/>
      </w:r>
      <w:r w:rsidR="006028EE" w:rsidRPr="00E72303">
        <w:t xml:space="preserve">, </w:t>
      </w:r>
      <w:r w:rsidR="001E2EAF" w:rsidRPr="00E72303">
        <w:t xml:space="preserve">and </w:t>
      </w:r>
      <w:r w:rsidR="006028EE" w:rsidRPr="00E72303">
        <w:t>(c) adoption of alternative fuel vehicle</w:t>
      </w:r>
      <w:r w:rsidR="00412028" w:rsidRPr="00E72303">
        <w:t>s</w:t>
      </w:r>
      <w:r w:rsidR="006028EE" w:rsidRPr="00E72303">
        <w:t xml:space="preserve"> including EVs</w:t>
      </w:r>
      <w:r w:rsidR="00255EAB" w:rsidRPr="00E72303">
        <w:t xml:space="preserve"> </w:t>
      </w:r>
      <w:r w:rsidR="005313F7" w:rsidRPr="00E72303">
        <w:fldChar w:fldCharType="begin" w:fldLock="1"/>
      </w:r>
      <w:r w:rsidR="00151AD7" w:rsidRPr="00E72303">
        <w:instrText>ADDIN CSL_CITATION {"citationItems":[{"id":"ITEM-1","itemData":{"DOI":"10.1016/J.TRD.2011.08.005","ISSN":"13619209","abstract":"This paper models consumer preferences for alternative fuel cars and conventional, petrol fueled cars in China. It compares discrete choice model specifications where each specification reflects how consumers choose between alternative fuel cars and conventional types of cars. We find that, in China, consumers differentiate between the types of alternative fuel cars and are more likely to consider switching from petrol fuel vehicles to hybrid than to electric cars. Segmentation analysis is used to explore groups of consumers and their likelihood of adopting alternative fuel cars. © 2011 Elsevier Ltd.","author":[{"dropping-particle":"","family":"Qian","given":"Lixian","non-dropping-particle":"","parse-names":false,"suffix":""},{"dropping-particle":"","family":"Soopramanien","given":"Didier","non-dropping-particle":"","parse-names":false,"suffix":""}],"container-title":"Transportation Research Part D: Transport and Environment","id":"ITEM-1","issue":"8","issued":{"date-parts":[["2011"]]},"page":"607-613","publisher":"Elsevier Ltd","title":"Heterogeneous consumer preferences for alternative fuel cars in China","type":"article-journal","volume":"16"},"uris":["http://www.mendeley.com/documents/?uuid=b42e0f6b-9d0a-38ce-b499-fa2d47fd08eb"]},{"id":"ITEM-2","itemData":{"DOI":"10.1016/j.enpol.2011.04.007","ISSN":"03014215","abstract":"A spatially explicit agent-based vehicle consumer choice model is developed to explore sensitivities and nonlinear interactions between various potential influences on plug-in hybrid vehicle (PHEV) market penetration. The model accounts for spatial and social effects (including threshold effects, homophily, and conformity) and media influences. Preliminary simulations demonstrate how such a model could be used to identify nonlinear interactions among potential leverage points, inform policies affecting PHEV market penetration, and help identify future data collection necessary to more accurately model the system. We examine sensitivity of the model to gasoline prices, to accuracy in estimation of fuel costs, to agent willingness to adopt the PHEV technology, to PHEV purchase price and rebates, to PHEV battery range, and to heuristic values related to gasoline usage. Our simulations indicate that PHEV market penetration could be enhanced significantly by providing consumers with ready estimates of expected lifetime fuel costs associated with different vehicles (e.g., on vehicle stickers), and that increases in gasoline prices could nonlinearly magnify the impact on fleet efficiency. We also infer that a potential synergy from a gasoline tax with proceeds is used to fund research into longer-range lower-cost PHEV batteries. © 2011 Elsevier Ltd.","author":[{"dropping-particle":"","family":"Eppstein","given":"Margaret J.","non-dropping-particle":"","parse-names":false,"suffix":""},{"dropping-particle":"","family":"Grover","given":"David K.","non-dropping-particle":"","parse-names":false,"suffix":""},{"dropping-particle":"","family":"Marshall","given":"Jeffrey S.","non-dropping-particle":"","parse-names":false,"suffix":""},{"dropping-particle":"","family":"Rizzo","given":"Donna M.","non-dropping-particle":"","parse-names":false,"suffix":""}],"container-title":"Energy Policy","id":"ITEM-2","issue":"6","issued":{"date-parts":[["2011"]]},"page":"3789-3802","publisher":"Elsevier","title":"An agent-based model to study market penetration of plug-in hybrid electric vehicles","type":"article-journal","volume":"39"},"uris":["http://www.mendeley.com/documents/?uuid=ead46c36-5241-4ed7-9614-2bd755ee0d7a"]},{"id":"ITEM-3","itemData":{"DOI":"10.1016/J.TRA.2015.12.005","ISSN":"0965-8564","abstract":"In the light of European energy efficiency and clean air regulations, as well as an ambitious electric mobility goal of the German government, we examine consumer preferences for alternative fuel vehicles (AFVs) based on a Germany-wide discrete choice experiment among 711 potential car buyers. We estimate consumers' willingness-to-pay and compensating variation (CV) for improvements in vehicle attributes, also taking taste differences in the population into account by applying a latent class model with 6 distinct consumer segments. Our results indicate that about 1/3 of the consumers are oriented towards at least one AFV option, with almost half of them being AFV-affine, showing a high probability of choosing AFVs despite their current shortcomings. Our results suggest that German car buyers' willingness-to-pay for improvements of the various vehicle attributes varies considerably across consumer groups and that the vehicle features have to meet some minimum requirements for considering AFVs. The CV values show that decision-makers in the administration and industry should focus on the most promising consumer group of 'AFV aficionados' and their needs. It also shows that some vehicle attribute improvements could increase the demand for AFVs cost-effectively, and that consumers would accept surcharges for some vehicle attributes at a level which could enable their private provision and economic operation (e.g. fast-charging infrastructure). Improvement of other attributes will need governmental subsidies to compensate for insufficient consumer valuation (e.g. battery capacity).","author":[{"dropping-particle":"","family":"Hackbarth","given":"André","non-dropping-particle":"","parse-names":false,"suffix":""},{"dropping-particle":"","family":"Madlener","given":"Reinhard","non-dropping-particle":"","parse-names":false,"suffix":""}],"container-title":"Transportation Research Part A: Policy and Practice","id":"ITEM-3","issued":{"date-parts":[["2016","3","1"]]},"page":"89-111","publisher":"Pergamon","title":"Willingness-to-pay for alternative fuel vehicle characteristics: A stated choice study for Germany","type":"article-journal","volume":"85"},"uris":["http://www.mendeley.com/documents/?uuid=a8321f9f-aa03-3cf1-af18-e954468aafac"]},{"id":"ITEM-4","itemData":{"DOI":"10.1016/J.TRA.2014.01.008","ISSN":"09658564","abstract":"This paper presents results of an online stated choice experiment on preferences of Dutch private car owners for alternative fuel vehicles (AFVs) and their characteristics. Results show that negative preferences for alternative fuel vehicles are large, especially for the electric and fuel cell car, mostly as a result of their limited driving range and considerable refueling times. Preference for AFVs increases considerably with improvements on driving range, refueling time and fuel availability. Negative AFV preferences remain, however, also with substantial improvements in AFV characteristics; the remaining willingness to accept is on average € 10,000-€ 20,000 per AFV. Results from a mixed logit model show that consumer preferences for AFVs and AFV characteristics are heterogeneous to a large extent, in particular for the electric car, additional detour time and fuel time for the electric and fuel cell car. An interaction model reveals that annual mileage is by far the most important factor that determines heterogeneity in preferences for the electric and fuel cell car. When annual mileage increases, the preference for electric and fuel cell cars decreases substantially, whilst the willingness to pay for driving range increases substantially. Other variables such as using the car for holidays abroad and the daily commute also appear to be relevant for car choice. © 2014 Elsevier Ltd.","author":[{"dropping-particle":"","family":"Hoen","given":"Anco","non-dropping-particle":"","parse-names":false,"suffix":""},{"dropping-particle":"","family":"Koetse","given":"Mark J.","non-dropping-particle":"","parse-names":false,"suffix":""}],"container-title":"Transportation Research Part A: Policy and Practice","id":"ITEM-4","issued":{"date-parts":[["2014"]]},"page":"199-215","publisher":"Elsevier Ltd","title":"A choice experiment on alternative fuel vehicle preferences of private car owners in the Netherlands","type":"article-journal","volume":"61"},"uris":["http://www.mendeley.com/documents/?uuid=7a116914-f457-3ba9-b445-38419f75a747"]},{"id":"ITEM-5","itemData":{"DOI":"10.1016/J.JTRANGEO.2015.02.005","ISSN":"0966-6923","abstract":"Electric vehicles (EVs) are predicted to increase in market share as auto manufacturers introduce more fuel efficient vehicles to meet stricter fuel economy mandates and fossil fuel costs remain unpredictable. Reflecting spatial autocorrelation while controlling for a variety of demographic and locational (e.g., built environment) attributes, the zone-level spatial count model in this paper offers valuable information for power providers and charging station location decisions. By anticipating over 745,000 personal-vehicle registrations across a sample of 1000 census block groups in the Philadelphia region, a trivariate Poisson-lognormal conditional autoregressive (CAR) model anticipates Prius hybrid EV, other EV, and conventional vehicle ownership levels. Initial results signal higher EV ownership rates in more central zones with higher household incomes, along with significant residual spatial autocorrelation, suggesting that spatially-correlated latent variables and/or peer (neighbor) effects on purchase decisions are present. Such data sets will become more comprehensive and informative as EV market shares rise. This work's multivariate Poisson-lognormal CAR modeling approach offers a rigorous, behaviorally-defensible framework for spatial patterns in choice behavior.","author":[{"dropping-particle":"","family":"Chen","given":"T. Donna","non-dropping-particle":"","parse-names":false,"suffix":""},{"dropping-particle":"","family":"Wang","given":"Yiyi","non-dropping-particle":"","parse-names":false,"suffix":""},{"dropping-particle":"","family":"Kockelman","given":"Kara M.","non-dropping-particle":"","parse-names":false,"suffix":""}],"container-title":"Journal of Transport Geography","id":"ITEM-5","issued":{"date-parts":[["2015","2","1"]]},"page":"181-188","publisher":"Pergamon","title":"Where are the electric vehicles? A spatial model for vehicle-choice count data","type":"article-journal","volume":"43"},"uris":["http://www.mendeley.com/documents/?uuid=d968c5ec-cdb2-3c05-8b31-22095811ae58"]},{"id":"ITEM-6","itemData":{"DOI":"10.1016/J.TRANPOL.2016.05.012","ISSN":"1879310X","abstract":"The transport sector is a major source of greenhouse gas emissions worldwide as well as in Germany and is therefore able to contribute significantly to the achievement of climate protection goals. With this in mind and the steadily increasing electricity generation from renewable energy sources in Germany, electrically driven vehicles can be an attractive option to reach the climate targets of the EU and the German government. The target of the German government to have at least one million electric vehicles registered by 2020 seems currently far from realisation. For this reason, this article analyses the total cost of ownership (TCO) of electric passenger vehicles in Germany on a component-based approach and gives an estimation about the further development until 2050. To represent the German market, we investigate different vehicle sizes, user types and drive technologies. Furthermore, we show the CO2 abatement potential offered by different types of electric vehicles. Finally, we analyse buyer's premiums as an incentive to accelerate the uptake of electric vehicles on German roads.In result, even without governmental subsidies, full and mild hybrid electric vehicles are already an economic option for a wide range of vehicle sizes and user types. To achieve nowadays cost competitiveness for full electric vehicle powertrains, considerable buyer's premiums are necessary. For plug-in hybrid electric vehicles and battery electric vehicles, the premiums range from about 8,600 to 32,400 EUR2010/vehicle depending on the vehicle size and user type. Eventually, following the future cost estimations, full electric vehicles can reach economic viability from 2030 onwards for many of the investigated vehicles and users.","author":[{"dropping-particle":"","family":"Bubeck","given":"Steffen","non-dropping-particle":"","parse-names":false,"suffix":""},{"dropping-particle":"","family":"Tomaschek","given":"Jan","non-dropping-particle":"","parse-names":false,"suffix":""},{"dropping-particle":"","family":"Fahl","given":"Ulrich","non-dropping-particle":"","parse-names":false,"suffix":""}],"container-title":"Transport Policy","id":"ITEM-6","issued":{"date-parts":[["2016","8","1"]]},"page":"63-77","publisher":"Elsevier Ltd","title":"Perspectives of electric mobility: Total cost of ownership of electric vehicles in Germany","type":"article-journal","volume":"50"},"uris":["http://www.mendeley.com/documents/?uuid=dbd0c73e-4a16-3d2c-aa43-134160f9e592"]},{"id":"ITEM-7","itemData":{"DOI":"10.1016/J.RSER.2016.10.005","ISSN":"1364-0321","abstract":"In the literature electric vehicle use is modelled using of a variety of approaches in power systems, energy and environmental analyses as well as in travel demand analysis. This paper provides a systematic review of these diverse approaches using a twofold classification of electric vehicle use representation, based on the time scale and on substantive differences in the modelling techniques. For time of day analysis of demand we identify activity-based modelling (ABM) as the most attractive because it provides a framework amenable for integrated cross-sector analyses, required for the emerging integration of the transport and electricity network. However, we find that the current examples of implementation of AMB simulation tools for EV-grid interaction analyses have substantial limitations. Amongst the most critical there is the lack of realism how charging behaviour is represented.","author":[{"dropping-particle":"","family":"Daina","given":"Nicolò","non-dropping-particle":"","parse-names":false,"suffix":""},{"dropping-particle":"","family":"Sivakumar","given":"Aruna","non-dropping-particle":"","parse-names":false,"suffix":""},{"dropping-particle":"","family":"Polak","given":"John W.","non-dropping-particle":"","parse-names":false,"suffix":""}],"container-title":"Renewable and Sustainable Energy Reviews","id":"ITEM-7","issued":{"date-parts":[["2017","2","1"]]},"page":"447-460","publisher":"Pergamon","title":"Modelling electric vehicles use: a survey on the methods","type":"article-journal","volume":"68"},"uris":["http://www.mendeley.com/documents/?uuid=36a6018a-34a5-3d9c-b1b7-fd690754c40e"]},{"id":"ITEM-8","itemData":{"DOI":"10.1016/J.TRD.2018.04.010","ISSN":"13619209","abstract":"There is a growing consensus that moving to a low carbon future within the transport sector will require a substantial shift away from fossil fuels toward more sustainable means of transport. A particular emphasis has been given to battery electric vehicles (BEV) and plug in hybrid electric vehicles (PHEV), with many nations investing in improving their charging infrastructure and incentivising electric vehicle purchasing through offering grant schemes and tax relief to consumers. Despite these incentives, the uptake of BEVs and PHEVs has been low, while some countries, such as Ireland and Denmark, are in the process of removing the tax relief currently in place. This initial retraction has already been met with a fall in sales of BEVs and PHEVs, which is expected to continue decreasing as these incentives are further reduced. This study develops a socio-economic consumer choice model of the private transport sector based off national empirical data for Ireland and Denmark to analyse the long-term effects of these subsidy retractions, and to further analyse the policy measures and associated cost of moving toward a low carbon private transport sector.","author":[{"dropping-particle":"","family":"Mulholland","given":"Eamonn","non-dropping-particle":"","parse-names":false,"suffix":""},{"dropping-particle":"","family":"Tattini","given":"Jacopo","non-dropping-particle":"","parse-names":false,"suffix":""},{"dropping-particle":"","family":"Ramea","given":"Kalai","non-dropping-particle":"","parse-names":false,"suffix":""},{"dropping-particle":"","family":"Yang","given":"Christopher","non-dropping-particle":"","parse-names":false,"suffix":""},{"dropping-particle":"","family":"Ó Gallachóir","given":"Brian P.","non-dropping-particle":"","parse-names":false,"suffix":""}],"container-title":"Transportation Research Part D: Transport and Environment","id":"ITEM-8","issued":{"date-parts":[["2018","7","1"]]},"page":"584-603","publisher":"Elsevier Ltd","title":"The cost of electrifying private transport – Evidence from an empirical consumer choice model of Ireland and Denmark","type":"article-journal","volume":"62"},"uris":["http://www.mendeley.com/documents/?uuid=0f24aaf0-45b8-3acb-b2df-9b48c7a2291b"]},{"id":"ITEM-9","itemData":{"DOI":"10.1016/j.tranpol.2018.10.006","ISSN":"1879310X","abstract":"Successful market penetration of electric vehicles may not only rely on the characteristics of the technology but also on the business models available on the market. This study aims to assess and quantify consumer preferences for business models in the context of Electric Vehicle (EV) adoption. In particular, we explore the impact of attitudes on preferences and choices regarding business models. We examine three business models in the present study: battery leasing, vehicle leasing and mobility guarantee. We design a stated choice experiment to disentangle the effect of business models from other factors and estimate a hybrid choice model. According to the results, the preferences for business models depend on the vehicle type: for battery electric vehicle (BEV), vehicle leasing is the most preferred option and battery leasing is the least preferred, while for conventional cars (CV) and plug-in hybrids (PHEV) the traditional business model of full purchase remains more popular. The attitudes of pro-convenience, pro-ownership and pro-EV leasing are all significantly associated with the choice of business models. As for mobility guarantee, we do not find any significant effect on utility. Finally, we discuss the implications for business strategy and government policy derived from our results.","author":[{"dropping-particle":"","family":"Liao","given":"Fanchao","non-dropping-particle":"","parse-names":false,"suffix":""},{"dropping-particle":"","family":"Molin","given":"Eric","non-dropping-particle":"","parse-names":false,"suffix":""},{"dropping-particle":"","family":"Timmermans","given":"Harry","non-dropping-particle":"","parse-names":false,"suffix":""},{"dropping-particle":"","family":"Wee","given":"Bert","non-dropping-particle":"van","parse-names":false,"suffix":""}],"container-title":"Transport Policy","id":"ITEM-9","issue":"October 2018","issued":{"date-parts":[["2019"]]},"page":"12-24","title":"Consumer preferences for business models in electric vehicle adoption","type":"article-journal","volume":"73"},"uris":["http://www.mendeley.com/documents/?uuid=a50d8466-c0ce-4f01-9961-674dd38c134b"]},{"id":"ITEM-10","itemData":{"DOI":"10.1177/0361198120947089","abstract":"The road transport sector in India is on the cusp of a transition to battery electric vehicles (BEVs) from internal combustion engines (ICEs). Government of India (GoI) has announced several policy measures to push the adoption of electric vehicles (EVs). However, EVs involve a high capital cost but lower operating costs. Therefore, the economics of EVs visa `-vis ICE vehicles depends on the extent of their daily use. The daily use, in turn, can vary significantly from context to context. In this paper, a model to compare the total cost of ownership (TCO) of an EV with different fuel variants (petrol, diesel, and compressed natural gas [CNG]) of their ICE counterparts is presented. It is found that, on an average, the TCO per km of electric two-wheelers (e-2Ws) and electric three-wheelers (e-3Ws) is less than their ICE counterparts at the typical average daily usage of the vehicles in Indian cities. In the case of hatchback and sedan cars, the TCO per km of electric cars (e-cars) is higher than their ICE counterparts. The TCO per km of electric bus (e-bus) is higher than diesel and CNG buses because of high initial purchase cost. Policymakers need to explore innovative business models and strategy for high vehicle utilization to improve the economic viability of EVs. Efficient planning of charging infrastructure and fast charging options will further help in accelerating the adoption of EVs in India. Like several other countries, India has decided to scale up the use of electric vehicles (EVs) in its transportation system (1-3). Poor air quality in major cities, need for energy security, and rising greenhouse gas emissions from road transport are driving this transition (4-8). In India, central government schemes have offered financial incentives for transitioning to EVs by way of subsidies on the purchase of electric vehicles, establishment of charging stations, and so forth (9). Several state governments have also come up with policies aimed at promoting EVs (10). These policies seek to increase the uptake of EVs by: Creating phase-wise targets for the adoption of EVs in both public and personal vehicle segments; Providing subsidies for the capital cost for different vehicle segments; Exempting registration charges and taxes for EVs (in the personal mobility domain); Providing free or least-cost parking in public places for EVs; Supply-side interventions such as battery disposal infrastructure model, and encouraging manufacturing and assembly of batte…","author":[{"dropping-particle":"","family":"Kumar","given":"Parveen","non-dropping-particle":"","parse-names":false,"suffix":""},{"dropping-particle":"","family":"Chakrabarty","given":"Subrata","non-dropping-particle":"","parse-names":false,"suffix":""}],"id":"ITEM-10","issue":"11","issued":{"date-parts":[["2020"]]},"page":"563-572","publisher":"Transportation Research Board","title":"Total Cost of Ownership Analysis of the Impact of Vehicle Usage on the Economic Viability of Electric Vehicles in India","type":"article-journal","volume":"2674"},"uris":["http://www.mendeley.com/documents/?uuid=41ea7181-5b08-3bd0-b01e-e24a1a7f7fb4"]},{"id":"ITEM-11","itemData":{"DOI":"10.1016/J.TRD.2021.102727","ISSN":"1361-9209","abstract":"We describe the anatomy of electric car ownership in Norway, the country with the highest market share of low-emission vehicles, using matched administrative micro data covering the entire population of private car owners. Our results show that socioeconomic characteristics are strong predictors of the car portfolio. Battery electric vehicle (BEV) ownership is increasing in wealth, income and education. While early BEV owners differed from other car owners, over time BEV owners have become more similar to other car owners. We document a strong association between BEV privileges on the travel to work (like toll road exemptions and bus lane access) and BEV ownership. We show that BEV buyers are less likely than other car buyers to sell their old car, but this difference has diminished over time.","author":[{"dropping-particle":"","family":"Fevang","given":"Elisabeth","non-dropping-particle":"","parse-names":false,"suffix":""},{"dropping-particle":"","family":"Figenbaum","given":"Erik","non-dropping-particle":"","parse-names":false,"suffix":""},{"dropping-particle":"","family":"Fridstrøm","given":"Lasse","non-dropping-particle":"","parse-names":false,"suffix":""},{"dropping-particle":"","family":"Halse","given":"Askill H.","non-dropping-particle":"","parse-names":false,"suffix":""},{"dropping-particle":"","family":"Hauge","given":"Karen E.","non-dropping-particle":"","parse-names":false,"suffix":""},{"dropping-particle":"","family":"Johansen","given":"Bjørn G.","non-dropping-particle":"","parse-names":false,"suffix":""},{"dropping-particle":"","family":"Raaum","given":"Oddbjørn","non-dropping-particle":"","parse-names":false,"suffix":""}],"container-title":"Transportation Research Part D: Transport and Environment","id":"ITEM-11","issued":{"date-parts":[["2021","3","1"]]},"page":"102727","publisher":"Pergamon","title":"Who goes electric? The anatomy of electric car ownership in Norway","type":"article-journal","volume":"92"},"uris":["http://www.mendeley.com/documents/?uuid=9dac51ba-790e-30c0-b3ec-e20ea8762ac0"]},{"id":"ITEM-12","itemData":{"DOI":"10.1016/j.isci.2021.102914","author":[{"dropping-particle":"","family":"Lee","given":"Rachel","non-dropping-particle":"","parse-names":false,"suffix":""},{"dropping-particle":"","family":"Brown","given":"Solomon","non-dropping-particle":"","parse-names":false,"suffix":""}],"container-title":"ISCIENCE","id":"ITEM-12","issued":{"date-parts":[["2021"]]},"page":"102914","title":"Evaluating the role of behavior and social class in electric vehicle adoption and charging demands","type":"article-journal","volume":"24"},"uris":["http://www.mendeley.com/documents/?uuid=11f00a97-80af-3b75-b9f9-b528e0d8ca4c"]},{"id":"ITEM-13","itemData":{"DOI":"10.1080/19427867.2020.1861501","ISSN":"19427875","abstract":"Car-Sharing Systems (CSSs) are becoming increasingly popular in urban areas replacing car ownership. The most attractive CSSs give users the opportunity to make one-way trips. This behavior creates an unbalanced status between stations. Hence, some users could leave the system because they may not find a car/parking place available near their origin/destination. In recent years, CSSs are employing Electric Vehicles (EVs). A recent technology applied to EVs, called Vehicle-to-Grid (V2G), has allowed selling energy, transferring it from vehicle batteries to an electric grid. In this paper, we adopt Electric Cars (ECs) with V2G for one-way station-based CSSs. We suggest ECs distribution among stations at the beginning of each day, simultaneously making the most of V2G technology and satisfying CSSs customers’ requests. These distributions represent the final configurations that should be obtained through overnight vehicle relocation. The proposed models have been applied to a real-sized case achieving promising results.","author":[{"dropping-particle":"","family":"Caggiani","given":"Leonardo","non-dropping-particle":"","parse-names":false,"suffix":""},{"dropping-particle":"","family":"Prencipe","given":"Luigi Pio","non-dropping-particle":"","parse-names":false,"suffix":""},{"dropping-particle":"","family":"Ottomanelli","given":"Michele","non-dropping-particle":"","parse-names":false,"suffix":""}],"container-title":"Transportation Letters","id":"ITEM-13","issue":"3","issued":{"date-parts":[["2021"]]},"page":"219-228","publisher":"Taylor &amp; Francis","title":"A static relocation strategy for electric car-sharing systems in a vehicle-to-grid framework","type":"article-journal","volume":"13"},"uris":["http://www.mendeley.com/documents/?uuid=e21bdb02-e62e-4b25-b054-851f4a002754"]},{"id":"ITEM-14","itemData":{"DOI":"10.1080/19427867.2023.2168348","ISSN":"19427875","abstract":"Ghana commits to reducing greenhouse gas emissions of 64 MtCO2 and reducing 2,900 premature deaths but has very low electric vehicle penetration. We used a total cost of ownership model to determine the cost of ownership parity of BEV compared to internal combustion engine vehicles (ICEV). The results show that BEV will not reach cost parity with ICEV until the 11th year. Waiving the 20% import duty on BEV only reduced the years to parity by a year. Cost parity for the BEV was achieved in the seventh year when the interest rate was reduced from 23% to 10%. By waiving import duty and reducing the interest rate of BEV to 10%, cost parity was reached right from the first year. BEV in Ghana could reduce CO2, NOx, VOC, SOx, and PM emissions by 72%, 85%, 99.2%, 41%, and 60% respectively. Based on the 7.17 MtCO2e attributed to transportation emissions in 2016, a BEV transition could reduce CO2 emissions by 5 MtCO2e. We conclude that a special financing scheme with an interest rate below 10% should be made available for green financing. Additionally, we recommend the removal of the 20% import duty for BEV to reach cost parity with ICEV.","author":[{"dropping-particle":"","family":"Ayetor","given":"Godwin Kafui","non-dropping-particle":"","parse-names":false,"suffix":""},{"dropping-particle":"","family":"Nyarko","given":"Frank Kwabena","non-dropping-particle":"","parse-names":false,"suffix":""},{"dropping-particle":"","family":"Andoh","given":"Prince Yaw","non-dropping-particle":"","parse-names":false,"suffix":""}],"container-title":"Transportation Letters","id":"ITEM-14","issue":"00","issued":{"date-parts":[["2023"]]},"page":"1-13","publisher":"Taylor &amp; Francis","title":"Achieving Cost Parity for Battery Electric Vehicles in Africa: a case study of Ghana","type":"article-journal","volume":"00"},"uris":["http://www.mendeley.com/documents/?uuid=8d0d5977-6eab-4f4d-a14b-e6d83c417276"]},{"id":"ITEM-15","itemData":{"DOI":"10.1080/19427867.2021.1990828","ISSN":"19427875","abstract":"Human activity has caused an increase in greenhouse gas emissions–the main cause of major changes in the environment. The transport sector contributes more than a quarter of these emissions. There are efforts, including electrification of the transport sector, underway to reduce these emissions. Ghana, in furtherance of these efforts, intends to introduce electric vehicles to help reduce emissions; but there is no research to understand the factors that influence consumers’ electric vehicle purchase intentions. To explain the purchase intentions, an expanded form of the Theory of Planned Behavior (TPB) was used. Descriptive statistics was used to analyze the demographic items. The constructs of the TPB were analyzed–the measurement model and structural model–using AMOS 23. The models satisfied the reliability, validity, and model fit requirements. Factors which influence intentions to purchase electric vehicles have been identified and recommendations given.","author":[{"dropping-particle":"","family":"Ackaah","given":"Williams","non-dropping-particle":"","parse-names":false,"suffix":""},{"dropping-particle":"","family":"Kanton","given":"Augustus Terry","non-dropping-particle":"","parse-names":false,"suffix":""},{"dropping-particle":"","family":"Osei","given":"Kwame Kwakwa","non-dropping-particle":"","parse-names":false,"suffix":""}],"container-title":"Transportation Letters","id":"ITEM-15","issue":"9","issued":{"date-parts":[["2022"]]},"page":"1031-1042","publisher":"Taylor &amp; Francis","title":"Factors influencing consumers’ intentions to purchase electric vehicles in Ghana","type":"article-journal","volume":"14"},"uris":["http://www.mendeley.com/documents/?uuid=d33517cb-aa03-429d-bc75-bce05c87a647"]}],"mendeley":{"formattedCitation":"(Ackaah et al., 2022; Ayetor et al., 2023; Bubeck et al., 2016; Caggiani et al., 2021; Chen et al., 2015; Daina et al., 2017; Eppstein et al., 2011; Fevang et al., 2021; Hackbarth &amp; Madlener, 2016; Hoen &amp; Koetse, 2014; Kumar &amp; Chakrabarty, 2020; Lee &amp; Brown, 2021; Liao et al., 2019; Mulholland et al., 2018; Qian &amp; Soopramanien, 2011)","manualFormatting":"(Qian and Soopramanien, 2011; Eppstein et al., 2011; Hoen and Koetse, 2014; Chen et al., 2015; Bubeck et al., 2016; Hackbarth and Madlener, 2016; Daina et al., 2017; Mulholland et al., 2018; Liao et al., 2019; Kumar and Chakrabarty, 2020; Lee and Brown, 2021; Caggiani, Prencipe and Ottomanelli, 2021; Fevang et al., 2021; Ackaah et al., 2022; Ayetor et al., 2023)","plainTextFormattedCitation":"(Ackaah et al., 2022; Ayetor et al., 2023; Bubeck et al., 2016; Caggiani et al., 2021; Chen et al., 2015; Daina et al., 2017; Eppstein et al., 2011; Fevang et al., 2021; Hackbarth &amp; Madlener, 2016; Hoen &amp; Koetse, 2014; Kumar &amp; Chakrabarty, 2020; Lee &amp; Brown, 2021; Liao et al., 2019; Mulholland et al., 2018; Qian &amp; Soopramanien, 2011)","previouslyFormattedCitation":"(Ackaah et al., 2022; Ayetor et al., 2023; Bubeck et al., 2016; Caggiani et al., 2021; Chen et al., 2015; Daina et al., 2017; Eppstein et al., 2011; Fevang et al., 2021; Hackbarth &amp; Madlener, 2016; Hoen &amp; Koetse, 2014; Kumar &amp; Chakrabarty, 2020; Lee &amp; Brown, 2021; Liao et al., 2019; Mulholland et al., 2018; Qian &amp; Soopramanien, 2011)"},"properties":{"noteIndex":0},"schema":"https://github.com/citation-style-language/schema/raw/master/csl-citation.json"}</w:instrText>
      </w:r>
      <w:r w:rsidR="005313F7" w:rsidRPr="00E72303">
        <w:fldChar w:fldCharType="separate"/>
      </w:r>
      <w:r w:rsidR="005313F7" w:rsidRPr="00E72303">
        <w:rPr>
          <w:noProof/>
        </w:rPr>
        <w:t>(Qian and Soopramanien, 2011; Eppstein et al., 2011; Hoen and Koetse, 2014; Chen</w:t>
      </w:r>
      <w:r w:rsidR="00141504" w:rsidRPr="00E72303">
        <w:rPr>
          <w:noProof/>
        </w:rPr>
        <w:t xml:space="preserve"> et al.</w:t>
      </w:r>
      <w:r w:rsidR="005313F7" w:rsidRPr="00E72303">
        <w:rPr>
          <w:noProof/>
        </w:rPr>
        <w:t>,</w:t>
      </w:r>
      <w:r w:rsidR="00141504" w:rsidRPr="00E72303">
        <w:rPr>
          <w:noProof/>
        </w:rPr>
        <w:t xml:space="preserve"> 2015</w:t>
      </w:r>
      <w:r w:rsidR="005313F7" w:rsidRPr="00E72303">
        <w:rPr>
          <w:noProof/>
        </w:rPr>
        <w:t xml:space="preserve">; Bubeck </w:t>
      </w:r>
      <w:r w:rsidR="00141504" w:rsidRPr="00E72303">
        <w:rPr>
          <w:noProof/>
        </w:rPr>
        <w:t>et al.</w:t>
      </w:r>
      <w:r w:rsidR="005313F7" w:rsidRPr="00E72303">
        <w:rPr>
          <w:noProof/>
        </w:rPr>
        <w:t>, 2016; Hackbarth and Madlener, 2016; Daina</w:t>
      </w:r>
      <w:r w:rsidR="00141504" w:rsidRPr="00E72303">
        <w:rPr>
          <w:noProof/>
        </w:rPr>
        <w:t xml:space="preserve"> et al.</w:t>
      </w:r>
      <w:r w:rsidR="005313F7" w:rsidRPr="00E72303">
        <w:rPr>
          <w:noProof/>
        </w:rPr>
        <w:t>, 2017; Mulholland et al., 2018; Liao et al., 2019; Kumar and Chakrabarty, 2020; Lee and Brown, 2021; Caggiani, Prencipe and Ottomanelli, 2021; Fevang et al., 2021; Ackaah</w:t>
      </w:r>
      <w:r w:rsidR="00141504" w:rsidRPr="00E72303">
        <w:rPr>
          <w:noProof/>
        </w:rPr>
        <w:t xml:space="preserve"> et al.</w:t>
      </w:r>
      <w:r w:rsidR="005313F7" w:rsidRPr="00E72303">
        <w:rPr>
          <w:noProof/>
        </w:rPr>
        <w:t>, 2022; Ayetor</w:t>
      </w:r>
      <w:r w:rsidR="00141504" w:rsidRPr="00E72303">
        <w:rPr>
          <w:noProof/>
        </w:rPr>
        <w:t xml:space="preserve"> et al.</w:t>
      </w:r>
      <w:r w:rsidR="005313F7" w:rsidRPr="00E72303">
        <w:rPr>
          <w:noProof/>
        </w:rPr>
        <w:t>, 2023)</w:t>
      </w:r>
      <w:r w:rsidR="005313F7" w:rsidRPr="00E72303">
        <w:fldChar w:fldCharType="end"/>
      </w:r>
      <w:r w:rsidR="001E2EAF" w:rsidRPr="00E72303">
        <w:t xml:space="preserve">. </w:t>
      </w:r>
      <w:r w:rsidR="00C53CF9" w:rsidRPr="00E72303">
        <w:t xml:space="preserve">The </w:t>
      </w:r>
      <w:r w:rsidR="00C53CF9" w:rsidRPr="00E72303">
        <w:rPr>
          <w:u w:val="single"/>
        </w:rPr>
        <w:t>data sources</w:t>
      </w:r>
      <w:r w:rsidR="00C53CF9" w:rsidRPr="00E72303">
        <w:t xml:space="preserve"> employed for analysis vary by the </w:t>
      </w:r>
      <w:r w:rsidR="009F3A2C" w:rsidRPr="00E72303">
        <w:t xml:space="preserve">vehicle ownership model resolution. For disaggregate analysis at the household level </w:t>
      </w:r>
      <w:r w:rsidR="00C53CF9" w:rsidRPr="00E72303">
        <w:t xml:space="preserve">revealed preference data </w:t>
      </w:r>
      <w:r w:rsidR="009B1C10" w:rsidRPr="00E72303">
        <w:t>such as National Household Travel Survey,</w:t>
      </w:r>
      <w:r w:rsidR="003C02E3" w:rsidRPr="00E72303">
        <w:t xml:space="preserve"> </w:t>
      </w:r>
      <w:r w:rsidR="009B1C10" w:rsidRPr="00E72303">
        <w:t xml:space="preserve">urban </w:t>
      </w:r>
      <w:r w:rsidR="003C02E3" w:rsidRPr="00E72303">
        <w:t>region-</w:t>
      </w:r>
      <w:r w:rsidR="009B1C10" w:rsidRPr="00E72303">
        <w:t>specific data (such as origin destination data for Montreal)</w:t>
      </w:r>
      <w:r w:rsidR="003C02E3" w:rsidRPr="00E72303">
        <w:t xml:space="preserve"> </w:t>
      </w:r>
      <w:r w:rsidR="00CD254E" w:rsidRPr="00E72303">
        <w:t xml:space="preserve">and </w:t>
      </w:r>
      <w:proofErr w:type="spellStart"/>
      <w:r w:rsidR="00CD254E" w:rsidRPr="00E72303">
        <w:t>MaritzCX</w:t>
      </w:r>
      <w:proofErr w:type="spellEnd"/>
      <w:r w:rsidR="00CD254E" w:rsidRPr="00E72303">
        <w:t xml:space="preserve"> data </w:t>
      </w:r>
      <w:r w:rsidR="003C02E3" w:rsidRPr="00E72303">
        <w:t>are employed</w:t>
      </w:r>
      <w:r w:rsidR="00B066A4" w:rsidRPr="00E72303">
        <w:t xml:space="preserve"> </w:t>
      </w:r>
      <w:r w:rsidR="00B066A4" w:rsidRPr="00E72303">
        <w:fldChar w:fldCharType="begin" w:fldLock="1"/>
      </w:r>
      <w:r w:rsidR="00151AD7" w:rsidRPr="00E72303">
        <w:instrText>ADDIN CSL_CITATION {"citationItems":[{"id":"ITEM-1","itemData":{"DOI":"10.1007/s11116-015-9588-z","abstract":"This paper employs a pseudo-panel approach to study vehicle ownership evolution in Montreal region, Canada using cross-sectional origin-destination survey datasets of 1998, 2003 and 2008. Econometric modeling approaches that simultaneously accommodate the influence of observed and unobserved attributes on the vehicle ownership decision framework are implemented. Specifically, we estimate generalized versions of the ordered response model-including the generalized, scaled-and mixed-generalized ordered logit models. Socio-demographic variables that impact household's decision to own multiple cars include number of full and part-time working adults, license holders, middle aged adults, retirees, male householders, and presence of children. Increased number of bus stops, longer bus and metro lengths within the household residential location buffer area decrease vehicle fleet size of households. The observed results also varied across years as manifested by the significance of the interaction terms of some of the variables with the time elapsed since 1998 variable. Moreover, variation due to unobserved factors are captured for part-time working adults, number of bus stops, and length of metro lines. In terms of the effect of location of households, we found that some neighborhoods exhibited distinct car ownership temporal dynamics over the years. Keywords Car ownership evolution Á Generalized ordered logit Á Scaled generalized ordered logit Á Mixed generalized ordered logit Á Montreal boroughs","author":[{"dropping-particle":"","family":"Anowar","given":"Sabreena","non-dropping-particle":"","parse-names":false,"suffix":""},{"dropping-particle":"","family":"Eluru","given":"Naveen","non-dropping-particle":"","parse-names":false,"suffix":""},{"dropping-particle":"","family":"Miranda-Moreno","given":"Luis F.","non-dropping-particle":"","parse-names":false,"suffix":""}],"container-title":"Transportation","id":"ITEM-1","issued":{"date-parts":[["2016"]]},"page":"531-548","title":"Analysis of vehicle ownership evolution in Montreal, Canada using pseudo panel analysis","type":"article-journal","volume":"43"},"uris":["http://www.mendeley.com/documents/?uuid=32fb0a2a-c1b1-3b72-aba0-ec50fe3f1451"]}],"mendeley":{"formattedCitation":"(Anowar et al., 2016)","plainTextFormattedCitation":"(Anowar et al., 2016)","previouslyFormattedCitation":"(Anowar et al., 2016)"},"properties":{"noteIndex":0},"schema":"https://github.com/citation-style-language/schema/raw/master/csl-citation.json"}</w:instrText>
      </w:r>
      <w:r w:rsidR="00B066A4" w:rsidRPr="00E72303">
        <w:fldChar w:fldCharType="separate"/>
      </w:r>
      <w:r w:rsidR="00151AD7" w:rsidRPr="00E72303">
        <w:rPr>
          <w:noProof/>
        </w:rPr>
        <w:t>(Anowar et al., 2016)</w:t>
      </w:r>
      <w:r w:rsidR="00B066A4" w:rsidRPr="00E72303">
        <w:fldChar w:fldCharType="end"/>
      </w:r>
      <w:r w:rsidR="003C02E3" w:rsidRPr="00E72303">
        <w:t xml:space="preserve">. </w:t>
      </w:r>
      <w:r w:rsidR="009B1C10" w:rsidRPr="00E72303">
        <w:t xml:space="preserve"> </w:t>
      </w:r>
      <w:r w:rsidR="003C02E3" w:rsidRPr="00E72303">
        <w:t xml:space="preserve">Several studies, especially for understanding the preferences for </w:t>
      </w:r>
      <w:r w:rsidR="00836C75" w:rsidRPr="00E72303">
        <w:t>emerging</w:t>
      </w:r>
      <w:r w:rsidR="003C02E3" w:rsidRPr="00E72303">
        <w:t xml:space="preserve"> vehicle types have employed stated preference surveys</w:t>
      </w:r>
      <w:r w:rsidR="00211F23" w:rsidRPr="00E72303">
        <w:t xml:space="preserve"> </w:t>
      </w:r>
      <w:r w:rsidR="00211F23" w:rsidRPr="00E72303">
        <w:fldChar w:fldCharType="begin" w:fldLock="1"/>
      </w:r>
      <w:r w:rsidR="00151AD7" w:rsidRPr="00E72303">
        <w:instrText>ADDIN CSL_CITATION {"citationItems":[{"id":"ITEM-1","itemData":{"DOI":"10.1080/15568318.2018.1443178","ISSN":"15568334","abstract":"Emerging transportation technologies have the potential to significantly reshape the transportation systems and household vehicle ownership. Key among these transportation technologies are the auto...","author":[{"dropping-particle":"","family":"Menon","given":"Nikhil","non-dropping-particle":"","parse-names":false,"suffix":""},{"dropping-particle":"","family":"Barbour","given":"Natalia","non-dropping-particle":"","parse-names":false,"suffix":""},{"dropping-particle":"","family":"Zhang","given":"Yu","non-dropping-particle":"","parse-names":false,"suffix":""},{"dropping-particle":"","family":"Pinjari","given":"Abdul Rawoof","non-dropping-particle":"","parse-names":false,"suffix":""},{"dropping-particle":"","family":"Mannering","given":"Fred","non-dropping-particle":"","parse-names":false,"suffix":""}],"container-title":"International Journal of Sustainable Transportation","id":"ITEM-1","issue":"2","issued":{"date-parts":[["2019","2","7"]]},"page":"111-122","publisher":"Taylor &amp; Francis","title":"Shared autonomous vehicles and their potential impacts on household vehicle ownership: An exploratory empirical assessment","type":"article-journal","volume":"13"},"uris":["http://www.mendeley.com/documents/?uuid=a89aa807-de2d-3453-8fef-f60c85c2afbd"]},{"id":"ITEM-2","itemData":{"DOI":"10.1287/TRSC.2015.0597","ISSN":"15265447","abstract":"Discrete choice models are commonly used in transportation planning and modeling, but their theoretical basis and applications have been mainly developed in a static context. In this paper, we prop...","author":[{"dropping-particle":"","family":"Cirillo","given":"Cinzia","non-dropping-particle":"","parse-names":false,"suffix":""},{"dropping-particle":"","family":"Xu","given":"Renting","non-dropping-particle":"","parse-names":false,"suffix":""},{"dropping-particle":"","family":"Bastin","given":"Fabian","non-dropping-particle":"","parse-names":false,"suffix":""}],"container-title":"Transportation Science","id":"ITEM-2","issue":"1","issued":{"date-parts":[["2016","5","15"]]},"page":"322-335","publisher":"INFORMS","title":"A Dynamic Formulation for Car Ownership Modeling","type":"article-journal","volume":"50"},"uris":["http://www.mendeley.com/documents/?uuid=04c6b8ec-aa4c-346a-94f6-9ae95d62d082"]}],"mendeley":{"formattedCitation":"(Cirillo et al., 2016; Menon et al., 2019)","manualFormatting":"(Cirillo et al., 2016; Menon et al., 2019)","plainTextFormattedCitation":"(Cirillo et al., 2016; Menon et al., 2019)","previouslyFormattedCitation":"(Cirillo et al., 2016; Menon et al., 2019)"},"properties":{"noteIndex":0},"schema":"https://github.com/citation-style-language/schema/raw/master/csl-citation.json"}</w:instrText>
      </w:r>
      <w:r w:rsidR="00211F23" w:rsidRPr="00E72303">
        <w:fldChar w:fldCharType="separate"/>
      </w:r>
      <w:r w:rsidR="00CE222D" w:rsidRPr="00E72303">
        <w:rPr>
          <w:noProof/>
        </w:rPr>
        <w:t>(Cirillo et al., 2016; Menon et al., 2019)</w:t>
      </w:r>
      <w:r w:rsidR="00211F23" w:rsidRPr="00E72303">
        <w:fldChar w:fldCharType="end"/>
      </w:r>
      <w:r w:rsidR="00836C75" w:rsidRPr="00E72303">
        <w:t xml:space="preserve">. </w:t>
      </w:r>
      <w:r w:rsidR="001E2EAF" w:rsidRPr="00E72303">
        <w:t xml:space="preserve">The spectrum of </w:t>
      </w:r>
      <w:r w:rsidR="001E2EAF" w:rsidRPr="00E72303">
        <w:rPr>
          <w:u w:val="single"/>
        </w:rPr>
        <w:t>modeling approach</w:t>
      </w:r>
      <w:r w:rsidR="00836C75" w:rsidRPr="00E72303">
        <w:rPr>
          <w:u w:val="single"/>
        </w:rPr>
        <w:t>es</w:t>
      </w:r>
      <w:r w:rsidR="001E2EAF" w:rsidRPr="00E72303">
        <w:t xml:space="preserve"> employed for vehicle ownership include multinomial logit model </w:t>
      </w:r>
      <w:r w:rsidR="001E2EAF" w:rsidRPr="00E72303">
        <w:fldChar w:fldCharType="begin" w:fldLock="1"/>
      </w:r>
      <w:r w:rsidR="00151AD7" w:rsidRPr="00E72303">
        <w:instrText>ADDIN CSL_CITATION {"citationItems":[{"id":"ITEM-1","itemData":{"DOI":"10.1016/J.TRANPOL.2018.02.004","ISSN":"1879310X","abstract":"This study focuses on three groups: cyclists, non-cyclists, and non-car owners and examines the significance of the perceived cycling environment, current travel behavior, urban form and socio-demographic variables for the respondents’ attitudes towards future cycling and car purchasing. The paper uses survey data (N = 1427) collected in eight Beijing neighborhoods. The analysis is carried out by means of principal component analysis and multinomial logistic regression analysis. The respondents were generally more positive towards continuing cycling or cycling more in the future than towards car purchasing. The perceived cycling environment was found to be associated with respondents’ attitude towards future cycling and car purchasing. The higher the level of satisfaction with the clarity of cycling space allocation and the higher the agreement with pro-cycling policies, the higher the probability that the respondents will cycle in the future and the lower probability that they will buy a car. Associations with current travel behavior indicate that long everyday travel distances (e.g. 10 km to work or longer) negatively affects the respondents attitude towards their future cycling, whereas short everyday travel distances up to 2 km are positively linked to future cycling prospects. Non-car owners’ attitude to future car ownership is strongly linked to socio-demographic status - low education and low income level groups seems to be most unlikely to take up driving in the future. To encourage people to cycle more and drive less, policy should direct efforts to promoting the clarity of cycling space on the street and strengthen pro-cycling policies. Attention should also be given to stabilizing the current travel modes of non-car users, including promoting the image of cycling, improving the service of walking, cycling, public transport and generally by introducing attractive alternatives to private car ownership.","author":[{"dropping-particle":"","family":"Zhao","given":"Chunli","non-dropping-particle":"","parse-names":false,"suffix":""},{"dropping-particle":"","family":"Nielsen","given":"Thomas Alexander Sick","non-dropping-particle":"","parse-names":false,"suffix":""},{"dropping-particle":"","family":"Olafsson","given":"Anton Stahl","non-dropping-particle":"","parse-names":false,"suffix":""},{"dropping-particle":"","family":"Carstensen","given":"Trine Agervig","non-dropping-particle":"","parse-names":false,"suffix":""},{"dropping-particle":"","family":"Fertner","given":"Christian","non-dropping-particle":"","parse-names":false,"suffix":""}],"container-title":"Transport Policy","id":"ITEM-1","issued":{"date-parts":[["2018","8","1"]]},"page":"96-106","publisher":"Elsevier Ltd","title":"Cycling environmental perception in Beijing – A study of residents’ attitudes towards future cycling and car purchasing","type":"article-journal","volume":"66"},"uris":["http://www.mendeley.com/documents/?uuid=eb263ea6-dca0-3eb0-83d5-dbc05d323e0a"]},{"id":"ITEM-2","itemData":{"DOI":"10.1016/J.TRD.2021.102727","ISSN":"1361-9209","abstract":"We describe the anatomy of electric car ownership in Norway, the country with the highest market share of low-emission vehicles, using matched administrative micro data covering the entire population of private car owners. Our results show that socioeconomic characteristics are strong predictors of the car portfolio. Battery electric vehicle (BEV) ownership is increasing in wealth, income and education. While early BEV owners differed from other car owners, over time BEV owners have become more similar to other car owners. We document a strong association between BEV privileges on the travel to work (like toll road exemptions and bus lane access) and BEV ownership. We show that BEV buyers are less likely than other car buyers to sell their old car, but this difference has diminished over time.","author":[{"dropping-particle":"","family":"Fevang","given":"Elisabeth","non-dropping-particle":"","parse-names":false,"suffix":""},{"dropping-particle":"","family":"Figenbaum","given":"Erik","non-dropping-particle":"","parse-names":false,"suffix":""},{"dropping-particle":"","family":"Fridstrøm","given":"Lasse","non-dropping-particle":"","parse-names":false,"suffix":""},{"dropping-particle":"","family":"Halse","given":"Askill H.","non-dropping-particle":"","parse-names":false,"suffix":""},{"dropping-particle":"","family":"Hauge","given":"Karen E.","non-dropping-particle":"","parse-names":false,"suffix":""},{"dropping-particle":"","family":"Johansen","given":"Bjørn G.","non-dropping-particle":"","parse-names":false,"suffix":""},{"dropping-particle":"","family":"Raaum","given":"Oddbjørn","non-dropping-particle":"","parse-names":false,"suffix":""}],"container-title":"Transportation Research Part D: Transport and Environment","id":"ITEM-2","issued":{"date-parts":[["2021","3","1"]]},"page":"102727","publisher":"Pergamon","title":"Who goes electric? The anatomy of electric car ownership in Norway","type":"article-journal","volume":"92"},"uris":["http://www.mendeley.com/documents/?uuid=9dac51ba-790e-30c0-b3ec-e20ea8762ac0"]},{"id":"ITEM-3","itemData":{"DOI":"10.1016/J.JTRANGEO.2021.103073","ISSN":"0966-6923","author":[{"dropping-particle":"","family":"Sabouri","given":"Sadegh","non-dropping-particle":"","parse-names":false,"suffix":""},{"dropping-particle":"","family":"Tian","given":"Guang","non-dropping-particle":"","parse-names":false,"suffix":""},{"dropping-particle":"","family":"Ewing","given":"Reid","non-dropping-particle":"","parse-names":false,"suffix":""},{"dropping-particle":"","family":"Park","given":"Keunhyun","non-dropping-particle":"","parse-names":false,"suffix":""},{"dropping-particle":"","family":"Greene","given":"William","non-dropping-particle":"","parse-names":false,"suffix":""}],"container-title":"Journal of Transport Geography","id":"ITEM-3","issued":{"date-parts":[["2021","5","1"]]},"page":"103073","publisher":"Pergamon","title":"The built environment and vehicle ownership modeling: Evidence from 32 diverse regions in the U.S.","type":"article-journal","volume":"93"},"uris":["http://www.mendeley.com/documents/?uuid=ec318033-4058-3fe0-a630-2142f596b48a"]}],"mendeley":{"formattedCitation":"(Fevang et al., 2021; Sabouri et al., 2021; Zhao et al., 2018)","manualFormatting":"(Zhao et al., 2018; Fevang et al., 2021; Sabouri et al., 2021","plainTextFormattedCitation":"(Fevang et al., 2021; Sabouri et al., 2021; Zhao et al., 2018)","previouslyFormattedCitation":"(Fevang et al., 2021; Sabouri et al., 2021; Zhao et al., 2018)"},"properties":{"noteIndex":0},"schema":"https://github.com/citation-style-language/schema/raw/master/csl-citation.json"}</w:instrText>
      </w:r>
      <w:r w:rsidR="001E2EAF" w:rsidRPr="00E72303">
        <w:fldChar w:fldCharType="separate"/>
      </w:r>
      <w:r w:rsidR="00B11099" w:rsidRPr="00E72303">
        <w:rPr>
          <w:noProof/>
        </w:rPr>
        <w:t>(Zhao et al., 2018; Fevang et al., 2021; Sabouri et al., 2021</w:t>
      </w:r>
      <w:r w:rsidR="001E2EAF" w:rsidRPr="00E72303">
        <w:fldChar w:fldCharType="end"/>
      </w:r>
      <w:r w:rsidR="00CE222D" w:rsidRPr="00E72303">
        <w:t xml:space="preserve">; </w:t>
      </w:r>
      <w:r w:rsidR="001E2EAF" w:rsidRPr="00E72303">
        <w:fldChar w:fldCharType="begin" w:fldLock="1"/>
      </w:r>
      <w:r w:rsidR="00151AD7" w:rsidRPr="00E72303">
        <w:instrText>ADDIN CSL_CITATION {"citationItems":[{"id":"ITEM-1","itemData":{"author":[{"dropping-particle":"","family":"Kiran","given":"Prabha","non-dropping-particle":"","parse-names":false,"suffix":""},{"dropping-particle":"","family":"Shanmugam","given":"Vasantha","non-dropping-particle":"","parse-names":false,"suffix":""}],"container-title":"International Journal of Economic Research","id":"ITEM-1","issued":{"date-parts":[["2017"]]},"title":"A Logistic regression model to identify the key attributes considered by consumers for purchasing a car","type":"article-journal"},"uris":["http://www.mendeley.com/documents/?uuid=e648f6b0-eb9c-34d2-b50c-aaffcbd0c861"]},{"id":"ITEM-2","itemData":{"DOI":"10.1007/978-3-030-50020-7_13/FIGURES/8","ISBN":"9783030500191","ISSN":"16113349","abstract":"Car sales in Japan are decreasing year by year. In addition, it will be affected by consumption tax increase and oil prices increase. Therefore, it is assumed that Car sales will be affected by external factor in Japan. Japan has problems with the declining birth rate and aging population. Car sales in Japan will be decrease caused by it, so it is necessary for Car industry in japan to know needs of customers. In this study, we analyze customer data from a car sales company “I” based in prefecture “A” in Japan to know customer needs. It is assumed that Cars in Japan have customers who purchase new or used cars, so their needs differ. Today, there are more customers buying new cars than customers buying used cars, however the opposite could happen for car industry affected by external factors in the future. So, it is important for car industry to know the needs of both customers. We use logistic regression analysis and decision tree analysis to know the difference between the two. After that, we evaluate the accuracy of AUC and confusion matrix as evaluation of both analyses. The analysis shows that customers who buy new cars are affected by the salesperson, and customers who buy used cars are less likely to be affected by the salesperson.","author":[{"dropping-particle":"","family":"Hara","given":"Kenta","non-dropping-particle":"","parse-names":false,"suffix":""},{"dropping-particle":"","family":"Asahi","given":"Yumi","non-dropping-particle":"","parse-names":false,"suffix":""}],"container-title":"Lecture Notes in Computer Science (including subseries Lecture Notes in Artificial Intelligence and Lecture Notes in Bioinformatics)","id":"ITEM-2","issued":{"date-parts":[["2020"]]},"page":"201-211","publisher":"Springer","title":"Feature analysis of customers purchasing cars in Japan","type":"article-journal","volume":"12184 LNCS"},"uris":["http://www.mendeley.com/documents/?uuid=bfe7b073-a79c-392a-a41b-422f374e3dcd"]}],"mendeley":{"formattedCitation":"(Hara &amp; Asahi, 2020; Kiran &amp; Shanmugam, 2017)","manualFormatting":"Kiran and Shanmugam, 2017; Hara and Asahi, 2020)","plainTextFormattedCitation":"(Hara &amp; Asahi, 2020; Kiran &amp; Shanmugam, 2017)","previouslyFormattedCitation":"(Hara &amp; Asahi, 2020; Kiran &amp; Shanmugam, 2017)"},"properties":{"noteIndex":0},"schema":"https://github.com/citation-style-language/schema/raw/master/csl-citation.json"}</w:instrText>
      </w:r>
      <w:r w:rsidR="001E2EAF" w:rsidRPr="00E72303">
        <w:fldChar w:fldCharType="separate"/>
      </w:r>
      <w:r w:rsidR="00B11099" w:rsidRPr="00E72303">
        <w:rPr>
          <w:noProof/>
        </w:rPr>
        <w:t>Kiran and Shanmugam, 2017; Hara and Asahi, 2020)</w:t>
      </w:r>
      <w:r w:rsidR="001E2EAF" w:rsidRPr="00E72303">
        <w:fldChar w:fldCharType="end"/>
      </w:r>
      <w:r w:rsidR="001E2EAF" w:rsidRPr="00E72303">
        <w:t xml:space="preserve">, nested logit model </w:t>
      </w:r>
      <w:r w:rsidR="001E2EAF" w:rsidRPr="00E72303">
        <w:fldChar w:fldCharType="begin" w:fldLock="1"/>
      </w:r>
      <w:r w:rsidR="00151AD7" w:rsidRPr="00E72303">
        <w:instrText>ADDIN CSL_CITATION {"citationItems":[{"id":"ITEM-1","itemData":{"DOI":"10.1016/j.trpro.2020.03.195","ISSN":"23521465","abstract":"Agent-based transportation models are valuable tools for evaluating energy use, emissions and mobility impacts of transportation. In this context, vehicle ownership models are critical for linking personal and commercial activities to their impacts on the transportation system. Further, predicting the fuel type that is chosen by an establishment when purchasing a vehicle is important for modeling the impacts of commercial transportation on energy consumption and related outputs. This study develops an econometric model that can be used to predict the fuel technology that is chosen by an establishment when purchasing a Light Duty Vehicle (LDV) for business purposes. Factor analysis was also used to gain insights into the underlying preferences and needs of establishments, which drive the fuel choice decision. The results can be used in agent-based models or other models in simulations of the transportation system and energy consumption. The outcomes are also useful for modeling the adoption of alternative fuels among commercial fleet owners over time, which is important from both a policy perspective as well as an automobile manufacturer perspective.","author":[{"dropping-particle":"","family":"Stinson","given":"Monique","non-dropping-particle":"","parse-names":false,"suffix":""},{"dropping-particle":"","family":"Auld","given":"Joshua","non-dropping-particle":"","parse-names":false,"suffix":""},{"dropping-particle":"","family":"Mohammadian","given":"Abolfazl Kouros","non-dropping-particle":"","parse-names":false,"suffix":""}],"container-title":"Transportation Research Procedia","id":"ITEM-1","issued":{"date-parts":[["2020"]]},"page":"309-316","title":"Light duty vehicle choice models examining alternative fuel technology preferences among commercial fleet owners","type":"article-journal","volume":"46"},"uris":["http://www.mendeley.com/documents/?uuid=a9d81cbd-7014-44c6-ae7d-0bb81d751ebd"]},{"id":"ITEM-2","itemData":{"DOI":"10.1016/J.TRA.2020.06.003","ISSN":"0965-8564","abstract":"Car-sharing has experienced a significant boom in recent years, with estimates suggesting that car-sharing programs are now operating in over 30 countries worldwide, serving around five million users. The potential to reduce individual vehicle ownership rates is frequently cited as a motive for promoting car-sharing. While some previous studies have argued that customers are indeed willing to reduce the total number of vehicles owned after becoming car-sharing members, the reliability of these findings is tenuous given that many are based on self-selected samples of car-sharing users, resulting in biased estimates. In theory, the availability of car-sharing programs could have limited effect on the general public's car ownership decisions–or at least have no effect on a large portion of travelers. Whether or not traveler decision processes are significantly influenced by specific attributes of different car-sharing options (e.g., access time, vehicle size, fuel type, etc.) remains an unanswered question, as there are limited quantitative studies on this issue. To contribute to filling this research gap, this paper discusses the findings of a study of 1,500 private households across major Australian cities. A nested logit model is used to investigate the impacts of car-sharing on respondents’ household vehicle ownership decisions. In contrast to the results of some previous studies, we find that the stated availability of car-sharing appears to have minimal impact on respondents’ decision to own a vehicle or not, leading to important policy implications. We agree with prior investigations that car-sharing could potentially reduce private car ownership. However, because this study finds limited impact of the availability of car-sharing on vehicle ownership, and because the majority of respondents did not self-identify as car-sharing users, education and awareness campaigns could be important factors in improving the general public's preferences towards car-sharing and fully realizing car-sharing's benefits to society.","author":[{"dropping-particle":"","family":"Zhou","given":"Fan","non-dropping-particle":"","parse-names":false,"suffix":""},{"dropping-particle":"","family":"Zheng","given":"Zuduo","non-dropping-particle":"","parse-names":false,"suffix":""},{"dropping-particle":"","family":"Whitehead","given":"Jake","non-dropping-particle":"","parse-names":false,"suffix":""},{"dropping-particle":"","family":"Perrons","given":"Robert K.","non-dropping-particle":"","parse-names":false,"suffix":""},{"dropping-particle":"","family":"Washington","given":"Simon","non-dropping-particle":"","parse-names":false,"suffix":""},{"dropping-particle":"","family":"Page","given":"Lionel","non-dropping-particle":"","parse-names":false,"suffix":""}],"container-title":"Transportation Research Part A: Policy and Practice","id":"ITEM-2","issued":{"date-parts":[["2020","8","1"]]},"page":"322-341","publisher":"Pergamon","title":"Examining the impact of car-sharing on private vehicle ownership","type":"article-journal","volume":"138"},"uris":["http://www.mendeley.com/documents/?uuid=a21944e0-392e-30e5-a2e7-f2b0c62eabb5"]}],"mendeley":{"formattedCitation":"(Stinson et al., 2020; Zhou et al., 2020)","manualFormatting":"(Stinson et al., 2020; Zhou et al., 2020)","plainTextFormattedCitation":"(Stinson et al., 2020; Zhou et al., 2020)","previouslyFormattedCitation":"(Stinson et al., 2020; Zhou et al., 2020)"},"properties":{"noteIndex":0},"schema":"https://github.com/citation-style-language/schema/raw/master/csl-citation.json"}</w:instrText>
      </w:r>
      <w:r w:rsidR="001E2EAF" w:rsidRPr="00E72303">
        <w:fldChar w:fldCharType="separate"/>
      </w:r>
      <w:r w:rsidR="00B11099" w:rsidRPr="00E72303">
        <w:rPr>
          <w:noProof/>
        </w:rPr>
        <w:t>(Stinson</w:t>
      </w:r>
      <w:r w:rsidR="00CE222D" w:rsidRPr="00E72303">
        <w:rPr>
          <w:noProof/>
        </w:rPr>
        <w:t xml:space="preserve"> et al.</w:t>
      </w:r>
      <w:r w:rsidR="00B11099" w:rsidRPr="00E72303">
        <w:rPr>
          <w:noProof/>
        </w:rPr>
        <w:t>, 2020; Zhou et al., 2020)</w:t>
      </w:r>
      <w:r w:rsidR="001E2EAF" w:rsidRPr="00E72303">
        <w:fldChar w:fldCharType="end"/>
      </w:r>
      <w:r w:rsidR="001E2EAF" w:rsidRPr="00E72303">
        <w:t xml:space="preserve">, latent class logit model </w:t>
      </w:r>
      <w:r w:rsidR="001E2EAF" w:rsidRPr="00E72303">
        <w:fldChar w:fldCharType="begin" w:fldLock="1"/>
      </w:r>
      <w:r w:rsidR="00151AD7" w:rsidRPr="00E72303">
        <w:instrText>ADDIN CSL_CITATION {"citationItems":[{"id":"ITEM-1","itemData":{"DOI":"10.1016/j.treng.2021.100071","ISSN":"2666691X","abstract":"This study examines the vehicle choice behavior of multicar households for different travel accompanying arrangements. It investigates the influence of various travel attributes and neighborhood characteristics to understand how individuals in a multicar household make a choice of vehicle for a specific travel arrangement. The study considers three types of travel arrangements based on accompanying persons (i.e. alone, with household members and with non-household members) and categorizes households’ vehicle fleet into six classes: subcompact, compact, midsize, SUV, vans/minivans/pickup-trucks and luxury vehicles. Three flexible latent class logit models (LCLMs) are developed in this study to estimate vehicle choice decisions by utilizing data from the ‘2015 Nova Scotia Travel Activity (NovaTRAC) survey’. Results suggest that individuals tend to prefer subcompact vehicles and SUVs for longer travel time while traveling alone and with non-household members, respectively. They show higher likelihood to choose midsize vehicles for long-distance trips when traveling with household members. The behavioral models also capture unobserved heterogeneity across population by developing flexible class allocation models within LCLM frameworks that probabilistically distribute individuals into discrete latent classes based on their socio-demographic characteristics. Model results intuitively suggest two latent classes for all three travel arrangements and explore heterogeneity across classes. Results of this study will assist the transportation planners and policymakers to develop alternative transportation demand management strategies that aim at reducing vehicular emission and energy in a traffic network.","author":[{"dropping-particle":"","family":"Khan","given":"Nazmul Arefin","non-dropping-particle":"","parse-names":false,"suffix":""},{"dropping-particle":"","family":"Habib","given":"Muhammad Ahsanul","non-dropping-particle":"","parse-names":false,"suffix":""}],"container-title":"Transportation Engineering","id":"ITEM-1","issue":"November 2020","issued":{"date-parts":[["2021"]]},"page":"100071","publisher":"Elsevier Ltd","title":"Development of households’ vehicle choice models for travel accompanying arrangements","type":"article-journal","volume":"4"},"uris":["http://www.mendeley.com/documents/?uuid=362c5362-528c-4869-9c93-760fa68c083b"]}],"mendeley":{"formattedCitation":"(Khan &amp; Habib, 2021)","plainTextFormattedCitation":"(Khan &amp; Habib, 2021)","previouslyFormattedCitation":"(Khan &amp; Habib, 2021)"},"properties":{"noteIndex":0},"schema":"https://github.com/citation-style-language/schema/raw/master/csl-citation.json"}</w:instrText>
      </w:r>
      <w:r w:rsidR="001E2EAF" w:rsidRPr="00E72303">
        <w:fldChar w:fldCharType="separate"/>
      </w:r>
      <w:r w:rsidR="00151AD7" w:rsidRPr="00E72303">
        <w:rPr>
          <w:noProof/>
        </w:rPr>
        <w:t>(Khan &amp; Habib, 2021)</w:t>
      </w:r>
      <w:r w:rsidR="001E2EAF" w:rsidRPr="00E72303">
        <w:fldChar w:fldCharType="end"/>
      </w:r>
      <w:r w:rsidR="001E2EAF" w:rsidRPr="00E72303">
        <w:t xml:space="preserve">, ordered-logit model </w:t>
      </w:r>
      <w:r w:rsidR="001E2EAF" w:rsidRPr="00E72303">
        <w:fldChar w:fldCharType="begin" w:fldLock="1"/>
      </w:r>
      <w:r w:rsidR="00151AD7" w:rsidRPr="00E72303">
        <w:instrText>ADDIN CSL_CITATION {"citationItems":[{"id":"ITEM-1","itemData":{"DOI":"10.1016/J.JTRANGEO.2021.103073","ISSN":"0966-6923","author":[{"dropping-particle":"","family":"Sabouri","given":"Sadegh","non-dropping-particle":"","parse-names":false,"suffix":""},{"dropping-particle":"","family":"Tian","given":"Guang","non-dropping-particle":"","parse-names":false,"suffix":""},{"dropping-particle":"","family":"Ewing","given":"Reid","non-dropping-particle":"","parse-names":false,"suffix":""},{"dropping-particle":"","family":"Park","given":"Keunhyun","non-dropping-particle":"","parse-names":false,"suffix":""},{"dropping-particle":"","family":"Greene","given":"William","non-dropping-particle":"","parse-names":false,"suffix":""}],"container-title":"Journal of Transport Geography","id":"ITEM-1","issued":{"date-parts":[["2021","5","1"]]},"page":"103073","publisher":"Pergamon","title":"The built environment and vehicle ownership modeling: Evidence from 32 diverse regions in the U.S.","type":"article-journal","volume":"93"},"uris":["http://www.mendeley.com/documents/?uuid=ec318033-4058-3fe0-a630-2142f596b48a"]}],"mendeley":{"formattedCitation":"(Sabouri et al., 2021)","plainTextFormattedCitation":"(Sabouri et al., 2021)","previouslyFormattedCitation":"(Sabouri et al., 2021)"},"properties":{"noteIndex":0},"schema":"https://github.com/citation-style-language/schema/raw/master/csl-citation.json"}</w:instrText>
      </w:r>
      <w:r w:rsidR="001E2EAF" w:rsidRPr="00E72303">
        <w:fldChar w:fldCharType="separate"/>
      </w:r>
      <w:r w:rsidR="00B11099" w:rsidRPr="00E72303">
        <w:rPr>
          <w:noProof/>
        </w:rPr>
        <w:t>(Sabouri et al., 2021)</w:t>
      </w:r>
      <w:r w:rsidR="001E2EAF" w:rsidRPr="00E72303">
        <w:fldChar w:fldCharType="end"/>
      </w:r>
      <w:r w:rsidR="001E2EAF" w:rsidRPr="00E72303">
        <w:t xml:space="preserve">, Poisson regression model </w:t>
      </w:r>
      <w:r w:rsidR="001E2EAF" w:rsidRPr="00E72303">
        <w:fldChar w:fldCharType="begin" w:fldLock="1"/>
      </w:r>
      <w:r w:rsidR="00151AD7" w:rsidRPr="00E72303">
        <w:instrText>ADDIN CSL_CITATION {"citationItems":[{"id":"ITEM-1","itemData":{"DOI":"10.1016/J.JTRANGEO.2021.103073","ISSN":"0966-6923","author":[{"dropping-particle":"","family":"Sabouri","given":"Sadegh","non-dropping-particle":"","parse-names":false,"suffix":""},{"dropping-particle":"","family":"Tian","given":"Guang","non-dropping-particle":"","parse-names":false,"suffix":""},{"dropping-particle":"","family":"Ewing","given":"Reid","non-dropping-particle":"","parse-names":false,"suffix":""},{"dropping-particle":"","family":"Park","given":"Keunhyun","non-dropping-particle":"","parse-names":false,"suffix":""},{"dropping-particle":"","family":"Greene","given":"William","non-dropping-particle":"","parse-names":false,"suffix":""}],"container-title":"Journal of Transport Geography","id":"ITEM-1","issued":{"date-parts":[["2021","5","1"]]},"page":"103073","publisher":"Pergamon","title":"The built environment and vehicle ownership modeling: Evidence from 32 diverse regions in the U.S.","type":"article-journal","volume":"93"},"uris":["http://www.mendeley.com/documents/?uuid=ec318033-4058-3fe0-a630-2142f596b48a"]}],"mendeley":{"formattedCitation":"(Sabouri et al., 2021)","plainTextFormattedCitation":"(Sabouri et al., 2021)","previouslyFormattedCitation":"(Sabouri et al., 2021)"},"properties":{"noteIndex":0},"schema":"https://github.com/citation-style-language/schema/raw/master/csl-citation.json"}</w:instrText>
      </w:r>
      <w:r w:rsidR="001E2EAF" w:rsidRPr="00E72303">
        <w:fldChar w:fldCharType="separate"/>
      </w:r>
      <w:r w:rsidR="00B11099" w:rsidRPr="00E72303">
        <w:rPr>
          <w:noProof/>
        </w:rPr>
        <w:t>(Sabouri et al., 2021)</w:t>
      </w:r>
      <w:r w:rsidR="001E2EAF" w:rsidRPr="00E72303">
        <w:fldChar w:fldCharType="end"/>
      </w:r>
      <w:r w:rsidR="001E2EAF" w:rsidRPr="00E72303">
        <w:t xml:space="preserve">, and multiple discrete-continuous extreme </w:t>
      </w:r>
      <w:r w:rsidR="001E2EAF" w:rsidRPr="00E72303">
        <w:lastRenderedPageBreak/>
        <w:t xml:space="preserve">value model </w:t>
      </w:r>
      <w:r w:rsidR="001E2EAF" w:rsidRPr="00E72303">
        <w:fldChar w:fldCharType="begin" w:fldLock="1"/>
      </w:r>
      <w:r w:rsidR="00151AD7" w:rsidRPr="00E72303">
        <w:instrText>ADDIN CSL_CITATION {"citationItems":[{"id":"ITEM-1","itemData":{"DOI":"10.1016/j.trb.2008.06.009","ISSN":"01912615","abstract":"In this paper, we formulate and estimate a nested model structure that includes a multiple discrete-continuous extreme value (MDCEV) component to analyze the choice of vehicle type/vintage and usage in the upper level and a multinomial logit (MNL) component to analyze the choice of vehicle make/model in the lower nest. Data for the analysis are drawn from the 2000 San Francisco Bay Area Travel Survey. The model results indicate the important effects of household demographics, household location characteristics, built environment attributes, household head characteristics, and vehicle attributes on household vehicle holdings and use. The model developed in the paper is applied to predict the impact of land-use and fuel cost changes on vehicle holdings and usage of the households. Such predictions can inform the design of proactive land-use, economic, and transportation policies to influence household vehicle holdings and usage in a way that reduces the negative impacts of automobile dependency such as traffic congestion, fuel consumption and air pollution. © 2008 Elsevier Ltd. All rights reserved.","author":[{"dropping-particle":"","family":"Bhat","given":"Chandra R.","non-dropping-particle":"","parse-names":false,"suffix":""},{"dropping-particle":"","family":"Sen","given":"Sudeshna","non-dropping-particle":"","parse-names":false,"suffix":""},{"dropping-particle":"","family":"Eluru","given":"Naveen","non-dropping-particle":"","parse-names":false,"suffix":""}],"container-title":"Transportation Research Part B: Methodological","id":"ITEM-1","issue":"1","issued":{"date-parts":[["2009"]]},"page":"1-18","publisher":"Elsevier Ltd","title":"The impact of demographics, built environment attributes, vehicle characteristics, and gasoline prices on household vehicle holdings and use","type":"article-journal","volume":"43"},"uris":["http://www.mendeley.com/documents/?uuid=d805dd2b-0ab3-4aea-93db-27cda158fc9e"]},{"id":"ITEM-2","itemData":{"DOI":"10.1016/J.TRA.2017.06.012","ISSN":"0965-8564","abstract":"Facing the growing demand for carsharing services, it is critical for operators to accurately predict users’ preferences on different vehicle types and their vehicle usage. This vehicle choice behavior involves choosing multiple vehicle types simultaneously and allocating continuous amounts of budget to the chosen vehicles. The recent developed multiple discrete-continuous extreme value (MDCEV) modeling framework provides a suitable platform for allocation of continuous amounts of a consumer good (expenditure) to different discrete outcomes (different vehicle types). In this study, we develop three MDCEV models considering travel time, mileage, and monetary expenditure as the continuous consumption constraints. The three models estimate the impacts of a set of socio-demographic attributes on user's vehicle choice and capture the satiation effect with increasing the consumption for each vehicle type. The study also employs an efficient simulation procedure to obtain the simulated results of the three models, and compare the results to the observed data using normalized RMSE and correct ratio to determine the best-fitted model. The estimation results suggest that user age, income level, driving license country, insurance plan, membership plan, and origin location have impacts on users’ vehicle utilization patterns. The comparison results indicate that travel time, mileage and expenditure affect users’ vehicle utilization patterns in the same way, and all three models can provide accurate predictions for the vehicle choice behavior. These findings can be referred to by operators when determining the most efficient allocation of resources within carsharing systems.","author":[{"dropping-particle":"","family":"Jian","given":"Sisi","non-dropping-particle":"","parse-names":false,"suffix":""},{"dropping-particle":"","family":"Rashidi","given":"Taha Hossein","non-dropping-particle":"","parse-names":false,"suffix":""},{"dropping-particle":"","family":"Dixit","given":"Vinayak","non-dropping-particle":"","parse-names":false,"suffix":""}],"container-title":"Transportation Research Part A: Policy and Practice","id":"ITEM-2","issued":{"date-parts":[["2017","9","1"]]},"page":"362-376","publisher":"Pergamon","title":"An analysis of carsharing vehicle choice and utilization patterns using multiple discrete-continuous extreme value (MDCEV) models","type":"article-journal","volume":"103"},"uris":["http://www.mendeley.com/documents/?uuid=dd22fefa-bdfe-38ec-aaa6-4bd6dec8e959"]},{"id":"ITEM-3","itemData":{"DOI":"10.1016/j.eneco.2007.10.003","ISSN":"01409883","abstract":"The paper analyzes how adding alternative fuel passenger cars to the market will affect patterns in demand for passenger cars. We use conjoint analysis and a multiple discrete-continuous choice model to estimate consumer preferences regarding alternative fuel vehicles, and based on the estimates we conduct a simulation to analyze changing rates of ownership and use of variously fueled passenger cars under the effect of the introduction of alternative fuel passenger cars. In addition, we estimate changes in overall fuel consumption and the emission of pollutants. The results show that gasoline-fueled cars will still be most consumers' first choice, but alternative fuel passenger cars will nevertheless compete and offer a substitute for the purchase and use of gasoline-fueled or diesel-fueled cars. Finally, results show that adding alternative fuel cars to the market would effectively lower gasoline and diesel fuel consumption and the emission of pollutants. © 2007 Elsevier B.V. All rights reserved.","author":[{"dropping-particle":"","family":"Ahn","given":"Jiwoon","non-dropping-particle":"","parse-names":false,"suffix":""},{"dropping-particle":"","family":"Jeong","given":"Gicheol","non-dropping-particle":"","parse-names":false,"suffix":""},{"dropping-particle":"","family":"Kim","given":"Yeonbae","non-dropping-particle":"","parse-names":false,"suffix":""}],"container-title":"Energy Economics","id":"ITEM-3","issue":"5","issued":{"date-parts":[["2008"]]},"page":"2091-2104","title":"A forecast of household ownership and use of alternative fuel vehicles: A multiple discrete-continuous choice approach","type":"article-journal","volume":"30"},"uris":["http://www.mendeley.com/documents/?uuid=b44f0252-251d-4e3a-9b29-41f8bcc5dedd"]}],"mendeley":{"formattedCitation":"(Ahn et al., 2008; Bhat et al., 2009; Jian et al., 2017)","manualFormatting":"(Ahn et al., 2008; Bhat et al., 2009; Jian et al., 2017)","plainTextFormattedCitation":"(Ahn et al., 2008; Bhat et al., 2009; Jian et al., 2017)","previouslyFormattedCitation":"(Ahn et al., 2008; Bhat et al., 2009; Jian et al., 2017)"},"properties":{"noteIndex":0},"schema":"https://github.com/citation-style-language/schema/raw/master/csl-citation.json"}</w:instrText>
      </w:r>
      <w:r w:rsidR="001E2EAF" w:rsidRPr="00E72303">
        <w:fldChar w:fldCharType="separate"/>
      </w:r>
      <w:r w:rsidR="00B11099" w:rsidRPr="00E72303">
        <w:rPr>
          <w:noProof/>
        </w:rPr>
        <w:t>(Ahn</w:t>
      </w:r>
      <w:r w:rsidR="00CE222D" w:rsidRPr="00E72303">
        <w:rPr>
          <w:noProof/>
        </w:rPr>
        <w:t xml:space="preserve"> et al.</w:t>
      </w:r>
      <w:r w:rsidR="00B11099" w:rsidRPr="00E72303">
        <w:rPr>
          <w:noProof/>
        </w:rPr>
        <w:t>, 2008; Bhat</w:t>
      </w:r>
      <w:r w:rsidR="00CE222D" w:rsidRPr="00E72303">
        <w:rPr>
          <w:noProof/>
        </w:rPr>
        <w:t xml:space="preserve"> et al.</w:t>
      </w:r>
      <w:r w:rsidR="00B11099" w:rsidRPr="00E72303">
        <w:rPr>
          <w:noProof/>
        </w:rPr>
        <w:t>, 2009; Jian</w:t>
      </w:r>
      <w:r w:rsidR="00CE222D" w:rsidRPr="00E72303">
        <w:rPr>
          <w:noProof/>
        </w:rPr>
        <w:t xml:space="preserve"> et al.</w:t>
      </w:r>
      <w:r w:rsidR="00B11099" w:rsidRPr="00E72303">
        <w:rPr>
          <w:noProof/>
        </w:rPr>
        <w:t>, 2017)</w:t>
      </w:r>
      <w:r w:rsidR="001E2EAF" w:rsidRPr="00E72303">
        <w:fldChar w:fldCharType="end"/>
      </w:r>
      <w:r w:rsidR="001E2EAF" w:rsidRPr="00E72303">
        <w:t xml:space="preserve">. </w:t>
      </w:r>
      <w:r w:rsidR="007A5F8A" w:rsidRPr="00E72303">
        <w:t xml:space="preserve">These studies employed a diverse range of exogenous variables including – </w:t>
      </w:r>
      <w:r w:rsidR="00AA6A3E" w:rsidRPr="00E72303">
        <w:t>household</w:t>
      </w:r>
      <w:r w:rsidR="007A5F8A" w:rsidRPr="00E72303">
        <w:t>’s</w:t>
      </w:r>
      <w:r w:rsidR="00AA6A3E" w:rsidRPr="00E72303">
        <w:t xml:space="preserve"> </w:t>
      </w:r>
      <w:r w:rsidR="007A5F8A" w:rsidRPr="00E72303">
        <w:t>demographics, socio-economic attributes</w:t>
      </w:r>
      <w:r w:rsidR="0072308D" w:rsidRPr="00E72303">
        <w:t>,</w:t>
      </w:r>
      <w:r w:rsidR="007A5F8A" w:rsidRPr="00E72303">
        <w:t xml:space="preserve"> commuting pattern</w:t>
      </w:r>
      <w:r w:rsidR="0072308D" w:rsidRPr="00E72303">
        <w:t xml:space="preserve"> characteristics</w:t>
      </w:r>
      <w:r w:rsidR="007A5F8A" w:rsidRPr="00E72303">
        <w:t>, transportation network characteristic</w:t>
      </w:r>
      <w:r w:rsidR="0072308D" w:rsidRPr="00E72303">
        <w:t>s</w:t>
      </w:r>
      <w:r w:rsidR="007A5F8A" w:rsidRPr="00E72303">
        <w:t>, land use characteristic</w:t>
      </w:r>
      <w:r w:rsidR="0072308D" w:rsidRPr="00E72303">
        <w:t>s</w:t>
      </w:r>
      <w:r w:rsidR="007A5F8A" w:rsidRPr="00E72303">
        <w:t>, built environment characteristic</w:t>
      </w:r>
      <w:r w:rsidR="0072308D" w:rsidRPr="00E72303">
        <w:t>s</w:t>
      </w:r>
      <w:r w:rsidR="007A5F8A" w:rsidRPr="00E72303">
        <w:t>, vehicle characteristics</w:t>
      </w:r>
      <w:r w:rsidR="00F073DA" w:rsidRPr="00E72303">
        <w:t>, and policy related attributes</w:t>
      </w:r>
      <w:r w:rsidR="007A5F8A" w:rsidRPr="00E72303">
        <w:t>.</w:t>
      </w:r>
      <w:r w:rsidR="00F26C14" w:rsidRPr="00E72303">
        <w:t xml:space="preserve"> Traditional vehicle choice studies that employed vehicle sales data usually limit themselves to vehicle characteristics (such as vehicle price, internal area, allowed load, vehicle age, engine power, cylinder volume, wheel type, fuel type, body type and vehicle brand) (see</w:t>
      </w:r>
      <w:r w:rsidR="00EC4AB6" w:rsidRPr="00E72303">
        <w:t xml:space="preserve"> </w:t>
      </w:r>
      <w:r w:rsidR="00151AD7" w:rsidRPr="00E72303">
        <w:fldChar w:fldCharType="begin" w:fldLock="1"/>
      </w:r>
      <w:r w:rsidR="00E020E5" w:rsidRPr="00E72303">
        <w:instrText>ADDIN CSL_CITATION {"citationItems":[{"id":"ITEM-1","itemData":{"DOI":"10.1108/IMDS-01-2014-0031","ISSN":"02635577","abstract":"Purpose - The purpose of this paper is to suggest a method of selecting efficient customer service programmes and of providing relevant customer information to dealers, based on the analysis of repeat-purchase behaviour data in the automobile industry.\nDesign/methodology/approach - A recurrent event model is proposed and employed to determine which variables affect repurchasing behaviour in consumers' repurchase cycles. Unlike the conventional recurrent event model, the proposed model uses common variables for all strata, as well as stratum-specific variables.\nFindings - Empirical results show that age, price difference, change in vehicle type, and marketing promotion affect the likelihood of repeat purchase. VIP service centres and repair services are effective marketing tools, and dealers should pay more attention to existing customers having certain characteristics, depending on prior purchase behaviour.\nPractical implications - Though many customer service programmes are devised and implemented at great cost, Customer Relationship Management (CRM) data reveal that classic car-care services are the most essential. CRMcan provide dealerswith essential customer information that enables real purchases.\nOriginality/value - Collecting primary data on automobile purchase behaviour and customer service usage is difficult, and therefore, customer behaviour strategy is often formulated using basic principles alone. The paper proposes a method to construct a service strategy and formulate deal guidelines based on CRM data and statistical modelling.","author":[{"dropping-particle":"","family":"Kim","given":"Juyoung","non-dropping-particle":"","parse-names":false,"suffix":""},{"dropping-particle":"","family":"Kim","given":"Myung Suk","non-dropping-particle":"","parse-names":false,"suffix":""}],"container-title":"Industrial Management and Data Systems","id":"ITEM-1","issue":"7","issued":{"date-parts":[["2014"]]},"page":"994-1006","title":"Analysis of automobile repeat-purchase behaviour on CRM","type":"article-journal","volume":"114"},"uris":["http://www.mendeley.com/documents/?uuid=6acbd2e1-e478-4beb-b2e5-b714d395dfee"]},{"id":"ITEM-2","itemData":{"DOI":"10.1016/j.trd.2014.05.007","ISSN":"13619209","abstract":"This paper presents a study of customer preferences and opinions about alternative fuel vehicles. Nowadays the studies of green technologies, especially in the area of green transport, are interesting for policy makers, vehicle producers, customers and energy suppliers. Many stakeholders from public and private sector are investing a lot of effort to identify consumer behaviour for future improvements in development of their green products and strategies. This study is a modification of previously conducted research on customer behaviour on the same topic in Scotland. The survey includes almost 700 participants to identify the most important parameters of consumer behaviour related to purchase of alternative fuel vehicle. Therefore the questionnaire includes different factors, combining financial and technical aspects, environmental performance and vehicle design. Results have revealed that the most relevant factor for purchasing low emission vehicle is total vehicle price, and that the segment of potential alternative fuel vehicles buyers is much larger than we initially anticipated. Such vehicles are, surprisingly, also more attractive for the older population, according to our results. © 2014 Elsevier Ltd.","author":[{"dropping-particle":"","family":"Knez","given":"Matjaz","non-dropping-particle":"","parse-names":false,"suffix":""},{"dropping-particle":"","family":"Jereb","given":"Borut","non-dropping-particle":"","parse-names":false,"suffix":""},{"dropping-particle":"","family":"Obrecht","given":"Matevz","non-dropping-particle":"","parse-names":false,"suffix":""}],"container-title":"Transportation Research Part D: Transport and Environment","id":"ITEM-2","issue":"2014","issued":{"date-parts":[["2014"]]},"page":"53-61","publisher":"Elsevier Ltd","title":"Factors influencing the purchasing decisions of low emission cars: A study of Slovenia","type":"article-journal","volume":"30"},"uris":["http://www.mendeley.com/documents/?uuid=4054f685-1012-4184-8e75-0ac8ca02d086"]},{"id":"ITEM-3","itemData":{"DOI":"10.1007/s12544-017-0232-1","ISSN":"18668887","abstract":"Purpose: The introduction of novel fuel and propulsion technologies, such as battery, (plug-in) hybrid and fuel cell electric vehicles, and the need to combat the exhaust emission of local and global pollutants from the passenger car fleet have enhanced the political interest in the vehicle purchase choices made by private households and firms, and in how these choices can be influenced through fiscal and regulatory penalties and incentives. Methods: As a tool to understand and analyse such questions, we have developed a generic nested logit model of automobile choice, based on complete disaggregate vehicle sales data for Norway for the period ranging from January 1996 until July 2011. The data set contains 1.6 million vehicle transactions. Results: Being sensitive to changes in the vehicle purchase tax and the fuel tax, the model discriminates well between various fiscal policy scenarios. In using the model for such purposes, one is greatly helped by the fact that the model distinguishes between price changes due to taxation and those originating from the manufacturing or marketing side. Conclusions: The strongly CO2 graduated vehicle purchase tax, with exemptions granted for battery electric vehicles, is shown to have a major impact on the average type approval rate of CO2 emissions from new passenger cars registered in Norway. The fuel tax also helps induce car customers to buy low emission vehicles.","author":[{"dropping-particle":"","family":"Østli","given":"Vegard","non-dropping-particle":"","parse-names":false,"suffix":""},{"dropping-particle":"","family":"Fridstrøm","given":"Lasse","non-dropping-particle":"","parse-names":false,"suffix":""},{"dropping-particle":"","family":"Johansen","given":"Kjell Werner","non-dropping-particle":"","parse-names":false,"suffix":""},{"dropping-particle":"","family":"Tseng","given":"Yin Yen","non-dropping-particle":"","parse-names":false,"suffix":""}],"container-title":"European Transport Research Review","id":"ITEM-3","issue":"2","issued":{"date-parts":[["2017"]]},"publisher":"European Transport Research Review","title":"A generic discrete choice model of automobile purchase","type":"article-journal","volume":"9"},"uris":["http://www.mendeley.com/documents/?uuid=405e73d3-93c4-4576-b75b-a368a3ae312e"]},{"id":"ITEM-4","itemData":{"ISSN":"09766359","abstract":"The objective of the paper is to study the attributes which mostly affecting thepurchase decision of the automobile consumer. Presently Indian automobile industryis full of competition due to availability of national and foreign brands and increasingpre and post-sales expectation among the customers. The study has been conducted inTamilnadu. A total of 547 customers who have purchased the cars, were contacted fordata collection. The study is based on primary and secondary data. StructuralEquation Model has been used to analyze data. It was found from the results of theresearch that the targeted research variable customer perceived value was positivelyinfluenced by brand, price, quality, design, utility, technical consideration. And allthese factors have compelled the customer to select and buy the car.","author":[{"dropping-particle":"","family":"Dhanabalan","given":"T.","non-dropping-particle":"","parse-names":false,"suffix":""},{"dropping-particle":"","family":"Subha","given":"K.","non-dropping-particle":"","parse-names":false,"suffix":""},{"dropping-particle":"","family":"Shanthi","given":"R.","non-dropping-particle":"","parse-names":false,"suffix":""},{"dropping-particle":"","family":"Sathish","given":"A.","non-dropping-particle":"","parse-names":false,"suffix":""}],"container-title":"International Journal of Mechanical Engineering and Technology","id":"ITEM-4","issue":"10","issued":{"date-parts":[["2018"]]},"page":"53-63","title":"Factors influencing consumers' car purchasing decision in indian automobile industry","type":"article-journal","volume":"9"},"uris":["http://www.mendeley.com/documents/?uuid=2cecefe5-af48-4dea-b4bf-e54749fc5e50"]},{"id":"ITEM-5","itemData":{"abstract":"… parameters in both rural and urban sector and availability of easy finance are the … analysis of research in the area of Consumer Behaviour of Automobile Car Customer … in terms of customer requirement; whereas perceived quality by customers mainly depends on brand image …","author":[{"dropping-particle":"","family":"Joshi","given":"D","non-dropping-particle":"","parse-names":false,"suffix":""},{"dropping-particle":"","family":"Bhatt","given":"V","non-dropping-particle":"","parse-names":false,"suffix":""}],"container-title":"Roots International Journal of Multidisciplinary Researches","id":"ITEM-5","issue":"2","issued":{"date-parts":[["2018"]]},"page":"67-76","title":"A Study on Factors Influencing Consumer'S Preference While Making Purchase Decision of First Own Car in Ahmedabad City","type":"article-journal","volume":"2"},"uris":["http://www.mendeley.com/documents/?uuid=7b8eef6d-9d5a-498d-bc0d-47fa82e62145"]},{"id":"ITEM-6","itemData":{"DOI":"10.1016/j.trd.2019.06.003","ISSN":"13619209","abstract":"The transport sector is the third-largest producer of greenhouse gas (GHG) emissions in Germany, but within the scope of the government's climate action plan, the country aims to cut emissions from transport by at least 40% by 2030. Apart from passenger cars, commercial vehicles including heavy-duty trucks (HDTs) are one of the main contributors of emissions. Eco-innovations such as alternative fuel-powered HDTs could change that but diesel is still by far the prevalent fuel of choice. Hence, what factors affect the purchasing decision and operation of low-emission HDTs and which are the most relevant ones? We employed a Delphi study to answer the question of how 34 factors affect the adoption of alternative fuel-powered HDTs in Germany. Our factors combine cost factors, socioeconomic issues, environmental criteria, operational aspects, and political considerations. According to the experts, a truck's reliability, an available fueling/charging infrastructure, the possibility to enter low-emission zones as well as current and future fuel costs are key factors when purchasing and operating an alternative fuel-powered HDT. In addition, we identified battery electric (BE), fuel cell electric (FCE), compressed natural gas (CNG) and liquefied natural gas (LNG) as promising technologies to reduce emissions from HDTs. Thus, we analyzed motivators, barriers, and ways to overcome the main barriers when switching from diesel to those technologies. Among others, the experts evaluated the possibility to enter low-emission zones as an important motivator, but the fragmented fueling/charging infrastructure as a main barrier. Subsidies are one promising way to spur the penetration of low-emission HDTs.","author":[{"dropping-particle":"","family":"Anderhofstadt","given":"Benedikt","non-dropping-particle":"","parse-names":false,"suffix":""},{"dropping-particle":"","family":"Spinler","given":"Stefan","non-dropping-particle":"","parse-names":false,"suffix":""}],"container-title":"Transportation Research Part D: Transport and Environment","id":"ITEM-6","issued":{"date-parts":[["2019"]]},"page":"87-107","publisher":"Elsevier","title":"Factors affecting the purchasing decision and operation of alternative fuel-powered heavy-duty trucks in Germany – A Delphi study","type":"article-journal","volume":"73"},"uris":["http://www.mendeley.com/documents/?uuid=edd1ce94-8d35-4d17-b9f4-f46748d79efe"]},{"id":"ITEM-7","itemData":{"DOI":"10.1109/CITSM.2018.8674324","ISBN":"9781538654330","abstract":"To choose the right vehicle according to the needs and funds owned by consumers, requires a careful analysis that takes into account many criteria and factors. The criteria used as a benchmark in choosing a vehicle, among others, price, spare parts, cylinder volume, the power of the vehicle. To process all these criteria required a system that can select and classify criteria chosen by consumer, so that can assist consumer in choosing the most appropriate vehicle, therefore needed a system for decision making in making car purchase. The Naive Bayes algorithm is a simple probabilistic classifier that computes a set of probabilities by summing the frequency and value combinations of the given dataset. Application of Naïve Bayes method is expected to be able to predict car purchases. Of the 20 car purchase data used in the test by the Naïve Bayes method, then obtained a percentage of 75% for the accuracy of prediction, where from 20 car purchase data tested there are 15 data purchase car successfully classified correctly.","author":[{"dropping-particle":"","family":"Harahap","given":"Fitriana","non-dropping-particle":"","parse-names":false,"suffix":""},{"dropping-particle":"","family":"Harahap","given":"Ahir Yugo Nugroho","non-dropping-particle":"","parse-names":false,"suffix":""},{"dropping-particle":"","family":"Ekadiansyah","given":"Evri","non-dropping-particle":"","parse-names":false,"suffix":""},{"dropping-particle":"","family":"Sari","given":"Rita Novita","non-dropping-particle":"","parse-names":false,"suffix":""},{"dropping-particle":"","family":"Adawiyah","given":"Robiatul","non-dropping-particle":"","parse-names":false,"suffix":""},{"dropping-particle":"","family":"Harahap","given":"Charles Bronson","non-dropping-particle":"","parse-names":false,"suffix":""}],"container-title":"2018 6th International Conference on Cyber and IT Service Management, CITSM 2018","id":"ITEM-7","issue":"Citsm","issued":{"date-parts":[["2019"]]},"page":"1-5","publisher":"IEEE","title":"Implementation of Naïve Bayes Classification Method for Predicting Purchase","type":"article-journal"},"uris":["http://www.mendeley.com/documents/?uuid=f245c0e8-d04e-4036-9092-fd351609e787"]},{"id":"ITEM-8","itemData":{"DOI":"10.1109/DASA51403.2020.9317187","ISBN":"9781728196770","abstract":"This paper examines the impact of Covid-19 on consumer's decision-making while purchasing a vehicle. Consumers are faced with several sets of criteria to select the right vehicle during the global pandemic of COVID-19. Health and safety have become a paramount concern and simultaneously consumer purchasing power has changed given economic conditions. We focus on consumer attitudes and preferences while purchasing a vehicle. Vehicle selection is considered to be a multiple criteria decision-making problem. The Analytical Hierarchy Process (AHP) approach is used to determine consumer preferences towards vehicle selection using the following criteria: financial aspects, maintenance aspects, vehicle features, and promotions offered. The objective of this research is to help understand what alternative is best for the consumer during COVID-19 given the preselected criteria. Meanwhile, the paper sheds light to the dealerships in the Kingdom of Bahrain with regards to the offers, vehicle features, and after-sales service that could be an offer to potential buyers during COVID-19.","author":[{"dropping-particle":"","family":"Raza","given":"Sarah","non-dropping-particle":"","parse-names":false,"suffix":""},{"dropping-particle":"","family":"Masmoudi","given":"Meryem","non-dropping-particle":"","parse-names":false,"suffix":""}],"container-title":"2020 International Conference on Decision Aid Sciences and Application, DASA 2020","id":"ITEM-8","issued":{"date-parts":[["2020"]]},"page":"692-696","title":"Consumer Vehicle Purchase Decision-making during COVID-19","type":"article-journal"},"uris":["http://www.mendeley.com/documents/?uuid=608b888d-789f-428c-9116-6f2ca2f462cf"]},{"id":"ITEM-9","itemData":{"DOI":"10.1088/1755-1315/849/1/012006","ISSN":"17551315","abstract":"At present, countries in the world are paying more and more attention to the importance of green development and sustainable growth, and taxation plays a very good role in regulating it. In China, the role of taxation policy as a means of stimulating green consumption is becoming more and more significant. This paper starts with the vehicle purchase tax and uses the Difference in differences (DID) model to study its impact on the alternative fuel vehicle industry. The purpose of the research is to use the method of empirical research to test the impact of preferential vehicle purchase tax policies on the sales of alternative fuel vehicles using automobile production and sales data as samples. This research is helpful to enrich the research on preferential policies of vehicle purchase tax, and provides a good reference for empirical research on the impact of vehicle purchase tax on the sales of the automobile industry. Researched the impact of tax incentives for automobile purchase tax, and proposes constructive guidance with China's specific situation. It has an important impact on promoting China's further improvement of the tax system reform and the development of the alternative fuel vehicle industry, and also plays an active role in supporting macroeconomic transformation and development.","author":[{"dropping-particle":"","family":"Ma","given":"J.","non-dropping-particle":"","parse-names":false,"suffix":""},{"dropping-particle":"","family":"Mayburov","given":"I.","non-dropping-particle":"","parse-names":false,"suffix":""}],"container-title":"IOP Conference Series: Earth and Environmental Science","id":"ITEM-9","issue":"1","issued":{"date-parts":[["2021"]]},"title":"Using DID Model to Analyse the Impact of Vehicle Purchase Tax on the Sales of Alternative Fuel Vehicle","type":"article-journal","volume":"849"},"uris":["http://www.mendeley.com/documents/?uuid=119e07ad-34ac-445d-9f02-4c9458cc1d07"]}],"mendeley":{"formattedCitation":"(Anderhofstadt &amp; Spinler, 2019; Dhanabalan et al., 2018; Harahap et al., 2019; Joshi &amp; Bhatt, 2018; Kim &amp; Kim, 2014; Knez et al., 2014; Ma &amp; Mayburov, 2021; Østli et al., 2017; Raza &amp; Masmoudi, 2020)","plainTextFormattedCitation":"(Anderhofstadt &amp; Spinler, 2019; Dhanabalan et al., 2018; Harahap et al., 2019; Joshi &amp; Bhatt, 2018; Kim &amp; Kim, 2014; Knez et al., 2014; Ma &amp; Mayburov, 2021; Østli et al., 2017; Raza &amp; Masmoudi, 2020)","previouslyFormattedCitation":"(Anderhofstadt &amp; Spinler, 2019; Dhanabalan et al., 2018; Harahap et al., 2019; Joshi &amp; Bhatt, 2018; Kim &amp; Kim, 2014; Knez et al., 2014; Ma &amp; Mayburov, 2021; Østli et al., 2017; Raza &amp; Masmoudi, 2020)"},"properties":{"noteIndex":0},"schema":"https://github.com/citation-style-language/schema/raw/master/csl-citation.json"}</w:instrText>
      </w:r>
      <w:r w:rsidR="00151AD7" w:rsidRPr="00E72303">
        <w:fldChar w:fldCharType="separate"/>
      </w:r>
      <w:r w:rsidR="00151AD7" w:rsidRPr="00E72303">
        <w:rPr>
          <w:noProof/>
        </w:rPr>
        <w:t>(Anderhofstadt &amp; Spinler, 2019; Dhanabalan et al., 2018; Harahap et al., 2019; Joshi &amp; Bhatt, 2018; Kim &amp; Kim, 2014; Knez et al., 2014; Ma &amp; Mayburov, 2021; Østli et al., 2017; Raza &amp; Masmoudi, 2020)</w:t>
      </w:r>
      <w:r w:rsidR="00151AD7" w:rsidRPr="00E72303">
        <w:fldChar w:fldCharType="end"/>
      </w:r>
      <w:r w:rsidR="00F26C14" w:rsidRPr="00E72303">
        <w:t>). On the other hand, vehicle choice studies that employed survey datasets (such as California Household Travel Survey data and datasets from SMS</w:t>
      </w:r>
      <w:r w:rsidR="009A5E8D" w:rsidRPr="00E72303">
        <w:t xml:space="preserve"> or email</w:t>
      </w:r>
      <w:r w:rsidR="00F26C14" w:rsidRPr="00E72303">
        <w:t xml:space="preserve"> invitations) are found to emphasize several household socioeconomic characteristics (such as age, gender, household income, ethnicity, number of household vehicles, employment, educational qualification, and annual mileage) (see</w:t>
      </w:r>
      <w:r w:rsidR="00E020E5" w:rsidRPr="00E72303">
        <w:t xml:space="preserve"> </w:t>
      </w:r>
      <w:r w:rsidR="00E020E5" w:rsidRPr="00E72303">
        <w:fldChar w:fldCharType="begin" w:fldLock="1"/>
      </w:r>
      <w:r w:rsidR="00341A94" w:rsidRPr="00E72303">
        <w:instrText>ADDIN CSL_CITATION {"citationItems":[{"id":"ITEM-1","itemData":{"DOI":"10.1007/s11116-010-9271-3","ISSN":"00494488","abstract":"Modeling the interaction between the built environment and travel behavior is of much interest to transportation planning professionals due to the desire to curb vehicular travel demand through modifications to built environment attributes. However, such models need to take into account self-selection effects in residential location choice, wherein households choose to reside in neighborhoods and built environments that are conducive to their lifestyle preferences and attitudes. This phenomenon, well-recognized in the literature, calls for the specification and estimation of joint models of multi-dimensional land use and travel choice processes. However, the estimation of such model systems that explicitly account for the presence of unobserved factors that jointly impact multiple choice dimensions is extremely complex and computationally intensive. This paper presents a joint GEV-based logit regression model of residential location choice, vehicle count by type choice, and vehicle usage (vehicle miles of travel) using a copula-based framework that facilitates the estimation of joint equations systems with error dependence structures within a simple and flexible closed-form analytic framework. The model system is estimated on a sample derived from the 2000 San Francisco Bay Area Household Travel Survey. Estimation results show that there is significant dependency among the choice dimensions and that self-selection effects cannot be ignored when modeling land use-travel behavior interactions. © 2010 Springer Science+Business Media, LLC.","author":[{"dropping-particle":"","family":"Eluru","given":"Naveen","non-dropping-particle":"","parse-names":false,"suffix":""},{"dropping-particle":"","family":"Bhat","given":"Chandra R.","non-dropping-particle":"","parse-names":false,"suffix":""},{"dropping-particle":"","family":"Pendyala","given":"Ram M.","non-dropping-particle":"","parse-names":false,"suffix":""},{"dropping-particle":"","family":"Konduri","given":"Karthik C.","non-dropping-particle":"","parse-names":false,"suffix":""}],"container-title":"Transportation","id":"ITEM-1","issue":"4","issued":{"date-parts":[["2010"]]},"page":"603-626","title":"A joint flexible econometric model system of household residential location and vehicle fleet composition/usage choices","type":"article-journal","volume":"37"},"uris":["http://www.mendeley.com/documents/?uuid=201d1159-6d18-4a25-b6c7-18930a9c04fb"]},{"id":"ITEM-2","itemData":{"DOI":"10.5897/AJBM10.480","abstract":"A car infotainment system (CIS) is an information system supporting driving behaviour and providing entertainment activities, it can enrich the basic functions of a car, and is a valuable product. This paper investigates which CIS value factors affect consumers' car purchase intentions. A questionnaire survey collected responses from a sample of 319 consumers, and a structure equation model was used as the analytical method. The results found show that a CIS possesses value when it is useful or provides driving safety, and in that case consumers will exhibit greater tendency to purchase a car. In addition, high price or perceived risk will affect the value of a CIS such that consumers with less tendency to purchase a car. This study also discusses some practical implications for car manufacturers and auto electronics. This paper ultimately seeks to facilitate the future development of the auto market.","author":[{"dropping-particle":"","family":"Chang","given":"Tsungsheng","non-dropping-particle":"","parse-names":false,"suffix":""},{"dropping-particle":"","family":"Hsiao","given":"Weihung","non-dropping-particle":"","parse-names":false,"suffix":""}],"container-title":"African Journal of Business Management","id":"ITEM-2","issue":"11","issued":{"date-parts":[["2011"]]},"page":"4152-4163","title":"Consumers' Automotive Purchase Decisions: The Significance of Vehicle-based Infotainment Systems","type":"article-journal","volume":"5"},"uris":["http://www.mendeley.com/documents/?uuid=32cdb2c3-1feb-40d7-b71c-80f8879f8581"]},{"id":"ITEM-3","itemData":{"author":[{"dropping-particle":"","family":"Arokiaraj","given":"D.","non-dropping-particle":"","parse-names":false,"suffix":""},{"dropping-particle":"","family":"M.Banumathi","given":"","non-dropping-particle":"","parse-names":false,"suffix":""}],"container-title":"IJEMR","id":"ITEM-3","issue":"4","issued":{"date-parts":[["2014"]]},"page":"1-10","title":"Factors Influencing the Purchase Decision of Passenger Cars in Puduchery","type":"article-journal","volume":"4"},"uris":["http://www.mendeley.com/documents/?uuid=7ae41180-bf89-4614-a070-352c0565d9dd"]},{"id":"ITEM-4","itemData":{"DOI":"10.4324/9781315576657-19","abstract":"HD9980.5.M46 See notes","author":[{"dropping-particle":"","family":"Biswas","given":"Aindrila","non-dropping-particle":"","parse-names":false,"suffix":""},{"dropping-particle":"","family":"Mukherjee","given":"Angshu","non-dropping-particle":"","parse-names":false,"suffix":""},{"dropping-particle":"","family":"Roy","given":"Mousumi","non-dropping-particle":"","parse-names":false,"suffix":""}],"container-title":"Journal of Management Policies and Practices","id":"ITEM-4","issue":"2","issued":{"date-parts":[["2014"]]},"page":"99-111","title":"Leveraging Factors for Consumers’ Car Purchase Decisions- A Study in an Emerging Economy","type":"article-journal","volume":"2"},"uris":["http://www.mendeley.com/documents/?uuid=f3b76f6d-d188-4082-a080-39215f6bb543"]},{"id":"ITEM-5","itemData":{"DOI":"10.1016/j.trc.2016.02.016","ISSN":"0968090X","abstract":"Wider deployment of alternative fuel vehicles (AFVs) can help with increasing energy security and transitioning to clean vehicles. Ideally, adopters of AFVs are able to maintain the same level of mobility as users of conventional vehicles while reducing energy use and emissions. Greater knowledge of AFV benefits can support consumers' vehicle purchase and use choices. The Environmental Protection Agency's fuel economy ratings are a key source of potential benefits of using AFVs. However, the ratings are based on pre-designed and fixed driving cycles applied in laboratory conditions, neglecting the attributes of drivers and vehicle types. While the EPA ratings using pre-designed and fixed driving cycles may be unbiased they are not necessarily precise, owning to large variations in real-life driving. Thus, to better predict fuel economy for individual consumers targeting specific types of vehicles, it is important to find driving cycles that can better represent consumers' real-world driving practices instead of using pre-designed standard driving cycles. This paper presents a methodology for customizing driving cycles to provide convincing fuel economy predictions that are based on drivers' characteristics and contemporary real-world driving, along with validation efforts. The methodology takes into account current micro-driving practices in terms of maintaining speed, acceleration, braking, idling, etc., on trips. Specifically, using a large-scale driving data collected by in-vehicle Global Positioning System as part of a travel survey, a micro-trips (building block) library for California drivers is created using 54 million seconds of vehicle trajectories on more than 60,000 trips, made by 3000 drivers. To generate customized driving cycles, a new tool, known as Case Based System for Driving Cycle Design, is developed. These customized cycles can predict fuel economy more precisely for conventional vehicles vis-à-vis AFVs. This is based on a consumer's similarity in terms of their own and geographical characteristics, with a sample of micro-trips from the case library. The AFV driving cycles, created from real-world driving data, show significant differences from conventional driving cycles currently in use. This further highlights the need to enhance current fuel economy estimations by using customized driving cycles, helping consumers make more informed vehicle purchase and use decisions.","author":[{"dropping-particle":"","family":"Liu","given":"Jun","non-dropping-particle":"","parse-names":false,"suffix":""},{"dropping-particle":"","family":"Wang","given":"Xin","non-dropping-particle":"","parse-names":false,"suffix":""},{"dropping-particle":"","family":"Khattak","given":"Asad","non-dropping-particle":"","parse-names":false,"suffix":""}],"container-title":"Transportation Research Part C: Emerging Technologies","id":"ITEM-5","issued":{"date-parts":[["2016"]]},"page":"280-298","publisher":"Elsevier Ltd","title":"Customizing driving cycles to support vehicle purchase and use decisions: Fuel economy estimation for alternative fuel vehicle users","type":"article-journal","volume":"67"},"uris":["http://www.mendeley.com/documents/?uuid=3e7dbfac-89e5-439b-bb69-b4ab46093d9b"]},{"id":"ITEM-6","itemData":{"DOI":"10.1016/j.trd.2017.12.011","ISSN":"13619209","abstract":"Battery electric vehicles (BEVs) represent a promising solution to carbon emissions within the transportation sector, but relatively little is known about how limited-range vehicles will change consumer behavior. This study evaluates the impact of large-scale introduction of BEVs on the new car market in Norway, and seeks to determine whether BEVs lead to an increase in household vehicle ownership. Analysis of online survey responses from 4405 new car owners suggests that BEVs lead to an increase in household vehicle ownership of approximately 15–20%. We arrive at this finding using three independent methods: logistic regression of the likelihood of replacing a vehicle on vehicle type, analysis of correlation between the rate of vehicle replacement and BEV market share across municipalities, and linear regression of changes in total new car sales on changes in BEV sales across counties and years. Survey responses on driving habits also suggest that BEV purchases lead to a moderate increase in vehicle miles traveled. These results suggest that real-world emissions savings may be somewhat less than those predicted by life-cycle analysis. Policy recommendations include focusing incentives for BEVs on those bought as replacements for a conventional vehicle.","author":[{"dropping-particle":"","family":"Bauer","given":"Gordon","non-dropping-particle":"","parse-names":false,"suffix":""}],"container-title":"Transportation Research Part D: Transport and Environment","id":"ITEM-6","issue":"December 2017","issued":{"date-parts":[["2018"]]},"page":"239-258","publisher":"Elsevier","title":"The impact of battery electric vehicles on vehicle purchase and driving behavior in Norway","type":"article-journal","volume":"58"},"uris":["http://www.mendeley.com/documents/?uuid=538e698b-b6df-4267-a18b-161861658ebb"]},{"id":"ITEM-7","itemData":{"DOI":"10.21272/mmi.2023.1-03","ISBN":"0000000167","ISSN":"22184511","abstract":"This study is conducted to understand consumers’ preferences with different demographic variables on their car purchase decision based on features the car offers and the cost consciousness variables considered mainly by consumers, as suggested by previous studies on this topic. The judgmental survey method was used for this research using a structured &amp; non-disguised questionnaire to collect the responses. The pilot survey was used to understand the instrument’s reliability and validity total of 200 respondents were contacted, but 143 responses were received. The response rate was almost 72% of the reached respondents. But, only 103 usable responses were considered for analysis as there were 40 responses found not to be a worthwhile while. 13 were inconsistent with their answers, 22 had missing values with essential questions, and the remaining 5 were outliers in their response. The shortlisted sample size (with almost 50% responses) is adequate for this type of research. Factor analysis with PCA is performed to group the variables and define the dependent variables for this study. The two dependent variables were defined from this. They are described as features of the cars and cost consciousness. Then ANOVA is used to get p-values for the regression scores of the independent demographic variables to understand the impact. The findings of this study show that none of the essential demographic variables of consumers (here gender, education, occupation and age) has shown a significant impact with features and cost consciousness as dependent variables in car purchase decisions. These findings contradict the studies done in the past. It is find from this study, that the consumers are more fashion-conscious and environmentally conscious than cost-conscious. This result may be because of the characteristics of the sample, which shows that there is no significant impact of any of the demographic variables on the car purchase decision based on the feature of the car as well as cost-consciousness factors like resale value, maintenance and fuel. The results of this study may change if the sample contains equal percentages of the consumers for all the demographic factors. The results may vary if the sample has more part-time employees and other types such as students, retired and unemployed.","author":[{"dropping-particle":"","family":"Nerurkar","given":"Varad","non-dropping-particle":"","parse-names":false,"suffix":""},{"dropping-particle":"","family":"Barge","given":"Prashant","non-dropping-particle":"","parse-names":false,"suffix":""},{"dropping-particle":"","family":"Bhatt","given":"Vimal","non-dropping-particle":"","parse-names":false,"suffix":""},{"dropping-particle":"","family":"Rastogi","given":"Shailesh","non-dropping-particle":"","parse-names":false,"suffix":""},{"dropping-particle":"","family":"Agarwal","given":"Bhakti","non-dropping-particle":"","parse-names":false,"suffix":""}],"container-title":"Marketing and Management of Innovations","id":"ITEM-7","issue":"1","issued":{"date-parts":[["2023"]]},"page":"24-40","title":"Factors Influencing Consumer Decision to Purchase a Car","type":"article-journal","volume":"14"},"uris":["http://www.mendeley.com/documents/?uuid=98e40f13-501d-4b46-979f-cf1f0f1e0590"]},{"id":"ITEM-8","itemData":{"DOI":"10.1016/j.tbs.2023.02.003","ISSN":"2214367X","abstract":"The completion of a vehicle purchase is a major decision point which presents substantial financial implications for low-income households. As compared to the expansive bodies of literature on the low-income housing search and the relationship between travel behavior constraints and intra-household race and sex/gender dynamics, literature on the sociodemographic drivers influencing the vehicle search and purchase process for low-income households is scant. We begin to fill these knowledge gaps by analyzing data on major decision-making aspects of vehicle purchase from a representative survey of 1,604 low- and moderate-income households in California, where vehicle ownership and dependence among low-income households is high. We find that sex/gender and race or ethnicity both influence who within a household is the reported primary-decision maker in vehicle purchase searches, with Hispanic and Asian females being significantly less likely to be described as the primary decision-maker in their households’ processes. More educated, higher income and older respondents were also more likely to purchase a vehicle from a traditional automobile dealer rather than an online seller or other informal source. These findings reflect broader, regressive differences in intra-household financial decision-making as well as inequitable disparities in the purchase process. The results also present implications for lower-income household financial management, and a growing field of policymaking aimed to support a just transition in clean vehicle adoption.","author":[{"dropping-particle":"","family":"Pierce","given":"Gregory","non-dropping-particle":"","parse-names":false,"suffix":""},{"dropping-particle":"","family":"Connolly","given":"Rachel","non-dropping-particle":"","parse-names":false,"suffix":""}],"container-title":"Travel Behaviour and Society","id":"ITEM-8","issue":"December 2021","issued":{"date-parts":[["2023"]]},"page":"363-373","publisher":"Elsevier Ltd","title":"Disparities in the “who” and “where” of the vehicle purchase decision-making process for lower-income households","type":"article-journal","volume":"31"},"uris":["http://www.mendeley.com/documents/?uuid=98cbebc6-ba7c-4dd6-870c-71fa5b81c797"]},{"id":"ITEM-9","itemData":{"DOI":"10.1080/23311975.2023.2293488","ISSN":"23311975","abstract":"The South African short-term insurance industry is diverse and competitive. Consumers can choose from a wide variety of motor vehicle insurance policies. The aim of this paper was to determine the specific factors that influence individuals’ decision to purchase personal motor vehicle insurance in South Africa. A quantitative research approach was followed, which involved collecting data by means of a self-administered questionnaire. A three-phased analysis strategy, consisting of (1) exploratory factor analysis, (2) confirmatory factor analysis and (3) logistic regression model building, was followed to test and refine a consumer purchase decision model until an acceptable model could be established. The acceptable model identified specific internal and external factors, namely, marketing efforts (people, process and price of a policy); factors related to the sociocultural environment (items such as positive social class and negative reference family member); communication sources (paid-for social media efforts, buzz agents and customized messages); psychological attributes (items such as motivation and personality); and demographic variables (household income, highest level of education and age). It is recommended that insurance companies take note of the identified factors that influence the market since they are the policymakers who offer and market motor vehicle insurance products to consumers and potential consumers.","author":[{"dropping-particle":"","family":"Huyssteen","given":"Nadia","non-dropping-particle":"van","parse-names":false,"suffix":""},{"dropping-particle":"","family":"Rudansky-Kloppers","given":"Sharon","non-dropping-particle":"","parse-names":false,"suffix":""}],"container-title":"Cogent Business and Management","id":"ITEM-9","issue":"1","issued":{"date-parts":[["2024"]]},"page":"1-21","publisher":"Cogent","title":"Factors influencing consumers’ purchase decisions regarding personal motor vehicle insurance in South Africa","type":"article-journal","volume":"11"},"uris":["http://www.mendeley.com/documents/?uuid=4d6a71de-fd61-4054-89a4-cf5f1dbb8afa"]}],"mendeley":{"formattedCitation":"(Arokiaraj &amp; M.Banumathi, 2014; Bauer, 2018; Biswas et al., 2014; Chang &amp; Hsiao, 2011; Eluru et al., 2010; Liu et al., 2016; Nerurkar et al., 2023; Pierce &amp; Connolly, 2023; van Huyssteen &amp; Rudansky-Kloppers, 2024)","plainTextFormattedCitation":"(Arokiaraj &amp; M.Banumathi, 2014; Bauer, 2018; Biswas et al., 2014; Chang &amp; Hsiao, 2011; Eluru et al., 2010; Liu et al., 2016; Nerurkar et al., 2023; Pierce &amp; Connolly, 2023; van Huyssteen &amp; Rudansky-Kloppers, 2024)","previouslyFormattedCitation":"(Arokiaraj &amp; M.Banumathi, 2014; Bauer, 2018; Biswas et al., 2014; Chang &amp; Hsiao, 2011; Eluru et al., 2010; Liu et al., 2016; Nerurkar et al., 2023; Pierce &amp; Connolly, 2023; van Huyssteen &amp; Rudansky-Kloppers, 2024)"},"properties":{"noteIndex":0},"schema":"https://github.com/citation-style-language/schema/raw/master/csl-citation.json"}</w:instrText>
      </w:r>
      <w:r w:rsidR="00E020E5" w:rsidRPr="00E72303">
        <w:fldChar w:fldCharType="separate"/>
      </w:r>
      <w:r w:rsidR="00E020E5" w:rsidRPr="00E72303">
        <w:rPr>
          <w:noProof/>
        </w:rPr>
        <w:t>(Arokiaraj &amp; M.Banumathi, 2014; Bauer, 2018; Biswas et al., 2014; Chang &amp; Hsiao, 2011; Eluru et al., 2010; Liu et al., 2016; Nerurkar et al., 2023; Pierce &amp; Connolly, 2023; van Huyssteen &amp; Rudansky-Kloppers, 2024)</w:t>
      </w:r>
      <w:r w:rsidR="00E020E5" w:rsidRPr="00E72303">
        <w:fldChar w:fldCharType="end"/>
      </w:r>
      <w:r w:rsidR="00F26C14" w:rsidRPr="00E72303">
        <w:t>).</w:t>
      </w:r>
      <w:r w:rsidR="009A5E8D" w:rsidRPr="00E72303">
        <w:t xml:space="preserve"> </w:t>
      </w:r>
      <w:r w:rsidR="00F26C14" w:rsidRPr="00E72303">
        <w:t>These studies are found to employ a very limited number of vehicle characteristics (such as fuel type, body type</w:t>
      </w:r>
      <w:r w:rsidR="00530E69" w:rsidRPr="00E72303">
        <w:t>, vehicle brand</w:t>
      </w:r>
      <w:r w:rsidR="00F26C14" w:rsidRPr="00E72303">
        <w:t xml:space="preserve"> and vehicle age). The reasoning for these data limitation is two-fold. </w:t>
      </w:r>
      <w:r w:rsidR="00F26C14" w:rsidRPr="00E72303">
        <w:rPr>
          <w:i/>
          <w:iCs/>
        </w:rPr>
        <w:t>First</w:t>
      </w:r>
      <w:r w:rsidR="00F26C14" w:rsidRPr="00E72303">
        <w:t xml:space="preserve">, vehicle characteristics and array of sociodemographic information are not readily available in a single data source. </w:t>
      </w:r>
      <w:r w:rsidR="00F26C14" w:rsidRPr="00E72303">
        <w:rPr>
          <w:i/>
          <w:iCs/>
        </w:rPr>
        <w:t>Second</w:t>
      </w:r>
      <w:r w:rsidR="00F26C14" w:rsidRPr="00E72303">
        <w:t xml:space="preserve">, for estimating vehicle ownership models employing different categories of exogenous variables, it might be necessary to merge several datasets. The merging process is straight forward in datasets with a clear matching </w:t>
      </w:r>
      <w:r w:rsidR="00A05003" w:rsidRPr="00E72303">
        <w:t xml:space="preserve">identifier </w:t>
      </w:r>
      <w:r w:rsidR="00F26C14" w:rsidRPr="00E72303">
        <w:t>variable. However, the vehicle sales datasets and survey datasets do not have any common identifier variable that can be utilized for merging those datasets.</w:t>
      </w:r>
      <w:r w:rsidR="00156482" w:rsidRPr="00E72303">
        <w:t xml:space="preserve"> </w:t>
      </w:r>
      <w:r w:rsidR="00E77590" w:rsidRPr="00E72303">
        <w:t xml:space="preserve">To </w:t>
      </w:r>
      <w:r w:rsidR="00AA6A3E" w:rsidRPr="00E72303">
        <w:t xml:space="preserve">the authors’ knowledge, no research </w:t>
      </w:r>
      <w:r w:rsidR="004B3FE6" w:rsidRPr="00E72303">
        <w:t>has undertaken</w:t>
      </w:r>
      <w:r w:rsidR="00A40EB2" w:rsidRPr="00E72303">
        <w:t xml:space="preserve"> </w:t>
      </w:r>
      <w:r w:rsidR="00B42D0F" w:rsidRPr="00E72303">
        <w:t>a merging exercise for</w:t>
      </w:r>
      <w:r w:rsidR="00E77590" w:rsidRPr="00E72303">
        <w:t xml:space="preserve"> </w:t>
      </w:r>
      <w:r w:rsidR="00B050E5" w:rsidRPr="00E72303">
        <w:t xml:space="preserve">two datasets without a matched variable for </w:t>
      </w:r>
      <w:r w:rsidR="00B42D0F" w:rsidRPr="00E72303">
        <w:t xml:space="preserve">developing </w:t>
      </w:r>
      <w:r w:rsidR="00B050E5" w:rsidRPr="00E72303">
        <w:t xml:space="preserve">vehicle </w:t>
      </w:r>
      <w:r w:rsidR="00F37C13" w:rsidRPr="00E72303">
        <w:t>ownership</w:t>
      </w:r>
      <w:r w:rsidR="00B050E5" w:rsidRPr="00E72303">
        <w:t xml:space="preserve"> model</w:t>
      </w:r>
      <w:r w:rsidR="00B42D0F" w:rsidRPr="00E72303">
        <w:t>s</w:t>
      </w:r>
      <w:r w:rsidR="00F37C13" w:rsidRPr="00E72303">
        <w:t xml:space="preserve">. </w:t>
      </w:r>
      <w:r w:rsidR="00B42D0F" w:rsidRPr="00E72303">
        <w:t>I</w:t>
      </w:r>
      <w:r w:rsidR="00F37C13" w:rsidRPr="00E72303">
        <w:t>n this study we estimated households’ vehicle purchase decision,</w:t>
      </w:r>
      <w:r w:rsidR="004B3FE6" w:rsidRPr="00E72303">
        <w:t xml:space="preserve"> </w:t>
      </w:r>
      <w:r w:rsidR="00B42D0F" w:rsidRPr="00E72303">
        <w:t>as a combination of</w:t>
      </w:r>
      <w:r w:rsidR="004B3FE6" w:rsidRPr="00E72303">
        <w:t xml:space="preserve"> vehicle type and fuel type, by integrating an extensive array of vehicle characteristics</w:t>
      </w:r>
      <w:r w:rsidR="00580AC5" w:rsidRPr="00E72303">
        <w:t xml:space="preserve"> (from </w:t>
      </w:r>
      <w:proofErr w:type="spellStart"/>
      <w:r w:rsidR="00580AC5" w:rsidRPr="00E72303">
        <w:t>MaritzCX</w:t>
      </w:r>
      <w:proofErr w:type="spellEnd"/>
      <w:r w:rsidR="00580AC5" w:rsidRPr="00E72303">
        <w:t xml:space="preserve"> vehicle purchase data)</w:t>
      </w:r>
      <w:r w:rsidR="004B3FE6" w:rsidRPr="00E72303">
        <w:t xml:space="preserve"> alongside household’s economic and demographic characteristics</w:t>
      </w:r>
      <w:r w:rsidR="00580AC5" w:rsidRPr="00E72303">
        <w:t xml:space="preserve"> (from 2017 NHTS data)</w:t>
      </w:r>
      <w:r w:rsidR="00BB0130" w:rsidRPr="00E72303">
        <w:t xml:space="preserve"> through a</w:t>
      </w:r>
      <w:r w:rsidR="00D35DDF" w:rsidRPr="00E72303">
        <w:t>n</w:t>
      </w:r>
      <w:r w:rsidR="00BB0130" w:rsidRPr="00E72303">
        <w:t xml:space="preserve"> </w:t>
      </w:r>
      <w:r w:rsidR="0072308D" w:rsidRPr="00E72303">
        <w:t>innovative fusion</w:t>
      </w:r>
      <w:r w:rsidR="004B3FE6" w:rsidRPr="00E72303">
        <w:t xml:space="preserve"> of merging two distinct datasets</w:t>
      </w:r>
      <w:r w:rsidR="00162FAE" w:rsidRPr="00E72303">
        <w:t xml:space="preserve"> without a </w:t>
      </w:r>
      <w:r w:rsidR="004B3FE6" w:rsidRPr="00E72303">
        <w:t>matched identifier variable.</w:t>
      </w:r>
    </w:p>
    <w:p w14:paraId="08A72EA6" w14:textId="77777777" w:rsidR="007B178E" w:rsidRPr="00E72303" w:rsidRDefault="007B178E" w:rsidP="007B178E">
      <w:pPr>
        <w:pStyle w:val="1stParagraph"/>
      </w:pPr>
    </w:p>
    <w:p w14:paraId="23C9E171" w14:textId="55EB2C4A" w:rsidR="006028EE" w:rsidRPr="00E72303" w:rsidRDefault="00D603FC" w:rsidP="007B178E">
      <w:pPr>
        <w:pStyle w:val="Heading2"/>
        <w:rPr>
          <w:color w:val="auto"/>
        </w:rPr>
      </w:pPr>
      <w:r w:rsidRPr="00E72303">
        <w:rPr>
          <w:color w:val="auto"/>
        </w:rPr>
        <w:t>Current Study in Context</w:t>
      </w:r>
    </w:p>
    <w:p w14:paraId="5A5B2E59" w14:textId="577E1111" w:rsidR="009A77A9" w:rsidRPr="00E72303" w:rsidRDefault="00DA32AE" w:rsidP="00A57814">
      <w:r w:rsidRPr="00E72303">
        <w:t xml:space="preserve">The current study contributes to vehicle choice and purchase literature with the following </w:t>
      </w:r>
      <w:r w:rsidR="00340BA7" w:rsidRPr="00E72303">
        <w:t xml:space="preserve">three </w:t>
      </w:r>
      <w:r w:rsidRPr="00E72303">
        <w:t xml:space="preserve">objectives. </w:t>
      </w:r>
      <w:r w:rsidRPr="00E72303">
        <w:rPr>
          <w:i/>
          <w:iCs/>
          <w:u w:val="single"/>
        </w:rPr>
        <w:t>First</w:t>
      </w:r>
      <w:r w:rsidRPr="00E72303">
        <w:t xml:space="preserve">, </w:t>
      </w:r>
      <w:r w:rsidR="00C84ED6" w:rsidRPr="00E72303">
        <w:t xml:space="preserve">the study utilizes a </w:t>
      </w:r>
      <w:r w:rsidR="00D35DDF" w:rsidRPr="00E72303">
        <w:t>large-scale</w:t>
      </w:r>
      <w:r w:rsidR="00C84ED6" w:rsidRPr="00E72303">
        <w:t xml:space="preserve"> </w:t>
      </w:r>
      <w:r w:rsidRPr="00E72303">
        <w:t xml:space="preserve">vehicle </w:t>
      </w:r>
      <w:r w:rsidR="00146618" w:rsidRPr="00E72303">
        <w:t xml:space="preserve">purchase </w:t>
      </w:r>
      <w:r w:rsidR="00C84ED6" w:rsidRPr="00E72303">
        <w:t>dataset scarcely employed in transportation literature</w:t>
      </w:r>
      <w:r w:rsidRPr="00E72303">
        <w:t xml:space="preserve">. </w:t>
      </w:r>
      <w:r w:rsidR="00D603FC" w:rsidRPr="00E72303">
        <w:t xml:space="preserve">To be sure, multiple studies employed </w:t>
      </w:r>
      <w:proofErr w:type="spellStart"/>
      <w:r w:rsidR="00D603FC" w:rsidRPr="00E72303">
        <w:t>MaritzCX</w:t>
      </w:r>
      <w:proofErr w:type="spellEnd"/>
      <w:r w:rsidR="00D603FC" w:rsidRPr="00E72303">
        <w:t xml:space="preserve"> data to study vehicle ownership dimensions such as the role of fuel economy </w:t>
      </w:r>
      <w:r w:rsidR="00D603FC" w:rsidRPr="00E72303">
        <w:fldChar w:fldCharType="begin" w:fldLock="1"/>
      </w:r>
      <w:r w:rsidR="00151AD7" w:rsidRPr="00E72303">
        <w:instrText>ADDIN CSL_CITATION {"citationItems":[{"id":"ITEM-1","itemData":{"author":[{"dropping-particle":"","family":"Ankney","given":"Kevin","non-dropping-particle":"","parse-names":false,"suffix":""},{"dropping-particle":"","family":"Leard","given":"Benjamin","non-dropping-particle":"","parse-names":false,"suffix":""}],"id":"ITEM-1","issue":"August","issued":{"date-parts":[["2021"]]},"publisher-place":"Washington, DC","title":"How Much Do Consumers Value Fuel Cost Savings? Evidence from the Passenger Vehicle Leasing Market","type":"report"},"uris":["http://www.mendeley.com/documents/?uuid=aae872a1-f346-4e50-a268-7599ca859f80"]},{"id":"ITEM-2","itemData":{"abstract":"Fuel economy and greenhouse gas emissions standards cover about half of all vehicles globally. The US regulatory agencies predicted that standards for 2012 through 2016, which improved fuel economy by 13 percent, would substantially increase social welfare, but their analysis was based on fuel price and technology assumptions that appear to have been overly optimistic, and they assumed the standards would not affect vehicle market shares and other vehicle attributes, such as horsepower. This paper provides the first comprehensive social welfare estimates of recent standards. We use a new equilibrium model that includes fixed and variable costs of raising fuel economy, manufacturer substitution between fuel economy and performance, and heterogeneous consumer preferences and manufacturer costs. The standards have reduced greenhouse gas emissions at a cost of $6 per metric ton of carbon dioxide (accounting for consumer internalities), implying that standards have raised social welfare. Most fuel economy improvements have been achieved by trading off horsepower for fuel economy, rather than adjusting prices or adding fuel-saving technology, leaving horsepower 30 percent lower than if standards had not tightened.","author":[{"dropping-particle":"","family":"Leard","given":"Benjamin","non-dropping-particle":"","parse-names":false,"suffix":""},{"dropping-particle":"","family":"Linn","given":"Joshua","non-dropping-particle":"","parse-names":false,"suffix":""},{"dropping-particle":"","family":"Springel","given":"Katalin","non-dropping-particle":"","parse-names":false,"suffix":""}],"id":"ITEM-2","issued":{"date-parts":[["2020"]]},"number-of-pages":"1-51","title":"Have US Fuel Economy and Greenhouse Gas Emissions Standards Improved Social Welfare?","type":"report"},"uris":["http://www.mendeley.com/documents/?uuid=1abfdf11-f04c-35d0-989f-489d903bbe2d"]}],"mendeley":{"formattedCitation":"(Ankney &amp; Leard, 2021; Leard et al., 2020)","manualFormatting":"(Leard et al., 2020; Ankney and Leard, 2021)","plainTextFormattedCitation":"(Ankney &amp; Leard, 2021; Leard et al., 2020)","previouslyFormattedCitation":"(Ankney &amp; Leard, 2021; Leard et al., 2020)"},"properties":{"noteIndex":0},"schema":"https://github.com/citation-style-language/schema/raw/master/csl-citation.json"}</w:instrText>
      </w:r>
      <w:r w:rsidR="00D603FC" w:rsidRPr="00E72303">
        <w:fldChar w:fldCharType="separate"/>
      </w:r>
      <w:r w:rsidR="00B11099" w:rsidRPr="00E72303">
        <w:rPr>
          <w:noProof/>
        </w:rPr>
        <w:t>(Leard</w:t>
      </w:r>
      <w:r w:rsidR="00C31686" w:rsidRPr="00E72303">
        <w:rPr>
          <w:noProof/>
        </w:rPr>
        <w:t xml:space="preserve"> et al.</w:t>
      </w:r>
      <w:r w:rsidR="00B11099" w:rsidRPr="00E72303">
        <w:rPr>
          <w:noProof/>
        </w:rPr>
        <w:t>, 2020; Ankney and Leard, 2021)</w:t>
      </w:r>
      <w:r w:rsidR="00D603FC" w:rsidRPr="00E72303">
        <w:fldChar w:fldCharType="end"/>
      </w:r>
      <w:r w:rsidR="00D603FC" w:rsidRPr="00E72303">
        <w:t xml:space="preserve">, adoption of EVs </w:t>
      </w:r>
      <w:r w:rsidR="00D603FC" w:rsidRPr="00E72303">
        <w:fldChar w:fldCharType="begin" w:fldLock="1"/>
      </w:r>
      <w:r w:rsidR="00151AD7" w:rsidRPr="00E72303">
        <w:instrText>ADDIN CSL_CITATION {"citationItems":[{"id":"ITEM-1","itemData":{"DOI":"10.1257/aer.20150897","author":[{"dropping-particle":"","family":"Holland","given":"Stephen P","non-dropping-particle":"","parse-names":false,"suffix":""},{"dropping-particle":"","family":"Mansur","given":"Erin T","non-dropping-particle":"","parse-names":false,"suffix":""},{"dropping-particle":"","family":"Muller","given":"Nicholas Z","non-dropping-particle":"","parse-names":false,"suffix":""},{"dropping-particle":"","family":"Yates","given":"Andrew J","non-dropping-particle":"","parse-names":false,"suffix":""}],"container-title":"American Economic Review","id":"ITEM-1","issue":"12","issued":{"date-parts":[["2016"]]},"page":"3700-3729","title":"Are There Environmental Benefits from Driving Electric Vehicles? The Importance of Local Factors †","type":"article-journal","volume":"106"},"uris":["http://www.mendeley.com/documents/?uuid=4c00c025-e72d-3915-9c39-0483315787be"]},{"id":"ITEM-2","itemData":{"DOI":"10.1086/701188/SUPPL_FILE/2016184APPENDIX.PDF","ISSN":"23335963","abstract":"We examine distributional effects of changes in local air pollution from driving electric vehicles in the United States. An econometric model estimates power plant emissions and an integrated assessment model values damages in air pollution from electric and gasoline vehicles. Using data on currently registered electric vehicles, we find that people in census block groups with median income greater than about $65,000 receive positive environmental benefits while those below this threshold receive negative environmental benefits. On average, Asian and Hispanic residents receive positive environmental benefits, but white and black residents receive negative environmental benefits. In multivariate analyses with census region fixed effects, environmental benefits are positively correlated with income and urban measures and with Asian, black, and Hispanic block-group population shares. Created environmental benefits tend to be larger in states offering purchase subsidies. However, for these states, an increase in subsidy size is associated with a decrease in environmental benefits.","author":[{"dropping-particle":"","family":"Holland","given":"Stephen P.","non-dropping-particle":"","parse-names":false,"suffix":""},{"dropping-particle":"","family":"Mansur","given":"Erin T.","non-dropping-particle":"","parse-names":false,"suffix":""},{"dropping-particle":"","family":"Muller","given":"Nicholas Z.","non-dropping-particle":"","parse-names":false,"suffix":""},{"dropping-particle":"","family":"Yates","given":"Andrew J.","non-dropping-particle":"","parse-names":false,"suffix":""}],"container-title":"Journal of the Association of Environmental and Resource Economists","id":"ITEM-2","issue":"S1","issued":{"date-parts":[["2019","3","1"]]},"page":"S65-S94","publisher":"University of Chicago Press","title":"Distributional effects of air pollution from electric vehicle adoption","type":"article-journal","volume":"6"},"uris":["http://www.mendeley.com/documents/?uuid=7f7aa658-69bc-3fe2-8bbb-6e88203f2f2b"]},{"id":"ITEM-3","itemData":{"DOI":"10.1016/j.jeem.2021.102432","ISSN":"10960449","abstract":"The emissions reductions from the adoption of a new transportation technology depend on the emissions from the new technology relative to those from the displaced technology. We evaluate the emissions reductions from electric vehicles (EVs) by identifying which vehicles would have been purchased had EVs not been available. We do so by estimating a random coefficients discrete choice model of new vehicle demand and simulating counterfactual sales with EVs no longer subsidized or removed from the new vehicle market. Our results suggest that vehicles that EVs replace are relatively fuel-efficient: EVs replace gasoline vehicles with an average fuel economy of 4.2 mpg above the fleet-wide average and 12 percent of them replace hybrid vehicles. This implies that ignoring the non-random replacement of gasoline vehicles would result in overestimating emissions benefits of EVs by 39 percent. Federal income tax credits resulted in a 29 percent increase in EV sales, but 70 percent of the credits were obtained by households that would have bought an EV without the credits. By simulating alternative subsidy designs, we find that a subsidy designed to provide greater incentives to low-income households would have been more cost effective and less regressive.","author":[{"dropping-particle":"","family":"Xing","given":"Jianwei","non-dropping-particle":"","parse-names":false,"suffix":""},{"dropping-particle":"","family":"Leard","given":"Benjamin","non-dropping-particle":"","parse-names":false,"suffix":""},{"dropping-particle":"","family":"Li","given":"Shanjun","non-dropping-particle":"","parse-names":false,"suffix":""}],"container-title":"Journal of Environmental Economics and Management","id":"ITEM-3","issued":{"date-parts":[["2021"]]},"page":"102432","publisher":"Elsevier Inc.","title":"What does an electric vehicle replace?","type":"article-journal","volume":"107"},"uris":["http://www.mendeley.com/documents/?uuid=07f08587-e117-4ac5-bdb6-a753143229c6"]},{"id":"ITEM-4","itemData":{"DOI":"10.3141/2628-12","ISSN":"21694052","abstract":"This study used a matched data set drawn from more than 1 million new vehicle postpurchase consumer satisfaction surveys to test for differences in satisfaction and reasons for vehicle choice and rejection between conventional internal combustion engine (ICE) vehicles and plug-in electric vehicles (PEVs). The Wilcoxon signed rank test and the McNemar and chi-square tests were used to evaluate consumer satisfaction and reasons for rejecting considered vehicles, respectively. Results show that PEV purchasers and considerers—people who considered purchasing a specific type of car (Editor’s note: This term is the authors’.)—were less satisfied with their overall purchase experience, but those who considered and rejected a PEV were less likely than those who considered and rejected an ICE to cite the dealer’s attitude as the reason for rejection. Price and value were the most cited reasons and were similarly important for both groups. Reasons related to model availability and vehicle attributes were more often a concern for PEV considerers than for ICE considerers. These results suggest that even with existing incentives, the limitations of the current technology (e.g., price and range) and the variety of available vehicles are the most important challenges to market expansion.","author":[{"dropping-particle":"","family":"Jabbari","given":"Parasto","non-dropping-particle":"","parse-names":false,"suffix":""},{"dropping-particle":"","family":"Chernicoff","given":"William","non-dropping-particle":"","parse-names":false,"suffix":""},{"dropping-particle":"","family":"Mackenzie","given":"Don","non-dropping-particle":"","parse-names":false,"suffix":""}],"container-title":"Transportation Research Record","id":"ITEM-4","issue":"1","issued":{"date-parts":[["2017"]]},"page":"110-119","title":"Analysis of electric vehicle purchaser satisfaction and rejection reasons","type":"article-journal","volume":"2628"},"uris":["http://www.mendeley.com/documents/?uuid=6dad0bc6-c00c-4f6b-bcaf-074af2bd21eb"]}],"mendeley":{"formattedCitation":"(Holland et al., 2016, 2019; Jabbari et al., 2017; Xing et al., 2021)","manualFormatting":"(Holland et al., 2016, 2019; Jabbari et al., 2017; Xing et al., 2021)","plainTextFormattedCitation":"(Holland et al., 2016, 2019; Jabbari et al., 2017; Xing et al., 2021)","previouslyFormattedCitation":"(Holland et al., 2016, 2019; Jabbari et al., 2017; Xing et al., 2021)"},"properties":{"noteIndex":0},"schema":"https://github.com/citation-style-language/schema/raw/master/csl-citation.json"}</w:instrText>
      </w:r>
      <w:r w:rsidR="00D603FC" w:rsidRPr="00E72303">
        <w:fldChar w:fldCharType="separate"/>
      </w:r>
      <w:r w:rsidR="00B11099" w:rsidRPr="00E72303">
        <w:rPr>
          <w:noProof/>
        </w:rPr>
        <w:t>(Holland et al., 2016, 2019; Jabbari</w:t>
      </w:r>
      <w:r w:rsidR="00ED7391" w:rsidRPr="00E72303">
        <w:rPr>
          <w:noProof/>
        </w:rPr>
        <w:t xml:space="preserve"> et al.</w:t>
      </w:r>
      <w:r w:rsidR="00B11099" w:rsidRPr="00E72303">
        <w:rPr>
          <w:noProof/>
        </w:rPr>
        <w:t>, 2017; Xing</w:t>
      </w:r>
      <w:r w:rsidR="00B864CE" w:rsidRPr="00E72303">
        <w:rPr>
          <w:noProof/>
        </w:rPr>
        <w:t xml:space="preserve"> et al.</w:t>
      </w:r>
      <w:r w:rsidR="00B11099" w:rsidRPr="00E72303">
        <w:rPr>
          <w:noProof/>
        </w:rPr>
        <w:t>, 2021)</w:t>
      </w:r>
      <w:r w:rsidR="00D603FC" w:rsidRPr="00E72303">
        <w:fldChar w:fldCharType="end"/>
      </w:r>
      <w:r w:rsidR="00D603FC" w:rsidRPr="00E72303">
        <w:t>, and purchasing new or used passe</w:t>
      </w:r>
      <w:r w:rsidR="00B7647A" w:rsidRPr="00E72303">
        <w:t>n</w:t>
      </w:r>
      <w:r w:rsidR="00D603FC" w:rsidRPr="00E72303">
        <w:t xml:space="preserve">ger cars </w:t>
      </w:r>
      <w:r w:rsidR="00D603FC" w:rsidRPr="00E72303">
        <w:fldChar w:fldCharType="begin" w:fldLock="1"/>
      </w:r>
      <w:r w:rsidR="00722547" w:rsidRPr="00E72303">
        <w:instrText>ADDIN CSL_CITATION {"citationItems":[{"id":"ITEM-1","itemData":{"DOI":"10.1086/715814","ISSN":"23335963","abstract":"Recent literature has shown the importance of modeling consumer demand for assessing the effects of new passenger vehicle fuel economy and greenhouse gas emissions standards. A relevant feature of demand for making this assessment is how vehicle buyers substitute between new vehicles and other options, such as a used vehicle. In this paper, I estimate this substitution using market-level and second choice data. I estimate a long-run market-price elasticity of demand for new vehicles equal to –0.34. I then explore the implications of this elasticity for assessing the welfare effects of 2021–26 SAFE Vehicles Rule. The simulation results show that applying the estimated elasticity significantly reduces the net benefits of the rule.","author":[{"dropping-particle":"","family":"Leard","given":"Benjamin","non-dropping-particle":"","parse-names":false,"suffix":""}],"container-title":"Journal of the Association of Environmental and Resource Economists","id":"ITEM-1","issue":"1","issued":{"date-parts":[["2022","1","1"]]},"page":"27-49","publisher":"University of Chicago Press","title":"Estimating consumer substitution between new and used passenger vehicles","type":"article-journal","volume":"9"},"uris":["http://www.mendeley.com/documents/?uuid=846712bb-072a-3a52-a3f6-bd48ab5a5bd7"]}],"mendeley":{"formattedCitation":"(Leard, 2022)","plainTextFormattedCitation":"(Leard, 2022)","previouslyFormattedCitation":"(Leard, 2022)"},"properties":{"noteIndex":0},"schema":"https://github.com/citation-style-language/schema/raw/master/csl-citation.json"}</w:instrText>
      </w:r>
      <w:r w:rsidR="00D603FC" w:rsidRPr="00E72303">
        <w:fldChar w:fldCharType="separate"/>
      </w:r>
      <w:r w:rsidR="00B11099" w:rsidRPr="00E72303">
        <w:rPr>
          <w:noProof/>
        </w:rPr>
        <w:t>(Leard, 2022)</w:t>
      </w:r>
      <w:r w:rsidR="00D603FC" w:rsidRPr="00E72303">
        <w:fldChar w:fldCharType="end"/>
      </w:r>
      <w:r w:rsidR="00D603FC" w:rsidRPr="00E72303">
        <w:t>.</w:t>
      </w:r>
      <w:r w:rsidR="003979EA" w:rsidRPr="00E72303">
        <w:t xml:space="preserve"> </w:t>
      </w:r>
      <w:r w:rsidR="008C4D0E" w:rsidRPr="00E72303">
        <w:t xml:space="preserve">However, the models developed with </w:t>
      </w:r>
      <w:proofErr w:type="spellStart"/>
      <w:r w:rsidR="008C4D0E" w:rsidRPr="00E72303">
        <w:t>MaritzCX</w:t>
      </w:r>
      <w:proofErr w:type="spellEnd"/>
      <w:r w:rsidR="008C4D0E" w:rsidRPr="00E72303">
        <w:t xml:space="preserve"> data do not consider several </w:t>
      </w:r>
      <w:r w:rsidR="00EF4A5E" w:rsidRPr="00E72303">
        <w:t>important</w:t>
      </w:r>
      <w:r w:rsidR="008C4D0E" w:rsidRPr="00E72303">
        <w:t xml:space="preserve"> </w:t>
      </w:r>
      <w:r w:rsidR="00EF4A5E" w:rsidRPr="00E72303">
        <w:t xml:space="preserve">household </w:t>
      </w:r>
      <w:r w:rsidR="008C4D0E" w:rsidRPr="00E72303">
        <w:t xml:space="preserve">variables influencing vehicle purchase decisions such as </w:t>
      </w:r>
      <w:r w:rsidR="005E52A4" w:rsidRPr="00E72303">
        <w:t xml:space="preserve">household </w:t>
      </w:r>
      <w:r w:rsidR="00EF4A5E" w:rsidRPr="00E72303">
        <w:t xml:space="preserve">age distribution, gender distribution, current vehicle ownership, </w:t>
      </w:r>
      <w:r w:rsidR="008C4D0E" w:rsidRPr="00E72303">
        <w:t>vehicle availability, number of adult</w:t>
      </w:r>
      <w:r w:rsidR="00EF4A5E" w:rsidRPr="00E72303">
        <w:t>s</w:t>
      </w:r>
      <w:r w:rsidR="008C4D0E" w:rsidRPr="00E72303">
        <w:t xml:space="preserve"> and children in the household,</w:t>
      </w:r>
      <w:r w:rsidR="00EF4A5E" w:rsidRPr="00E72303">
        <w:t xml:space="preserve"> employment characteristics, </w:t>
      </w:r>
      <w:r w:rsidR="008C4D0E" w:rsidRPr="00E72303">
        <w:t>and educational attainment of the household members.</w:t>
      </w:r>
      <w:r w:rsidR="00E629AF" w:rsidRPr="00E72303">
        <w:t xml:space="preserve"> The current study is motivated by the need to improve </w:t>
      </w:r>
      <w:r w:rsidR="00B45AD7" w:rsidRPr="00E72303">
        <w:t xml:space="preserve">our understanding of vehicle purchase decisions </w:t>
      </w:r>
      <w:r w:rsidR="00393A6C" w:rsidRPr="00E72303">
        <w:t xml:space="preserve">by incorporating additional </w:t>
      </w:r>
      <w:r w:rsidR="00E629AF" w:rsidRPr="00E72303">
        <w:t xml:space="preserve">independent variables </w:t>
      </w:r>
      <w:r w:rsidR="00393A6C" w:rsidRPr="00E72303">
        <w:t>drawn from NHTS and incorporated along</w:t>
      </w:r>
      <w:r w:rsidR="00E629AF" w:rsidRPr="00E72303">
        <w:t xml:space="preserve"> with the rich details of vehicle fuel and type choice from </w:t>
      </w:r>
      <w:proofErr w:type="spellStart"/>
      <w:r w:rsidR="00E629AF" w:rsidRPr="00E72303">
        <w:t>MaritzCX</w:t>
      </w:r>
      <w:proofErr w:type="spellEnd"/>
      <w:r w:rsidR="00E629AF" w:rsidRPr="00E72303">
        <w:t xml:space="preserve"> data.</w:t>
      </w:r>
      <w:r w:rsidR="00B45E87" w:rsidRPr="00E72303">
        <w:t xml:space="preserve"> </w:t>
      </w:r>
      <w:r w:rsidR="00980FFD" w:rsidRPr="00E72303">
        <w:rPr>
          <w:i/>
          <w:iCs/>
          <w:u w:val="single"/>
        </w:rPr>
        <w:t>Second</w:t>
      </w:r>
      <w:r w:rsidR="00980FFD" w:rsidRPr="00E72303">
        <w:t>, t</w:t>
      </w:r>
      <w:r w:rsidR="00B92232" w:rsidRPr="00E72303">
        <w:t xml:space="preserve">he dependent variable of interest in our analysis is </w:t>
      </w:r>
      <w:r w:rsidR="00C41ABD" w:rsidRPr="00E72303">
        <w:t xml:space="preserve">combination of </w:t>
      </w:r>
      <w:r w:rsidR="00DA462C" w:rsidRPr="00E72303">
        <w:t xml:space="preserve">fuel (gasoline and non-gasoline) </w:t>
      </w:r>
      <w:r w:rsidR="00B92232" w:rsidRPr="00E72303">
        <w:t xml:space="preserve">and </w:t>
      </w:r>
      <w:r w:rsidR="00DA462C" w:rsidRPr="00E72303">
        <w:t xml:space="preserve">vehicle </w:t>
      </w:r>
      <w:r w:rsidR="00B92232" w:rsidRPr="00E72303">
        <w:t xml:space="preserve">type </w:t>
      </w:r>
      <w:r w:rsidR="00DA462C" w:rsidRPr="00E72303">
        <w:t xml:space="preserve">(utility vehicle, sport sedan, </w:t>
      </w:r>
      <w:r w:rsidR="00163DC9" w:rsidRPr="00E72303">
        <w:t>sedan,</w:t>
      </w:r>
      <w:r w:rsidR="00DA462C" w:rsidRPr="00E72303">
        <w:t xml:space="preserve"> and pickup truck) alternatives.</w:t>
      </w:r>
      <w:r w:rsidR="00C44869" w:rsidRPr="00E72303">
        <w:t xml:space="preserve"> Fuel type is an important aspect to consider while purchasing </w:t>
      </w:r>
      <w:r w:rsidR="00C44869" w:rsidRPr="00E72303">
        <w:lastRenderedPageBreak/>
        <w:t xml:space="preserve">vehicle, because of </w:t>
      </w:r>
      <w:r w:rsidR="00340BA7" w:rsidRPr="00E72303">
        <w:t>its effect not only on</w:t>
      </w:r>
      <w:r w:rsidR="00C44869" w:rsidRPr="00E72303">
        <w:t xml:space="preserve"> the maintenance and driving cost</w:t>
      </w:r>
      <w:r w:rsidR="00340BA7" w:rsidRPr="00E72303">
        <w:t>,</w:t>
      </w:r>
      <w:r w:rsidR="00C44869" w:rsidRPr="00E72303">
        <w:t xml:space="preserve"> but also </w:t>
      </w:r>
      <w:r w:rsidR="00340BA7" w:rsidRPr="00E72303">
        <w:t xml:space="preserve">on </w:t>
      </w:r>
      <w:r w:rsidR="00C44869" w:rsidRPr="00E72303">
        <w:t xml:space="preserve">the environmental footprint of the vehicle. On the other hand, vehicle type represents consumers’ lifestyle and commuting requirements. Therefore, considering both fuel and vehicle type allows us to form a more </w:t>
      </w:r>
      <w:r w:rsidR="000907F8" w:rsidRPr="00E72303">
        <w:t>inclusive</w:t>
      </w:r>
      <w:r w:rsidR="00C44869" w:rsidRPr="00E72303">
        <w:t xml:space="preserve"> decision</w:t>
      </w:r>
      <w:r w:rsidR="00865E5C" w:rsidRPr="00E72303">
        <w:t xml:space="preserve">. </w:t>
      </w:r>
      <w:r w:rsidR="00865E5C" w:rsidRPr="00E72303">
        <w:rPr>
          <w:i/>
          <w:iCs/>
          <w:u w:val="single"/>
        </w:rPr>
        <w:t>Finally</w:t>
      </w:r>
      <w:r w:rsidR="00865E5C" w:rsidRPr="00E72303">
        <w:t xml:space="preserve">, </w:t>
      </w:r>
      <w:r w:rsidR="004E0C8D" w:rsidRPr="00E72303">
        <w:t xml:space="preserve">a novel data fusion approach </w:t>
      </w:r>
      <w:r w:rsidR="00FB445B" w:rsidRPr="00E72303">
        <w:t>has been</w:t>
      </w:r>
      <w:r w:rsidR="004E0C8D" w:rsidRPr="00E72303">
        <w:t xml:space="preserve"> </w:t>
      </w:r>
      <w:r w:rsidR="001B53D5" w:rsidRPr="00E72303">
        <w:t>utilized</w:t>
      </w:r>
      <w:r w:rsidR="004E0C8D" w:rsidRPr="00E72303">
        <w:t xml:space="preserve"> for merging two datasets with no </w:t>
      </w:r>
      <w:r w:rsidR="001B53D5" w:rsidRPr="00E72303">
        <w:t xml:space="preserve">matched </w:t>
      </w:r>
      <w:r w:rsidR="004E0C8D" w:rsidRPr="00E72303">
        <w:t>identi</w:t>
      </w:r>
      <w:r w:rsidR="001B53D5" w:rsidRPr="00E72303">
        <w:t xml:space="preserve">fier </w:t>
      </w:r>
      <w:r w:rsidR="004E0C8D" w:rsidRPr="00E72303">
        <w:t xml:space="preserve">variable. </w:t>
      </w:r>
      <w:r w:rsidR="00433759" w:rsidRPr="00E72303">
        <w:t xml:space="preserve">The proposed data fusion approach is geared towards </w:t>
      </w:r>
      <w:r w:rsidR="004F54FC" w:rsidRPr="00E72303">
        <w:t xml:space="preserve">identifying new independent variables affecting the dependent variable while </w:t>
      </w:r>
      <w:r w:rsidR="00433759" w:rsidRPr="00E72303">
        <w:t xml:space="preserve">maximizing the fit </w:t>
      </w:r>
      <w:r w:rsidR="00C84ED6" w:rsidRPr="00E72303">
        <w:t xml:space="preserve">for the dependent variable of interest </w:t>
      </w:r>
      <w:r w:rsidR="004C59F9" w:rsidRPr="00E72303">
        <w:t>(see Figure 1)</w:t>
      </w:r>
      <w:r w:rsidR="00433759" w:rsidRPr="00E72303">
        <w:t>.</w:t>
      </w:r>
      <w:r w:rsidR="00966FA9" w:rsidRPr="00E72303">
        <w:t xml:space="preserve"> </w:t>
      </w:r>
      <w:bookmarkStart w:id="3" w:name="_Hlk110279982"/>
      <w:r w:rsidR="003D74DE" w:rsidRPr="00E72303">
        <w:t xml:space="preserve">The reader will note that the records in NHTS and </w:t>
      </w:r>
      <w:proofErr w:type="spellStart"/>
      <w:r w:rsidR="003D74DE" w:rsidRPr="00E72303">
        <w:t>MaritzCX</w:t>
      </w:r>
      <w:proofErr w:type="spellEnd"/>
      <w:r w:rsidR="003D74DE" w:rsidRPr="00E72303">
        <w:t xml:space="preserve"> do not correspond to the same </w:t>
      </w:r>
      <w:r w:rsidR="008C4E07" w:rsidRPr="00E72303">
        <w:t>individuals</w:t>
      </w:r>
      <w:r w:rsidR="003D74DE" w:rsidRPr="00E72303">
        <w:t xml:space="preserve"> or households. </w:t>
      </w:r>
      <w:r w:rsidR="008C4E07" w:rsidRPr="00E72303">
        <w:t>The proposed data fusion is based on common attributes across the two datasets</w:t>
      </w:r>
      <w:r w:rsidR="00BC075B" w:rsidRPr="00E72303">
        <w:t xml:space="preserve">. Four identical variables – age category, income category, household’s state, and household’s location classified as urban or rural – are present in both </w:t>
      </w:r>
      <w:proofErr w:type="spellStart"/>
      <w:r w:rsidR="00BC075B" w:rsidRPr="00E72303">
        <w:t>MaritzCX</w:t>
      </w:r>
      <w:proofErr w:type="spellEnd"/>
      <w:r w:rsidR="00BC075B" w:rsidRPr="00E72303">
        <w:t xml:space="preserve"> and NHTS dataset</w:t>
      </w:r>
      <w:bookmarkEnd w:id="3"/>
      <w:r w:rsidR="00BC075B" w:rsidRPr="00E72303">
        <w:t xml:space="preserve">. The fusion algorithm hypothesizes that </w:t>
      </w:r>
      <w:r w:rsidR="004A731F" w:rsidRPr="00E72303">
        <w:t>households with matching attributes are likely to</w:t>
      </w:r>
      <w:r w:rsidR="00BC075B" w:rsidRPr="00E72303">
        <w:t xml:space="preserve"> </w:t>
      </w:r>
      <w:r w:rsidR="001D584D" w:rsidRPr="00E72303">
        <w:t xml:space="preserve">have an increased likelihood for making </w:t>
      </w:r>
      <w:r w:rsidR="00BC075B" w:rsidRPr="00E72303">
        <w:t>similar choices</w:t>
      </w:r>
      <w:r w:rsidR="008C4E07" w:rsidRPr="00E72303">
        <w:t>.</w:t>
      </w:r>
      <w:r w:rsidR="004A731F" w:rsidRPr="00E72303">
        <w:t xml:space="preserve"> </w:t>
      </w:r>
      <w:r w:rsidR="00511E4E" w:rsidRPr="00E72303">
        <w:t xml:space="preserve">The approach </w:t>
      </w:r>
      <w:r w:rsidR="00A42043" w:rsidRPr="00E72303">
        <w:t xml:space="preserve">tests two weight mechanisms to recognize that multiple matches from NHTS dataset should contribute to only one record from </w:t>
      </w:r>
      <w:proofErr w:type="spellStart"/>
      <w:r w:rsidR="00A42043" w:rsidRPr="00E72303">
        <w:t>Marit</w:t>
      </w:r>
      <w:r w:rsidR="00526833" w:rsidRPr="00E72303">
        <w:t>zCX</w:t>
      </w:r>
      <w:proofErr w:type="spellEnd"/>
      <w:r w:rsidR="00526833" w:rsidRPr="00E72303">
        <w:t xml:space="preserve"> (see</w:t>
      </w:r>
      <w:r w:rsidR="00456C68" w:rsidRPr="00E72303">
        <w:t xml:space="preserve"> </w:t>
      </w:r>
      <w:r w:rsidR="00A43DC9" w:rsidRPr="00E72303">
        <w:fldChar w:fldCharType="begin" w:fldLock="1"/>
      </w:r>
      <w:r w:rsidR="00151AD7" w:rsidRPr="00E72303">
        <w:instrText>ADDIN CSL_CITATION {"citationItems":[{"id":"ITEM-1","itemData":{"author":[{"dropping-particle":"","family":"Bhowmik","given":"Tanmoy","non-dropping-particle":"","parse-names":false,"suffix":""},{"dropping-particle":"","family":"Iraganaboina","given":"Naveen Chandra","non-dropping-particle":"","parse-names":false,"suffix":""},{"dropping-particle":"","family":"Eluru","given":"Naveen","non-dropping-particle":"","parse-names":false,"suffix":""}],"container-title":"PLoS ONE","id":"ITEM-1","issued":{"date-parts":[["2024"]]},"title":"A Novel Maximum Likelihood Based Probabilistic Behavioral Data Fusion Algorithm for Modeling Residential Energy Consumption","type":"article-journal","volume":"Under revi"},"uris":["http://www.mendeley.com/documents/?uuid=e489d871-f6ef-495b-9bc5-d8b17df6555b"]},{"id":"ITEM-2","itemData":{"DOI":"10.1016/j.trc.2024.104753","ISSN":"0968-090X","author":[{"dropping-particle":"","family":"Bhowmik","given":"Tanmoy","non-dropping-particle":"","parse-names":false,"suffix":""},{"dropping-particle":"","family":"Eluru","given":"Naveen","non-dropping-particle":"","parse-names":false,"suffix":""},{"dropping-particle":"","family":"Hasan","given":"Samiul","non-dropping-particle":"","parse-names":false,"suffix":""},{"dropping-particle":"","family":"Culotta","given":"Aron","non-dropping-particle":"","parse-names":false,"suffix":""},{"dropping-particle":"","family":"Chandra","given":"Kamol","non-dropping-particle":"","parse-names":false,"suffix":""}],"container-title":"Transportation Research Part C","id":"ITEM-2","issue":"July","issued":{"date-parts":[["2024"]]},"page":"104753","publisher":"Elsevier Ltd","title":"Predicting hurricane evacuation behavior synthesizing data from travel surveys and social media","type":"article-journal","volume":"165"},"uris":["http://www.mendeley.com/documents/?uuid=4f461fbf-49b0-45cb-81b6-f0dd715c7c3f"]}],"mendeley":{"formattedCitation":"(Bhowmik, Eluru, et al., 2024; Bhowmik, Iraganaboina, et al., 2024)","manualFormatting":"(Bhowmik et al., 2024a; Bhowmik et al., 2024b)","plainTextFormattedCitation":"(Bhowmik, Eluru, et al., 2024; Bhowmik, Iraganaboina, et al., 2024)","previouslyFormattedCitation":"(Bhowmik, Eluru, et al., 2024; Bhowmik, Iraganaboina, et al., 2024)"},"properties":{"noteIndex":0},"schema":"https://github.com/citation-style-language/schema/raw/master/csl-citation.json"}</w:instrText>
      </w:r>
      <w:r w:rsidR="00A43DC9" w:rsidRPr="00E72303">
        <w:fldChar w:fldCharType="separate"/>
      </w:r>
      <w:r w:rsidR="00A43DC9" w:rsidRPr="00E72303">
        <w:rPr>
          <w:noProof/>
        </w:rPr>
        <w:t>(Bhowmik et al., 2024</w:t>
      </w:r>
      <w:r w:rsidR="00511264" w:rsidRPr="00E72303">
        <w:rPr>
          <w:noProof/>
        </w:rPr>
        <w:t>a</w:t>
      </w:r>
      <w:r w:rsidR="00A43DC9" w:rsidRPr="00E72303">
        <w:rPr>
          <w:noProof/>
        </w:rPr>
        <w:t>; Bhowmik</w:t>
      </w:r>
      <w:r w:rsidR="00511264" w:rsidRPr="00E72303">
        <w:rPr>
          <w:noProof/>
        </w:rPr>
        <w:t xml:space="preserve"> et al</w:t>
      </w:r>
      <w:r w:rsidR="00AF148C" w:rsidRPr="00E72303">
        <w:rPr>
          <w:noProof/>
        </w:rPr>
        <w:t>.</w:t>
      </w:r>
      <w:r w:rsidR="00A43DC9" w:rsidRPr="00E72303">
        <w:rPr>
          <w:noProof/>
        </w:rPr>
        <w:t>,</w:t>
      </w:r>
      <w:r w:rsidR="00AF148C" w:rsidRPr="00E72303">
        <w:rPr>
          <w:noProof/>
        </w:rPr>
        <w:t xml:space="preserve"> 2024b</w:t>
      </w:r>
      <w:r w:rsidR="00A43DC9" w:rsidRPr="00E72303">
        <w:rPr>
          <w:noProof/>
        </w:rPr>
        <w:t>)</w:t>
      </w:r>
      <w:r w:rsidR="00A43DC9" w:rsidRPr="00E72303">
        <w:fldChar w:fldCharType="end"/>
      </w:r>
      <w:r w:rsidR="00526833" w:rsidRPr="00E72303">
        <w:t xml:space="preserve"> </w:t>
      </w:r>
      <w:r w:rsidR="00DE1974" w:rsidRPr="00E72303">
        <w:t>f</w:t>
      </w:r>
      <w:r w:rsidR="00526833" w:rsidRPr="00E72303">
        <w:t xml:space="preserve">or examples of similar methods in different contexts). </w:t>
      </w:r>
      <w:r w:rsidR="00A57814" w:rsidRPr="00E72303">
        <w:t>The data fusion process and model selection procedures are summarized in Figure 1 and 2.</w:t>
      </w:r>
    </w:p>
    <w:p w14:paraId="11FF654C" w14:textId="40A1D188" w:rsidR="00686673" w:rsidRPr="00E72303" w:rsidRDefault="00686673" w:rsidP="007B178E">
      <w:r w:rsidRPr="00E72303">
        <w:t>In summary, the current study is conducted in two parts. In the first part, a binary logit model was estimated using the 2017 NHTS data to understand the impact of different household economic and demographic characteristics on household decision to purchase a new vehicle</w:t>
      </w:r>
      <w:r w:rsidR="008E0B94" w:rsidRPr="00E72303">
        <w:rPr>
          <w:rStyle w:val="FootnoteReference"/>
        </w:rPr>
        <w:footnoteReference w:id="4"/>
      </w:r>
      <w:r w:rsidRPr="00E72303">
        <w:t xml:space="preserve">. This model allows us to identify the subsample of NHTS data that represent the households purchasing a new vehicle. In the second part, the NHTS records of this subsample were fused with the </w:t>
      </w:r>
      <w:proofErr w:type="spellStart"/>
      <w:r w:rsidRPr="00E72303">
        <w:t>MaritzCX</w:t>
      </w:r>
      <w:proofErr w:type="spellEnd"/>
      <w:r w:rsidRPr="00E72303">
        <w:t xml:space="preserve"> data employing the proposed fusion approach.     </w:t>
      </w:r>
    </w:p>
    <w:p w14:paraId="1B277592" w14:textId="0DDDDCD8" w:rsidR="00686673" w:rsidRPr="00E72303" w:rsidRDefault="00686673" w:rsidP="007B178E">
      <w:pPr>
        <w:sectPr w:rsidR="00686673" w:rsidRPr="00E72303" w:rsidSect="00A56B72">
          <w:headerReference w:type="default" r:id="rId9"/>
          <w:footerReference w:type="default" r:id="rId10"/>
          <w:type w:val="continuous"/>
          <w:pgSz w:w="12240" w:h="15840"/>
          <w:pgMar w:top="1440" w:right="1440" w:bottom="1440" w:left="1440" w:header="720" w:footer="720" w:gutter="0"/>
          <w:lnNumType w:countBy="1"/>
          <w:cols w:space="720"/>
          <w:docGrid w:linePitch="360"/>
        </w:sectPr>
      </w:pPr>
    </w:p>
    <w:p w14:paraId="64F22AB0" w14:textId="59CB43E2" w:rsidR="002D4B02" w:rsidRPr="00E72303" w:rsidRDefault="008E386A" w:rsidP="007B178E">
      <w:pPr>
        <w:pStyle w:val="Figure"/>
      </w:pPr>
      <w:r w:rsidRPr="00E72303">
        <w:lastRenderedPageBreak/>
        <w:drawing>
          <wp:inline distT="0" distB="0" distL="0" distR="0" wp14:anchorId="65F81156" wp14:editId="32E24B94">
            <wp:extent cx="8229600" cy="4124960"/>
            <wp:effectExtent l="0" t="0" r="0" b="8890"/>
            <wp:docPr id="2105992867" name="Picture 1"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92867" name="Picture 1" descr="A picture containing text, screenshot, diagram, fo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29600" cy="4124960"/>
                    </a:xfrm>
                    <a:prstGeom prst="rect">
                      <a:avLst/>
                    </a:prstGeom>
                  </pic:spPr>
                </pic:pic>
              </a:graphicData>
            </a:graphic>
          </wp:inline>
        </w:drawing>
      </w:r>
    </w:p>
    <w:p w14:paraId="4AC958CB" w14:textId="12719B82" w:rsidR="00A1605F" w:rsidRPr="00E72303" w:rsidRDefault="002D4B02" w:rsidP="007B178E">
      <w:pPr>
        <w:pStyle w:val="FigureCaption"/>
        <w:rPr>
          <w:b w:val="0"/>
          <w:bCs w:val="0"/>
        </w:rPr>
      </w:pPr>
      <w:r w:rsidRPr="00E72303">
        <w:t xml:space="preserve">Figure </w:t>
      </w:r>
      <w:r w:rsidR="00200CBF" w:rsidRPr="00E72303">
        <w:t>1</w:t>
      </w:r>
      <w:r w:rsidR="003F3062" w:rsidRPr="00E72303">
        <w:t>:</w:t>
      </w:r>
      <w:r w:rsidRPr="00E72303">
        <w:t xml:space="preserve"> </w:t>
      </w:r>
      <w:proofErr w:type="spellStart"/>
      <w:r w:rsidRPr="00E72303">
        <w:t>MaritzCX</w:t>
      </w:r>
      <w:proofErr w:type="spellEnd"/>
      <w:r w:rsidRPr="00E72303">
        <w:t xml:space="preserve"> and NHTS Data Fusion Illustration</w:t>
      </w:r>
    </w:p>
    <w:p w14:paraId="6B166173" w14:textId="77484484" w:rsidR="00A1605F" w:rsidRPr="00E72303" w:rsidRDefault="00A1605F" w:rsidP="007B178E">
      <w:pPr>
        <w:pStyle w:val="Figure"/>
        <w:rPr>
          <w:b/>
          <w:bCs/>
        </w:rPr>
      </w:pPr>
    </w:p>
    <w:p w14:paraId="64B75D4B" w14:textId="0F802E77" w:rsidR="004A15F5" w:rsidRPr="00E72303" w:rsidRDefault="001A50F7" w:rsidP="007B178E">
      <w:pPr>
        <w:pStyle w:val="Figure"/>
        <w:rPr>
          <w:b/>
          <w:bCs/>
        </w:rPr>
      </w:pPr>
      <w:r w:rsidRPr="00E72303">
        <w:rPr>
          <w:b/>
          <w:bCs/>
        </w:rPr>
        <w:lastRenderedPageBreak/>
        <w:drawing>
          <wp:inline distT="0" distB="0" distL="0" distR="0" wp14:anchorId="4383564F" wp14:editId="6AD08D01">
            <wp:extent cx="8229600" cy="4629150"/>
            <wp:effectExtent l="0" t="0" r="0" b="0"/>
            <wp:docPr id="375895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895952" name="Picture 375895952"/>
                    <pic:cNvPicPr/>
                  </pic:nvPicPr>
                  <pic:blipFill>
                    <a:blip r:embed="rId12">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2AEF88C3" w14:textId="0C1D9E1C" w:rsidR="00A1605F" w:rsidRPr="00E72303" w:rsidRDefault="00A1605F" w:rsidP="007B178E">
      <w:pPr>
        <w:pStyle w:val="FigureCaption"/>
      </w:pPr>
      <w:r w:rsidRPr="00E72303">
        <w:t>Figure 2</w:t>
      </w:r>
      <w:r w:rsidR="00F6614A" w:rsidRPr="00E72303">
        <w:t>:</w:t>
      </w:r>
      <w:r w:rsidRPr="00E72303">
        <w:t xml:space="preserve"> Flow Chart of Fusion Algorithm</w:t>
      </w:r>
    </w:p>
    <w:p w14:paraId="0981D4B2" w14:textId="378CADAD" w:rsidR="00A1605F" w:rsidRPr="00E72303" w:rsidRDefault="00A1605F" w:rsidP="007B178E">
      <w:pPr>
        <w:ind w:firstLine="576"/>
        <w:jc w:val="left"/>
        <w:rPr>
          <w:b/>
          <w:bCs/>
        </w:rPr>
        <w:sectPr w:rsidR="00A1605F" w:rsidRPr="00E72303" w:rsidSect="00A56B72">
          <w:pgSz w:w="15840" w:h="12240" w:orient="landscape"/>
          <w:pgMar w:top="1440" w:right="1440" w:bottom="1440" w:left="1440" w:header="720" w:footer="720" w:gutter="0"/>
          <w:lnNumType w:countBy="1"/>
          <w:cols w:space="720"/>
          <w:docGrid w:linePitch="360"/>
        </w:sectPr>
      </w:pPr>
    </w:p>
    <w:p w14:paraId="049C8D4C" w14:textId="7BE1C054" w:rsidR="00F70627" w:rsidRPr="00E72303" w:rsidRDefault="00F70627" w:rsidP="007B178E">
      <w:pPr>
        <w:pStyle w:val="Heading1"/>
        <w:rPr>
          <w:color w:val="auto"/>
        </w:rPr>
      </w:pPr>
      <w:r w:rsidRPr="00E72303">
        <w:rPr>
          <w:color w:val="auto"/>
        </w:rPr>
        <w:lastRenderedPageBreak/>
        <w:t>Methodology</w:t>
      </w:r>
    </w:p>
    <w:p w14:paraId="55A99D66" w14:textId="472B46B8" w:rsidR="00B31B45" w:rsidRPr="00E72303" w:rsidRDefault="000A67D1" w:rsidP="007B178E">
      <w:pPr>
        <w:pStyle w:val="1stParagraph"/>
      </w:pPr>
      <w:r w:rsidRPr="00E72303">
        <w:t xml:space="preserve">In this section, we present the methodological framework adopted in the study for analyzing </w:t>
      </w:r>
      <w:r w:rsidR="006A1622" w:rsidRPr="00E72303">
        <w:t>household</w:t>
      </w:r>
      <w:r w:rsidRPr="00E72303">
        <w:t>’s</w:t>
      </w:r>
      <w:r w:rsidR="006A1622" w:rsidRPr="00E72303">
        <w:t xml:space="preserve"> vehicle purchase decision. </w:t>
      </w:r>
      <w:r w:rsidRPr="00E72303">
        <w:t>The mode</w:t>
      </w:r>
      <w:r w:rsidR="0092102D" w:rsidRPr="00E72303">
        <w:t>l</w:t>
      </w:r>
      <w:r w:rsidRPr="00E72303">
        <w:t xml:space="preserve"> structure consist</w:t>
      </w:r>
      <w:r w:rsidR="00D92007" w:rsidRPr="00E72303">
        <w:t>s</w:t>
      </w:r>
      <w:r w:rsidRPr="00E72303">
        <w:t xml:space="preserve"> of two </w:t>
      </w:r>
      <w:r w:rsidR="000538C5" w:rsidRPr="00E72303">
        <w:t>models</w:t>
      </w:r>
      <w:r w:rsidRPr="00E72303">
        <w:t xml:space="preserve">: </w:t>
      </w:r>
      <w:r w:rsidR="00D92007" w:rsidRPr="00E72303">
        <w:t>1</w:t>
      </w:r>
      <w:r w:rsidRPr="00E72303">
        <w:t xml:space="preserve">) </w:t>
      </w:r>
      <w:r w:rsidR="001D7984" w:rsidRPr="00E72303">
        <w:t xml:space="preserve">a </w:t>
      </w:r>
      <w:r w:rsidR="00BA552D" w:rsidRPr="00E72303">
        <w:t>binary logit (</w:t>
      </w:r>
      <w:r w:rsidRPr="00E72303">
        <w:t>BL</w:t>
      </w:r>
      <w:r w:rsidR="00BA552D" w:rsidRPr="00E72303">
        <w:t>)</w:t>
      </w:r>
      <w:r w:rsidRPr="00E72303">
        <w:t xml:space="preserve"> model to identify the households buying a new car, and 2) a </w:t>
      </w:r>
      <w:r w:rsidR="00C13221" w:rsidRPr="00E72303">
        <w:t xml:space="preserve">data </w:t>
      </w:r>
      <w:r w:rsidRPr="00E72303">
        <w:t xml:space="preserve">fusion </w:t>
      </w:r>
      <w:r w:rsidR="00C13221" w:rsidRPr="00E72303">
        <w:t xml:space="preserve">driven </w:t>
      </w:r>
      <w:r w:rsidRPr="00E72303">
        <w:t xml:space="preserve">model to analyze </w:t>
      </w:r>
      <w:r w:rsidR="003E28B4" w:rsidRPr="00E72303">
        <w:t>individual’s</w:t>
      </w:r>
      <w:r w:rsidRPr="00E72303">
        <w:t xml:space="preserve"> </w:t>
      </w:r>
      <w:r w:rsidR="00511FAD" w:rsidRPr="00E72303">
        <w:t>vehicle choice by fuel types and vehicle types</w:t>
      </w:r>
      <w:r w:rsidR="003E28B4" w:rsidRPr="00E72303">
        <w:t xml:space="preserve">. </w:t>
      </w:r>
      <w:r w:rsidR="009E5EA0" w:rsidRPr="00E72303">
        <w:t>The methodologies of the proposed frameworks are described below.</w:t>
      </w:r>
    </w:p>
    <w:p w14:paraId="43063683" w14:textId="77777777" w:rsidR="007B178E" w:rsidRPr="00E72303" w:rsidRDefault="007B178E" w:rsidP="007B178E">
      <w:pPr>
        <w:pStyle w:val="1stParagraph"/>
      </w:pPr>
    </w:p>
    <w:p w14:paraId="12A3B520" w14:textId="419E2824" w:rsidR="00B92F7F" w:rsidRPr="00E72303" w:rsidRDefault="00B92F7F" w:rsidP="007B178E">
      <w:pPr>
        <w:pStyle w:val="Heading2"/>
        <w:rPr>
          <w:rFonts w:eastAsia="Times New Roman"/>
          <w:color w:val="auto"/>
        </w:rPr>
      </w:pPr>
      <w:r w:rsidRPr="00E72303">
        <w:rPr>
          <w:rFonts w:eastAsia="Times New Roman"/>
          <w:color w:val="auto"/>
        </w:rPr>
        <w:t xml:space="preserve">Binary Logit </w:t>
      </w:r>
      <w:r w:rsidR="009E5EA0" w:rsidRPr="00E72303">
        <w:rPr>
          <w:rFonts w:eastAsia="Times New Roman"/>
          <w:color w:val="auto"/>
        </w:rPr>
        <w:t>Model</w:t>
      </w:r>
    </w:p>
    <w:p w14:paraId="54983A64" w14:textId="799F9BDD" w:rsidR="00B92F7F" w:rsidRPr="00E72303" w:rsidRDefault="00A2649F" w:rsidP="007B178E">
      <w:pPr>
        <w:pStyle w:val="1stParagraph"/>
        <w:rPr>
          <w:rFonts w:cs="Times New Roman"/>
        </w:rPr>
      </w:pPr>
      <w:r w:rsidRPr="00E72303">
        <w:t xml:space="preserve">Let us assume </w:t>
      </w:r>
      <m:oMath>
        <m:r>
          <w:rPr>
            <w:rFonts w:ascii="Cambria Math" w:hAnsi="Cambria Math"/>
          </w:rPr>
          <m:t>i(i=1,2,3,…,N)</m:t>
        </m:r>
      </m:oMath>
      <w:r w:rsidRPr="00E72303">
        <w:t xml:space="preserve"> as the index for household</w:t>
      </w:r>
      <w:r w:rsidR="00A20099" w:rsidRPr="00E72303">
        <w:t xml:space="preserve"> in the NHTS data</w:t>
      </w:r>
      <w:r w:rsidR="00F870D2" w:rsidRPr="00E72303">
        <w:t>. Now for</w:t>
      </w:r>
      <w:r w:rsidR="00B92F7F" w:rsidRPr="00E72303">
        <w:rPr>
          <w:rFonts w:cs="Times New Roman"/>
        </w:rPr>
        <w:t xml:space="preserve"> the binary logit framework, the probability expression is as follows:</w:t>
      </w:r>
    </w:p>
    <w:p w14:paraId="3A4C2E5F" w14:textId="77777777" w:rsidR="007B178E" w:rsidRPr="00E72303" w:rsidRDefault="007B178E" w:rsidP="007B178E">
      <w:pPr>
        <w:pStyle w:val="1stParagraph"/>
        <w:rPr>
          <w:rFonts w:eastAsiaTheme="minorEastAsia"/>
        </w:rPr>
      </w:pPr>
    </w:p>
    <w:p w14:paraId="6F0500F7" w14:textId="1BD826FA" w:rsidR="00B92F7F" w:rsidRPr="00E72303" w:rsidRDefault="00B92F7F" w:rsidP="007B178E">
      <w:pPr>
        <w:rPr>
          <w:rFonts w:cs="Times New Roman"/>
          <w:i/>
          <w:iCs/>
        </w:rPr>
      </w:pPr>
      <m:oMathPara>
        <m:oMath>
          <m:r>
            <w:rPr>
              <w:rFonts w:ascii="Cambria Math" w:hAnsi="Cambria Math" w:cs="Times New Roman"/>
              <w:szCs w:val="24"/>
            </w:rPr>
            <m:t>Λ</m:t>
          </m:r>
          <m:d>
            <m:dPr>
              <m:begChr m:val="["/>
              <m:endChr m:val="]"/>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i</m:t>
                  </m:r>
                </m:sub>
              </m:sSub>
            </m:e>
          </m:d>
          <m:r>
            <w:rPr>
              <w:rFonts w:ascii="Cambria Math" w:hAnsi="Cambria Math" w:cs="Times New Roman"/>
              <w:szCs w:val="24"/>
            </w:rPr>
            <m:t>=</m:t>
          </m:r>
          <m:d>
            <m:dPr>
              <m:begChr m:val="{"/>
              <m:endChr m:val=""/>
              <m:ctrlPr>
                <w:rPr>
                  <w:rFonts w:ascii="Cambria Math" w:hAnsi="Cambria Math" w:cs="Times New Roman"/>
                  <w:i/>
                  <w:iCs/>
                  <w:szCs w:val="24"/>
                </w:rPr>
              </m:ctrlPr>
            </m:dPr>
            <m:e>
              <m:r>
                <w:rPr>
                  <w:rFonts w:ascii="Cambria Math" w:hAnsi="Cambria Math" w:cs="Times New Roman"/>
                  <w:szCs w:val="24"/>
                </w:rPr>
                <m:t xml:space="preserve"> </m:t>
              </m:r>
              <m:m>
                <m:mPr>
                  <m:rSpRule m:val="2"/>
                  <m:rSp m:val="3"/>
                  <m:cSp m:val="240"/>
                  <m:cGpRule m:val="2"/>
                  <m:cGp m:val="8"/>
                  <m:mcs>
                    <m:mc>
                      <m:mcPr>
                        <m:count m:val="2"/>
                        <m:mcJc m:val="left"/>
                      </m:mcPr>
                    </m:mc>
                  </m:mcs>
                  <m:ctrlPr>
                    <w:rPr>
                      <w:rFonts w:ascii="Cambria Math" w:hAnsi="Cambria Math" w:cs="Times New Roman"/>
                      <w:i/>
                      <w:iCs/>
                      <w:szCs w:val="24"/>
                    </w:rPr>
                  </m:ctrlPr>
                </m:mPr>
                <m:mr>
                  <m:e>
                    <m:sSub>
                      <m:sSubPr>
                        <m:ctrlPr>
                          <w:rPr>
                            <w:rFonts w:ascii="Cambria Math" w:hAnsi="Cambria Math" w:cs="Times New Roman"/>
                            <w:i/>
                            <w:iCs/>
                            <w:szCs w:val="24"/>
                          </w:rPr>
                        </m:ctrlPr>
                      </m:sSubPr>
                      <m:e>
                        <m:r>
                          <w:rPr>
                            <w:rFonts w:ascii="Cambria Math" w:hAnsi="Cambria Math" w:cs="Times New Roman"/>
                            <w:szCs w:val="24"/>
                          </w:rPr>
                          <m:t>π</m:t>
                        </m:r>
                      </m:e>
                      <m:sub>
                        <m:r>
                          <w:rPr>
                            <w:rFonts w:ascii="Cambria Math" w:hAnsi="Cambria Math" w:cs="Times New Roman"/>
                            <w:szCs w:val="24"/>
                          </w:rPr>
                          <m:t xml:space="preserve">i </m:t>
                        </m:r>
                      </m:sub>
                    </m:sSub>
                  </m:e>
                  <m:e>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=1</m:t>
                    </m:r>
                  </m:e>
                </m:mr>
                <m:mr>
                  <m:e>
                    <m:r>
                      <w:rPr>
                        <w:rFonts w:ascii="Cambria Math" w:hAnsi="Cambria Math" w:cs="Times New Roman"/>
                        <w:szCs w:val="24"/>
                      </w:rPr>
                      <m:t>1-</m:t>
                    </m:r>
                    <m:sSub>
                      <m:sSubPr>
                        <m:ctrlPr>
                          <w:rPr>
                            <w:rFonts w:ascii="Cambria Math" w:hAnsi="Cambria Math" w:cs="Times New Roman"/>
                            <w:i/>
                            <w:iCs/>
                            <w:szCs w:val="24"/>
                          </w:rPr>
                        </m:ctrlPr>
                      </m:sSubPr>
                      <m:e>
                        <m:r>
                          <w:rPr>
                            <w:rFonts w:ascii="Cambria Math" w:hAnsi="Cambria Math" w:cs="Times New Roman"/>
                            <w:szCs w:val="24"/>
                          </w:rPr>
                          <m:t>π</m:t>
                        </m:r>
                      </m:e>
                      <m:sub>
                        <m:r>
                          <w:rPr>
                            <w:rFonts w:ascii="Cambria Math" w:hAnsi="Cambria Math" w:cs="Times New Roman"/>
                            <w:szCs w:val="24"/>
                          </w:rPr>
                          <m:t xml:space="preserve">i </m:t>
                        </m:r>
                      </m:sub>
                    </m:sSub>
                  </m:e>
                  <m:e>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=0</m:t>
                    </m:r>
                  </m:e>
                </m:mr>
              </m:m>
            </m:e>
          </m:d>
          <m:r>
            <w:rPr>
              <w:rFonts w:ascii="Cambria Math" w:hAnsi="Cambria Math" w:cs="Times New Roman"/>
              <w:szCs w:val="24"/>
            </w:rPr>
            <m:t>………………………………………………………………………..(1)</m:t>
          </m:r>
        </m:oMath>
      </m:oMathPara>
    </w:p>
    <w:p w14:paraId="7C4E0C55" w14:textId="77777777" w:rsidR="007B178E" w:rsidRPr="00E72303" w:rsidRDefault="007B178E" w:rsidP="007B178E">
      <w:pPr>
        <w:pStyle w:val="1stParagraph"/>
      </w:pPr>
    </w:p>
    <w:p w14:paraId="2E03007D" w14:textId="4349ABBB" w:rsidR="00B92F7F" w:rsidRPr="00E72303" w:rsidRDefault="00B92F7F" w:rsidP="007B178E">
      <w:pPr>
        <w:pStyle w:val="1stParagraph"/>
        <w:rPr>
          <w:rFonts w:eastAsia="Times New Roman"/>
        </w:rPr>
      </w:pPr>
      <w:r w:rsidRPr="00E72303">
        <w:t xml:space="preserve">where </w:t>
      </w:r>
      <m:oMath>
        <m:r>
          <w:rPr>
            <w:rFonts w:ascii="Cambria Math" w:hAnsi="Cambria Math"/>
          </w:rPr>
          <m:t>Λ</m:t>
        </m:r>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y</m:t>
                </m:r>
              </m:e>
              <m:sub>
                <m:r>
                  <w:rPr>
                    <w:rFonts w:ascii="Cambria Math" w:hAnsi="Cambria Math"/>
                  </w:rPr>
                  <m:t>ij</m:t>
                </m:r>
              </m:sub>
            </m:sSub>
          </m:e>
        </m:d>
      </m:oMath>
      <w:r w:rsidRPr="00E72303">
        <w:t xml:space="preserve"> represents the probability that </w:t>
      </w:r>
      <w:r w:rsidR="00F870D2" w:rsidRPr="00E72303">
        <w:t>household</w:t>
      </w:r>
      <w:r w:rsidRPr="00E72303">
        <w:t xml:space="preserve"> </w:t>
      </w:r>
      <m:oMath>
        <m:r>
          <w:rPr>
            <w:rFonts w:ascii="Cambria Math" w:eastAsia="Times New Roman" w:hAnsi="Cambria Math"/>
          </w:rPr>
          <m:t>i</m:t>
        </m:r>
      </m:oMath>
      <w:r w:rsidRPr="00E72303">
        <w:t xml:space="preserve"> will </w:t>
      </w:r>
      <w:r w:rsidR="00F870D2" w:rsidRPr="00E72303">
        <w:t>buy a new car</w:t>
      </w:r>
      <w:r w:rsidRPr="00E72303">
        <w:t xml:space="preserve"> or not (yes/no) and it will be determined based on </w:t>
      </w:r>
      <m:oMath>
        <m:sSub>
          <m:sSubPr>
            <m:ctrlPr>
              <w:rPr>
                <w:rFonts w:ascii="Cambria Math" w:hAnsi="Cambria Math"/>
              </w:rPr>
            </m:ctrlPr>
          </m:sSubPr>
          <m:e>
            <m:r>
              <w:rPr>
                <w:rFonts w:ascii="Cambria Math" w:hAnsi="Cambria Math"/>
              </w:rPr>
              <m:t>π</m:t>
            </m:r>
          </m:e>
          <m:sub>
            <m:r>
              <w:rPr>
                <w:rFonts w:ascii="Cambria Math" w:hAnsi="Cambria Math"/>
              </w:rPr>
              <m:t>i</m:t>
            </m:r>
            <m:r>
              <m:rPr>
                <m:sty m:val="p"/>
              </m:rPr>
              <w:rPr>
                <w:rFonts w:ascii="Cambria Math" w:hAnsi="Cambria Math"/>
              </w:rPr>
              <m:t xml:space="preserve"> </m:t>
            </m:r>
          </m:sub>
        </m:sSub>
      </m:oMath>
      <w:r w:rsidRPr="00E72303">
        <w:t>.</w:t>
      </w:r>
      <w:r w:rsidR="00F870D2" w:rsidRPr="00E72303">
        <w:t>Here</w:t>
      </w:r>
      <w:r w:rsidRPr="00E72303">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=1</m:t>
        </m:r>
      </m:oMath>
      <w:r w:rsidR="00F870D2" w:rsidRPr="00E72303">
        <w:t>, if household</w:t>
      </w:r>
      <w:r w:rsidR="002A7C36" w:rsidRPr="00E72303">
        <w:t xml:space="preserve"> </w:t>
      </w:r>
      <m:oMath>
        <m:r>
          <w:rPr>
            <w:rFonts w:ascii="Cambria Math" w:hAnsi="Cambria Math"/>
          </w:rPr>
          <m:t>i</m:t>
        </m:r>
      </m:oMath>
      <w:r w:rsidR="00F870D2" w:rsidRPr="00E72303">
        <w:t xml:space="preserve"> buy</w:t>
      </w:r>
      <w:r w:rsidR="00991D8F" w:rsidRPr="00E72303">
        <w:t>s</w:t>
      </w:r>
      <w:r w:rsidR="00F870D2" w:rsidRPr="00E72303">
        <w:t xml:space="preserve"> a new car, and </w:t>
      </w:r>
      <m:oMath>
        <m:r>
          <w:rPr>
            <w:rFonts w:ascii="Cambria Math" w:hAnsi="Cambria Math"/>
          </w:rPr>
          <m:t>0</m:t>
        </m:r>
      </m:oMath>
      <w:r w:rsidR="002A7C36" w:rsidRPr="00E72303">
        <w:t>, otherwise.</w:t>
      </w:r>
      <w:r w:rsidRPr="00E72303">
        <w:rPr>
          <w:iCs/>
        </w:rPr>
        <w:t xml:space="preserve"> </w:t>
      </w:r>
      <w:r w:rsidRPr="00E72303">
        <w:rPr>
          <w:rFonts w:eastAsia="Times New Roman"/>
        </w:rPr>
        <w:t xml:space="preserve">With this notation, the equation for </w:t>
      </w:r>
      <m:oMath>
        <m:sSub>
          <m:sSubPr>
            <m:ctrlPr>
              <w:rPr>
                <w:rFonts w:ascii="Cambria Math" w:hAnsi="Cambria Math"/>
              </w:rPr>
            </m:ctrlPr>
          </m:sSubPr>
          <m:e>
            <m:r>
              <w:rPr>
                <w:rFonts w:ascii="Cambria Math" w:hAnsi="Cambria Math"/>
              </w:rPr>
              <m:t>π</m:t>
            </m:r>
          </m:e>
          <m:sub>
            <m:r>
              <w:rPr>
                <w:rFonts w:ascii="Cambria Math" w:hAnsi="Cambria Math"/>
              </w:rPr>
              <m:t>i</m:t>
            </m:r>
            <m:r>
              <m:rPr>
                <m:sty m:val="p"/>
              </m:rPr>
              <w:rPr>
                <w:rFonts w:ascii="Cambria Math" w:hAnsi="Cambria Math"/>
              </w:rPr>
              <m:t xml:space="preserve"> </m:t>
            </m:r>
          </m:sub>
        </m:sSub>
      </m:oMath>
      <w:r w:rsidRPr="00E72303">
        <w:rPr>
          <w:rFonts w:eastAsia="Times New Roman"/>
        </w:rPr>
        <w:t xml:space="preserve"> is as follows:</w:t>
      </w:r>
    </w:p>
    <w:p w14:paraId="4E5249E4" w14:textId="77777777" w:rsidR="007B178E" w:rsidRPr="00E72303" w:rsidRDefault="007B178E" w:rsidP="007B178E">
      <w:pPr>
        <w:pStyle w:val="1stParagraph"/>
      </w:pPr>
    </w:p>
    <w:p w14:paraId="44367F85" w14:textId="661E5015" w:rsidR="00B92F7F" w:rsidRPr="00E72303" w:rsidRDefault="00BF302F" w:rsidP="007B178E">
      <w:pPr>
        <w:pStyle w:val="Equation"/>
        <w:spacing w:after="0" w:line="240" w:lineRule="auto"/>
        <w:ind w:left="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γ</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m:t>
                      </m:r>
                    </m:sub>
                  </m:sSub>
                </m:e>
              </m:d>
            </m:num>
            <m:den>
              <m:r>
                <w:rPr>
                  <w:rFonts w:ascii="Cambria Math" w:hAnsi="Cambria Math" w:cs="Times New Roman"/>
                  <w:sz w:val="24"/>
                  <w:szCs w:val="24"/>
                </w:rPr>
                <m:t>1+</m:t>
              </m:r>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γ</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i</m:t>
                      </m:r>
                    </m:sub>
                  </m:sSub>
                </m:e>
              </m:d>
            </m:den>
          </m:f>
          <m:r>
            <w:rPr>
              <w:rFonts w:ascii="Cambria Math" w:hAnsi="Cambria Math" w:cs="Times New Roman"/>
              <w:sz w:val="24"/>
              <w:szCs w:val="24"/>
            </w:rPr>
            <m:t>………………………………………………………………….………...…….(2)</m:t>
          </m:r>
        </m:oMath>
      </m:oMathPara>
    </w:p>
    <w:p w14:paraId="78205074" w14:textId="77777777" w:rsidR="007B178E" w:rsidRPr="00E72303" w:rsidRDefault="007B178E" w:rsidP="007B178E">
      <w:pPr>
        <w:pStyle w:val="1stParagraph"/>
      </w:pPr>
    </w:p>
    <w:p w14:paraId="1AA229F3" w14:textId="600D4516" w:rsidR="00B31B45" w:rsidRPr="00E72303" w:rsidRDefault="004C060E" w:rsidP="007B178E">
      <w:pPr>
        <w:pStyle w:val="1stParagraph"/>
        <w:rPr>
          <w:rFonts w:eastAsiaTheme="minorEastAsia"/>
        </w:rPr>
      </w:pPr>
      <w:r w:rsidRPr="00E72303">
        <w:t>w</w:t>
      </w:r>
      <w:r w:rsidR="00B92F7F" w:rsidRPr="00E72303">
        <w:t xml:space="preserve">here, </w:t>
      </w:r>
      <m:oMath>
        <m:sSub>
          <m:sSubPr>
            <m:ctrlPr>
              <w:rPr>
                <w:rFonts w:ascii="Cambria Math" w:hAnsi="Cambria Math"/>
              </w:rPr>
            </m:ctrlPr>
          </m:sSubPr>
          <m:e>
            <m:r>
              <w:rPr>
                <w:rFonts w:ascii="Cambria Math" w:hAnsi="Cambria Math"/>
              </w:rPr>
              <m:t>η</m:t>
            </m:r>
          </m:e>
          <m:sub>
            <m:r>
              <w:rPr>
                <w:rFonts w:ascii="Cambria Math" w:hAnsi="Cambria Math"/>
              </w:rPr>
              <m:t>i</m:t>
            </m:r>
          </m:sub>
        </m:sSub>
      </m:oMath>
      <w:r w:rsidR="00B92F7F" w:rsidRPr="00E72303">
        <w:t xml:space="preserve"> is a vector of attributes (including the constant) and </w:t>
      </w:r>
      <m:oMath>
        <m:r>
          <w:rPr>
            <w:rFonts w:ascii="Cambria Math" w:hAnsi="Cambria Math"/>
          </w:rPr>
          <m:t>γ</m:t>
        </m:r>
      </m:oMath>
      <w:r w:rsidR="00B92F7F" w:rsidRPr="00E72303">
        <w:t xml:space="preserve"> is a conformable parameter vector</w:t>
      </w:r>
      <w:r w:rsidR="00BB1D3A" w:rsidRPr="00E72303">
        <w:t xml:space="preserve"> of the binary logit</w:t>
      </w:r>
      <w:r w:rsidR="002166B5" w:rsidRPr="00E72303">
        <w:t xml:space="preserve"> model</w:t>
      </w:r>
      <w:r w:rsidR="00B92F7F" w:rsidRPr="00E72303">
        <w:t xml:space="preserve"> to be estimated.</w:t>
      </w:r>
      <w:r w:rsidR="0065213E" w:rsidRPr="00E72303">
        <w:t xml:space="preserve"> This </w:t>
      </w:r>
      <m:oMath>
        <m:sSub>
          <m:sSubPr>
            <m:ctrlPr>
              <w:rPr>
                <w:rFonts w:ascii="Cambria Math" w:hAnsi="Cambria Math"/>
                <w:i/>
              </w:rPr>
            </m:ctrlPr>
          </m:sSubPr>
          <m:e>
            <m:r>
              <w:rPr>
                <w:rFonts w:ascii="Cambria Math" w:hAnsi="Cambria Math"/>
              </w:rPr>
              <m:t>π</m:t>
            </m:r>
          </m:e>
          <m:sub>
            <m:r>
              <w:rPr>
                <w:rFonts w:ascii="Cambria Math" w:hAnsi="Cambria Math"/>
              </w:rPr>
              <m:t>i</m:t>
            </m:r>
          </m:sub>
        </m:sSub>
      </m:oMath>
      <w:r w:rsidR="0065213E" w:rsidRPr="00E72303">
        <w:rPr>
          <w:rFonts w:eastAsiaTheme="minorEastAsia"/>
        </w:rPr>
        <w:t xml:space="preserve"> will help us determining the household that will be fused with </w:t>
      </w:r>
      <w:proofErr w:type="spellStart"/>
      <w:r w:rsidR="001B0ACA" w:rsidRPr="00E72303">
        <w:rPr>
          <w:rFonts w:eastAsiaTheme="minorEastAsia"/>
        </w:rPr>
        <w:t>MaritzCX</w:t>
      </w:r>
      <w:proofErr w:type="spellEnd"/>
      <w:r w:rsidR="0065213E" w:rsidRPr="00E72303">
        <w:rPr>
          <w:rFonts w:eastAsiaTheme="minorEastAsia"/>
        </w:rPr>
        <w:t xml:space="preserve"> data. </w:t>
      </w:r>
    </w:p>
    <w:p w14:paraId="1946D7C1" w14:textId="77777777" w:rsidR="007B178E" w:rsidRPr="00E72303" w:rsidRDefault="007B178E" w:rsidP="007B178E">
      <w:pPr>
        <w:pStyle w:val="1stParagraph"/>
        <w:rPr>
          <w:rFonts w:eastAsiaTheme="minorEastAsia"/>
        </w:rPr>
      </w:pPr>
    </w:p>
    <w:p w14:paraId="76FC0C89" w14:textId="2447D472" w:rsidR="00163474" w:rsidRPr="00E72303" w:rsidRDefault="003E28B4" w:rsidP="007B178E">
      <w:pPr>
        <w:pStyle w:val="Heading2"/>
        <w:rPr>
          <w:color w:val="auto"/>
        </w:rPr>
      </w:pPr>
      <w:r w:rsidRPr="00E72303">
        <w:rPr>
          <w:color w:val="auto"/>
        </w:rPr>
        <w:t>Fusion</w:t>
      </w:r>
      <w:r w:rsidR="00163474" w:rsidRPr="00E72303">
        <w:rPr>
          <w:color w:val="auto"/>
        </w:rPr>
        <w:t xml:space="preserve"> </w:t>
      </w:r>
      <w:r w:rsidR="009E5EA0" w:rsidRPr="00E72303">
        <w:rPr>
          <w:color w:val="auto"/>
        </w:rPr>
        <w:t>Model</w:t>
      </w:r>
    </w:p>
    <w:p w14:paraId="5D2E8DEB" w14:textId="65D2C60D" w:rsidR="00511FAD" w:rsidRPr="00E72303" w:rsidRDefault="003E28B4" w:rsidP="007B178E">
      <w:pPr>
        <w:pStyle w:val="1stParagraph"/>
      </w:pPr>
      <w:r w:rsidRPr="00E72303">
        <w:t xml:space="preserve">The fusion model structure has a decision component and a weight component. </w:t>
      </w:r>
      <w:r w:rsidR="00D17A72" w:rsidRPr="00E72303">
        <w:t xml:space="preserve">In the decision model component, a multinomial logit formulation for the vehicle purchase variable is considered as we have eight alternatives in the choice dimension. </w:t>
      </w:r>
      <w:r w:rsidR="00D17A72" w:rsidRPr="00E72303">
        <w:rPr>
          <w:rFonts w:eastAsia="Times New Roman" w:cstheme="majorBidi"/>
        </w:rPr>
        <w:t>Let’s</w:t>
      </w:r>
      <w:r w:rsidR="00163474" w:rsidRPr="00E72303">
        <w:rPr>
          <w:rFonts w:eastAsia="Times New Roman" w:cstheme="majorBidi"/>
        </w:rPr>
        <w:t xml:space="preserve">, assume </w:t>
      </w:r>
      <m:oMath>
        <m:r>
          <w:rPr>
            <w:rFonts w:ascii="Cambria Math" w:eastAsia="Times New Roman" w:hAnsi="Cambria Math" w:cstheme="majorBidi"/>
          </w:rPr>
          <m:t>j</m:t>
        </m:r>
      </m:oMath>
      <w:r w:rsidR="00B33EC4" w:rsidRPr="00E72303">
        <w:rPr>
          <w:rFonts w:eastAsia="Times New Roman" w:cstheme="majorBidi"/>
        </w:rPr>
        <w:t xml:space="preserve"> and </w:t>
      </w:r>
      <m:oMath>
        <m:r>
          <w:rPr>
            <w:rFonts w:ascii="Cambria Math" w:eastAsia="Times New Roman" w:hAnsi="Cambria Math" w:cstheme="majorBidi"/>
          </w:rPr>
          <m:t>k</m:t>
        </m:r>
      </m:oMath>
      <w:r w:rsidR="00B33EC4" w:rsidRPr="00E72303">
        <w:rPr>
          <w:rFonts w:eastAsia="Times New Roman" w:cstheme="majorBidi"/>
        </w:rPr>
        <w:t xml:space="preserve"> are two </w:t>
      </w:r>
      <w:r w:rsidR="00F870D2" w:rsidRPr="00E72303">
        <w:t xml:space="preserve">index representing </w:t>
      </w:r>
      <w:r w:rsidR="00B33EC4" w:rsidRPr="00E72303">
        <w:t xml:space="preserve">fuel </w:t>
      </w:r>
      <w:r w:rsidR="00F870D2" w:rsidRPr="00E72303">
        <w:t>type</w:t>
      </w:r>
      <w:r w:rsidR="00B33EC4" w:rsidRPr="00E72303">
        <w:t xml:space="preserve"> and vehicle type respectively</w:t>
      </w:r>
      <w:r w:rsidR="00F870D2" w:rsidRPr="00E72303">
        <w:t xml:space="preserve">. In our study, the values of the </w:t>
      </w:r>
      <m:oMath>
        <m:r>
          <w:rPr>
            <w:rFonts w:ascii="Cambria Math" w:hAnsi="Cambria Math"/>
          </w:rPr>
          <m:t>j</m:t>
        </m:r>
      </m:oMath>
      <w:r w:rsidR="00F870D2" w:rsidRPr="00E72303">
        <w:t xml:space="preserve"> were assigned as follows: </w:t>
      </w:r>
      <w:r w:rsidR="00B33EC4" w:rsidRPr="00E72303">
        <w:t>gasoline</w:t>
      </w:r>
      <w:r w:rsidR="00F870D2" w:rsidRPr="00E72303">
        <w:t xml:space="preserve"> </w:t>
      </w:r>
      <m:oMath>
        <m:r>
          <w:rPr>
            <w:rFonts w:ascii="Cambria Math" w:hAnsi="Cambria Math"/>
          </w:rPr>
          <m:t>(j=1)</m:t>
        </m:r>
      </m:oMath>
      <w:r w:rsidR="00F870D2" w:rsidRPr="00E72303">
        <w:t>,</w:t>
      </w:r>
      <w:r w:rsidR="00B33EC4" w:rsidRPr="00E72303">
        <w:t xml:space="preserve"> non-gasoline</w:t>
      </w:r>
      <w:r w:rsidR="00F870D2" w:rsidRPr="00E72303">
        <w:t xml:space="preserve"> </w:t>
      </w:r>
      <m:oMath>
        <m:r>
          <w:rPr>
            <w:rFonts w:ascii="Cambria Math" w:hAnsi="Cambria Math"/>
          </w:rPr>
          <m:t>(j=2)</m:t>
        </m:r>
      </m:oMath>
      <w:r w:rsidR="00B33EC4" w:rsidRPr="00E72303">
        <w:rPr>
          <w:rFonts w:eastAsiaTheme="minorEastAsia"/>
        </w:rPr>
        <w:t xml:space="preserve">; and the values of the </w:t>
      </w:r>
      <m:oMath>
        <m:r>
          <w:rPr>
            <w:rFonts w:ascii="Cambria Math" w:eastAsiaTheme="minorEastAsia" w:hAnsi="Cambria Math"/>
          </w:rPr>
          <m:t>k</m:t>
        </m:r>
      </m:oMath>
      <w:r w:rsidR="00B33EC4" w:rsidRPr="00E72303">
        <w:rPr>
          <w:rFonts w:eastAsiaTheme="minorEastAsia"/>
        </w:rPr>
        <w:t xml:space="preserve"> were assigned as follows: utility vehicle </w:t>
      </w:r>
      <m:oMath>
        <m:r>
          <w:rPr>
            <w:rFonts w:ascii="Cambria Math" w:eastAsiaTheme="minorEastAsia" w:hAnsi="Cambria Math"/>
          </w:rPr>
          <m:t>(k=1)</m:t>
        </m:r>
      </m:oMath>
      <w:r w:rsidR="00B33EC4" w:rsidRPr="00E72303">
        <w:rPr>
          <w:rFonts w:eastAsiaTheme="minorEastAsia"/>
        </w:rPr>
        <w:t xml:space="preserve">, </w:t>
      </w:r>
      <w:r w:rsidR="00136A8A" w:rsidRPr="00E72303">
        <w:rPr>
          <w:rFonts w:eastAsiaTheme="minorEastAsia"/>
        </w:rPr>
        <w:t xml:space="preserve">sport sedan </w:t>
      </w:r>
      <m:oMath>
        <m:r>
          <w:rPr>
            <w:rFonts w:ascii="Cambria Math" w:eastAsiaTheme="minorEastAsia" w:hAnsi="Cambria Math"/>
          </w:rPr>
          <m:t>( k=2)</m:t>
        </m:r>
      </m:oMath>
      <w:r w:rsidR="00136A8A" w:rsidRPr="00E72303">
        <w:rPr>
          <w:rFonts w:eastAsiaTheme="minorEastAsia"/>
        </w:rPr>
        <w:t xml:space="preserve">, sedan </w:t>
      </w:r>
      <m:oMath>
        <m:r>
          <w:rPr>
            <w:rFonts w:ascii="Cambria Math" w:eastAsiaTheme="minorEastAsia" w:hAnsi="Cambria Math"/>
          </w:rPr>
          <m:t>(k=3)</m:t>
        </m:r>
      </m:oMath>
      <w:r w:rsidR="00136A8A" w:rsidRPr="00E72303">
        <w:rPr>
          <w:rFonts w:eastAsiaTheme="minorEastAsia"/>
        </w:rPr>
        <w:t xml:space="preserve">, and pickup trucks </w:t>
      </w:r>
      <m:oMath>
        <m:r>
          <w:rPr>
            <w:rFonts w:ascii="Cambria Math" w:eastAsiaTheme="minorEastAsia" w:hAnsi="Cambria Math"/>
          </w:rPr>
          <m:t>(k=4)</m:t>
        </m:r>
      </m:oMath>
      <w:r w:rsidR="00136A8A" w:rsidRPr="00E72303">
        <w:rPr>
          <w:rFonts w:eastAsiaTheme="minorEastAsia"/>
        </w:rPr>
        <w:t>.</w:t>
      </w:r>
      <w:r w:rsidR="004777AF" w:rsidRPr="00E72303">
        <w:rPr>
          <w:rFonts w:eastAsiaTheme="minorEastAsia"/>
        </w:rPr>
        <w:t xml:space="preserve"> There are</w:t>
      </w:r>
      <w:r w:rsidR="00FA343C" w:rsidRPr="00E72303">
        <w:rPr>
          <w:rFonts w:eastAsiaTheme="minorEastAsia"/>
        </w:rPr>
        <w:t xml:space="preserve"> </w:t>
      </w:r>
      <m:oMath>
        <m:r>
          <w:rPr>
            <w:rFonts w:ascii="Cambria Math" w:eastAsiaTheme="minorEastAsia" w:hAnsi="Cambria Math"/>
          </w:rPr>
          <m:t>n (=1,2,3,…N</m:t>
        </m:r>
      </m:oMath>
      <w:r w:rsidR="00FA343C" w:rsidRPr="00E72303">
        <w:rPr>
          <w:rFonts w:eastAsiaTheme="minorEastAsia"/>
        </w:rPr>
        <w:t xml:space="preserve">) </w:t>
      </w:r>
      <w:r w:rsidR="004777AF" w:rsidRPr="00E72303">
        <w:rPr>
          <w:rFonts w:eastAsiaTheme="minorEastAsia"/>
        </w:rPr>
        <w:t xml:space="preserve">individuals in the </w:t>
      </w:r>
      <w:proofErr w:type="spellStart"/>
      <w:r w:rsidR="00FA343C" w:rsidRPr="00E72303">
        <w:rPr>
          <w:rFonts w:eastAsiaTheme="minorEastAsia"/>
        </w:rPr>
        <w:t>MaritzCX</w:t>
      </w:r>
      <w:proofErr w:type="spellEnd"/>
      <w:r w:rsidR="004777AF" w:rsidRPr="00E72303">
        <w:rPr>
          <w:rFonts w:eastAsiaTheme="minorEastAsia"/>
        </w:rPr>
        <w:t xml:space="preserve"> data and m possible matches from the NHTS dataset. With this notation</w:t>
      </w:r>
      <w:r w:rsidR="00163474" w:rsidRPr="00E72303">
        <w:t xml:space="preserve">, </w:t>
      </w:r>
      <w:r w:rsidR="00511FAD" w:rsidRPr="00E72303">
        <w:t>the vehicle purchase propensity takes the following form:</w:t>
      </w:r>
    </w:p>
    <w:p w14:paraId="755086AF" w14:textId="77777777" w:rsidR="007B178E" w:rsidRPr="00E72303" w:rsidRDefault="007B178E" w:rsidP="007B178E">
      <w:pPr>
        <w:pStyle w:val="1stParagraph"/>
      </w:pPr>
    </w:p>
    <w:p w14:paraId="6A023D3B" w14:textId="6592ED45" w:rsidR="00F41614" w:rsidRPr="00E72303" w:rsidRDefault="00BF302F" w:rsidP="007B178E">
      <w:pPr>
        <w:ind w:firstLine="0"/>
        <w:rPr>
          <w:rFonts w:eastAsiaTheme="minorEastAsia"/>
        </w:rPr>
      </w:pPr>
      <m:oMath>
        <m:sSubSup>
          <m:sSubSupPr>
            <m:ctrlPr>
              <w:rPr>
                <w:rFonts w:ascii="Cambria Math" w:hAnsi="Cambria Math" w:cs="Times New Roman"/>
                <w:i/>
                <w:szCs w:val="24"/>
              </w:rPr>
            </m:ctrlPr>
          </m:sSubSupPr>
          <m:e>
            <m:r>
              <w:rPr>
                <w:rFonts w:ascii="Cambria Math" w:hAnsi="Cambria Math" w:cs="Times New Roman"/>
                <w:szCs w:val="24"/>
              </w:rPr>
              <m:t>v</m:t>
            </m:r>
          </m:e>
          <m:sub>
            <m:r>
              <w:rPr>
                <w:rFonts w:ascii="Cambria Math" w:hAnsi="Cambria Math" w:cs="Times New Roman"/>
                <w:szCs w:val="24"/>
              </w:rPr>
              <m:t>nm</m:t>
            </m:r>
            <m:r>
              <w:rPr>
                <w:rFonts w:ascii="Cambria Math" w:hAnsi="Cambria Math" w:cs="Times New Roman"/>
                <w:szCs w:val="24"/>
              </w:rPr>
              <m:t xml:space="preserve">, </m:t>
            </m:r>
            <m:r>
              <w:rPr>
                <w:rFonts w:ascii="Cambria Math" w:hAnsi="Cambria Math" w:cs="Times New Roman"/>
                <w:szCs w:val="24"/>
              </w:rPr>
              <m:t>jk</m:t>
            </m:r>
          </m:sub>
          <m:sup>
            <m:r>
              <w:rPr>
                <w:rFonts w:ascii="Cambria Math" w:hAnsi="Cambria Math" w:cs="Times New Roman"/>
                <w:szCs w:val="24"/>
              </w:rPr>
              <m:t>*</m:t>
            </m:r>
          </m:sup>
        </m:sSubSup>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αX</m:t>
            </m:r>
          </m:e>
          <m:sub>
            <m:r>
              <w:rPr>
                <w:rFonts w:ascii="Cambria Math" w:hAnsi="Cambria Math" w:cs="Times New Roman"/>
                <w:szCs w:val="24"/>
              </w:rPr>
              <m:t>n</m:t>
            </m:r>
            <m:r>
              <w:rPr>
                <w:rFonts w:ascii="Cambria Math" w:hAnsi="Cambria Math" w:cs="Times New Roman"/>
                <w:szCs w:val="24"/>
              </w:rPr>
              <m:t xml:space="preserve">,  </m:t>
            </m:r>
            <m:r>
              <w:rPr>
                <w:rFonts w:ascii="Cambria Math" w:hAnsi="Cambria Math" w:cs="Times New Roman"/>
                <w:szCs w:val="24"/>
              </w:rPr>
              <m:t>jk</m:t>
            </m:r>
          </m:sub>
        </m:sSub>
        <m:r>
          <w:rPr>
            <w:rFonts w:ascii="Cambria Math" w:hAnsi="Cambria Math" w:cs="Times New Roman"/>
            <w:szCs w:val="24"/>
          </w:rPr>
          <m:t xml:space="preserve">+ </m:t>
        </m:r>
        <m:sSub>
          <m:sSubPr>
            <m:ctrlPr>
              <w:rPr>
                <w:rFonts w:ascii="Cambria Math" w:hAnsi="Cambria Math" w:cs="Times New Roman"/>
                <w:i/>
                <w:szCs w:val="24"/>
              </w:rPr>
            </m:ctrlPr>
          </m:sSubPr>
          <m:e>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m:t>
                </m:r>
              </m:sup>
            </m:sSup>
            <m:r>
              <w:rPr>
                <w:rFonts w:ascii="Cambria Math" w:hAnsi="Cambria Math" w:cs="Times New Roman"/>
                <w:szCs w:val="24"/>
              </w:rPr>
              <m:t>S</m:t>
            </m:r>
          </m:e>
          <m:sub>
            <m:r>
              <w:rPr>
                <w:rFonts w:ascii="Cambria Math" w:hAnsi="Cambria Math" w:cs="Times New Roman"/>
                <w:szCs w:val="24"/>
              </w:rPr>
              <m:t>nm</m:t>
            </m:r>
            <m:r>
              <w:rPr>
                <w:rFonts w:ascii="Cambria Math" w:hAnsi="Cambria Math" w:cs="Times New Roman"/>
                <w:szCs w:val="24"/>
              </w:rPr>
              <m:t xml:space="preserve">, </m:t>
            </m:r>
            <m:r>
              <w:rPr>
                <w:rFonts w:ascii="Cambria Math" w:hAnsi="Cambria Math" w:cs="Times New Roman"/>
                <w:szCs w:val="24"/>
              </w:rPr>
              <m:t>jk</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 xml:space="preserve"> </m:t>
            </m:r>
            <m:r>
              <w:rPr>
                <w:rFonts w:ascii="Cambria Math" w:hAnsi="Cambria Math" w:cs="Times New Roman"/>
                <w:szCs w:val="24"/>
              </w:rPr>
              <m:t>nm</m:t>
            </m:r>
            <m:r>
              <w:rPr>
                <w:rFonts w:ascii="Cambria Math" w:hAnsi="Cambria Math" w:cs="Times New Roman"/>
                <w:szCs w:val="24"/>
              </w:rPr>
              <m:t>,</m:t>
            </m:r>
            <m:r>
              <w:rPr>
                <w:rFonts w:ascii="Cambria Math" w:hAnsi="Cambria Math" w:cs="Times New Roman"/>
                <w:szCs w:val="24"/>
              </w:rPr>
              <m:t>jk</m:t>
            </m:r>
          </m:sub>
        </m:sSub>
        <m:r>
          <w:rPr>
            <w:rFonts w:ascii="Cambria Math" w:hAnsi="Cambria Math" w:cs="Times New Roman"/>
            <w:szCs w:val="28"/>
          </w:rPr>
          <m:t xml:space="preserve">, </m:t>
        </m:r>
        <m:sSub>
          <m:sSubPr>
            <m:ctrlPr>
              <w:rPr>
                <w:rFonts w:ascii="Cambria Math" w:hAnsi="Cambria Math" w:cs="Times New Roman"/>
                <w:i/>
                <w:szCs w:val="28"/>
              </w:rPr>
            </m:ctrlPr>
          </m:sSubPr>
          <m:e>
            <m:r>
              <w:rPr>
                <w:rFonts w:ascii="Cambria Math" w:hAnsi="Cambria Math" w:cs="Times New Roman"/>
                <w:szCs w:val="28"/>
              </w:rPr>
              <m:t>v</m:t>
            </m:r>
          </m:e>
          <m:sub>
            <m:r>
              <w:rPr>
                <w:rFonts w:ascii="Cambria Math" w:hAnsi="Cambria Math" w:cs="Times New Roman"/>
                <w:szCs w:val="28"/>
              </w:rPr>
              <m:t>nm</m:t>
            </m:r>
            <m:r>
              <w:rPr>
                <w:rFonts w:ascii="Cambria Math" w:hAnsi="Cambria Math" w:cs="Times New Roman"/>
                <w:szCs w:val="28"/>
              </w:rPr>
              <m:t>,</m:t>
            </m:r>
            <m:r>
              <w:rPr>
                <w:rFonts w:ascii="Cambria Math" w:hAnsi="Cambria Math" w:cs="Times New Roman"/>
                <w:szCs w:val="28"/>
              </w:rPr>
              <m:t>jk</m:t>
            </m:r>
          </m:sub>
        </m:sSub>
        <m:r>
          <w:rPr>
            <w:rFonts w:ascii="Cambria Math" w:hAnsi="Cambria Math" w:cs="Times New Roman"/>
            <w:szCs w:val="28"/>
          </w:rPr>
          <m:t xml:space="preserve">=1 </m:t>
        </m:r>
        <m:r>
          <w:rPr>
            <w:rFonts w:ascii="Cambria Math" w:hAnsi="Cambria Math" w:cs="Times New Roman"/>
            <w:szCs w:val="28"/>
          </w:rPr>
          <m:t>if</m:t>
        </m:r>
        <m:r>
          <w:rPr>
            <w:rFonts w:ascii="Cambria Math" w:hAnsi="Cambria Math" w:cs="Times New Roman"/>
            <w:szCs w:val="28"/>
          </w:rPr>
          <m:t xml:space="preserve"> </m:t>
        </m:r>
        <m:sSubSup>
          <m:sSubSupPr>
            <m:ctrlPr>
              <w:rPr>
                <w:rFonts w:ascii="Cambria Math" w:hAnsi="Cambria Math" w:cs="Times New Roman"/>
                <w:i/>
                <w:szCs w:val="24"/>
              </w:rPr>
            </m:ctrlPr>
          </m:sSubSupPr>
          <m:e>
            <m:r>
              <w:rPr>
                <w:rFonts w:ascii="Cambria Math" w:hAnsi="Cambria Math" w:cs="Times New Roman"/>
                <w:szCs w:val="24"/>
              </w:rPr>
              <m:t>v</m:t>
            </m:r>
          </m:e>
          <m:sub>
            <m:r>
              <w:rPr>
                <w:rFonts w:ascii="Cambria Math" w:hAnsi="Cambria Math" w:cs="Times New Roman"/>
                <w:szCs w:val="24"/>
              </w:rPr>
              <m:t>nm</m:t>
            </m:r>
            <m:r>
              <w:rPr>
                <w:rFonts w:ascii="Cambria Math" w:hAnsi="Cambria Math" w:cs="Times New Roman"/>
                <w:szCs w:val="24"/>
              </w:rPr>
              <m:t xml:space="preserve">, </m:t>
            </m:r>
            <m:r>
              <w:rPr>
                <w:rFonts w:ascii="Cambria Math" w:hAnsi="Cambria Math" w:cs="Times New Roman"/>
                <w:szCs w:val="24"/>
              </w:rPr>
              <m:t>jk</m:t>
            </m:r>
          </m:sub>
          <m:sup>
            <m:r>
              <w:rPr>
                <w:rFonts w:ascii="Cambria Math" w:hAnsi="Cambria Math" w:cs="Times New Roman"/>
                <w:szCs w:val="24"/>
              </w:rPr>
              <m:t>*</m:t>
            </m:r>
          </m:sup>
        </m:sSubSup>
        <m:r>
          <w:rPr>
            <w:rFonts w:ascii="Cambria Math" w:hAnsi="Cambria Math" w:cs="Times New Roman"/>
            <w:szCs w:val="28"/>
          </w:rPr>
          <m:t>&gt;0;</m:t>
        </m:r>
        <m:sSub>
          <m:sSubPr>
            <m:ctrlPr>
              <w:rPr>
                <w:rFonts w:ascii="Cambria Math" w:hAnsi="Cambria Math" w:cs="Times New Roman"/>
                <w:i/>
                <w:szCs w:val="28"/>
              </w:rPr>
            </m:ctrlPr>
          </m:sSubPr>
          <m:e>
            <m:r>
              <w:rPr>
                <w:rFonts w:ascii="Cambria Math" w:hAnsi="Cambria Math" w:cs="Times New Roman"/>
                <w:szCs w:val="28"/>
              </w:rPr>
              <m:t>v</m:t>
            </m:r>
          </m:e>
          <m:sub>
            <m:r>
              <w:rPr>
                <w:rFonts w:ascii="Cambria Math" w:hAnsi="Cambria Math" w:cs="Times New Roman"/>
                <w:szCs w:val="28"/>
              </w:rPr>
              <m:t>nm</m:t>
            </m:r>
            <m:r>
              <w:rPr>
                <w:rFonts w:ascii="Cambria Math" w:hAnsi="Cambria Math" w:cs="Times New Roman"/>
                <w:szCs w:val="28"/>
              </w:rPr>
              <m:t>,</m:t>
            </m:r>
            <m:r>
              <w:rPr>
                <w:rFonts w:ascii="Cambria Math" w:hAnsi="Cambria Math" w:cs="Times New Roman"/>
                <w:szCs w:val="28"/>
              </w:rPr>
              <m:t>jk</m:t>
            </m:r>
          </m:sub>
        </m:sSub>
        <m:r>
          <w:rPr>
            <w:rFonts w:ascii="Cambria Math" w:hAnsi="Cambria Math" w:cs="Times New Roman"/>
            <w:szCs w:val="28"/>
          </w:rPr>
          <m:t xml:space="preserve">=0 </m:t>
        </m:r>
        <m:r>
          <w:rPr>
            <w:rFonts w:ascii="Cambria Math" w:hAnsi="Cambria Math" w:cs="Times New Roman"/>
            <w:szCs w:val="28"/>
          </w:rPr>
          <m:t>ot</m:t>
        </m:r>
        <m:r>
          <w:rPr>
            <w:rFonts w:ascii="Cambria Math" w:hAnsi="Cambria Math" w:cs="Times New Roman"/>
            <w:szCs w:val="28"/>
          </w:rPr>
          <m:t>h</m:t>
        </m:r>
        <m:r>
          <w:rPr>
            <w:rFonts w:ascii="Cambria Math" w:hAnsi="Cambria Math" w:cs="Times New Roman"/>
            <w:szCs w:val="28"/>
          </w:rPr>
          <m:t>erwise</m:t>
        </m:r>
        <m:r>
          <w:rPr>
            <w:rFonts w:ascii="Cambria Math" w:hAnsi="Cambria Math" w:cs="Times New Roman"/>
            <w:szCs w:val="24"/>
          </w:rPr>
          <m:t>….(3</m:t>
        </m:r>
      </m:oMath>
      <w:r w:rsidR="00F41614" w:rsidRPr="00E72303">
        <w:rPr>
          <w:rFonts w:eastAsiaTheme="minorEastAsia"/>
          <w:szCs w:val="24"/>
        </w:rPr>
        <w:t>)</w:t>
      </w:r>
    </w:p>
    <w:p w14:paraId="6DE5C753" w14:textId="77777777" w:rsidR="007B178E" w:rsidRPr="00E72303" w:rsidRDefault="007B178E" w:rsidP="007B178E">
      <w:pPr>
        <w:pStyle w:val="1stParagraph"/>
      </w:pPr>
    </w:p>
    <w:p w14:paraId="3DD9AC90" w14:textId="08E5AB35" w:rsidR="00B31B45" w:rsidRPr="00E72303" w:rsidRDefault="008563D0" w:rsidP="007B178E">
      <w:pPr>
        <w:pStyle w:val="1stParagraph"/>
      </w:pPr>
      <w:r w:rsidRPr="00E72303">
        <w:t xml:space="preserve">where </w:t>
      </w:r>
      <m:oMath>
        <m:sSubSup>
          <m:sSubSupPr>
            <m:ctrlPr>
              <w:rPr>
                <w:rFonts w:ascii="Cambria Math" w:hAnsi="Cambria Math"/>
                <w:i/>
              </w:rPr>
            </m:ctrlPr>
          </m:sSubSupPr>
          <m:e>
            <m:r>
              <w:rPr>
                <w:rFonts w:ascii="Cambria Math" w:hAnsi="Cambria Math"/>
              </w:rPr>
              <m:t>v</m:t>
            </m:r>
          </m:e>
          <m:sub>
            <m:r>
              <w:rPr>
                <w:rFonts w:ascii="Cambria Math" w:hAnsi="Cambria Math"/>
              </w:rPr>
              <m:t>nm, jk</m:t>
            </m:r>
          </m:sub>
          <m:sup>
            <m:r>
              <w:rPr>
                <w:rFonts w:ascii="Cambria Math" w:hAnsi="Cambria Math"/>
              </w:rPr>
              <m:t>*</m:t>
            </m:r>
          </m:sup>
        </m:sSubSup>
      </m:oMath>
      <w:r w:rsidRPr="00E72303">
        <w:t xml:space="preserve"> represents the propensity of the individual </w:t>
      </w:r>
      <m:oMath>
        <m:r>
          <w:rPr>
            <w:rFonts w:ascii="Cambria Math" w:hAnsi="Cambria Math"/>
          </w:rPr>
          <m:t>n</m:t>
        </m:r>
      </m:oMath>
      <w:r w:rsidRPr="00E72303">
        <w:t xml:space="preserve"> for the </w:t>
      </w:r>
      <m:oMath>
        <m:sSup>
          <m:sSupPr>
            <m:ctrlPr>
              <w:rPr>
                <w:rFonts w:ascii="Cambria Math" w:hAnsi="Cambria Math"/>
                <w:i/>
              </w:rPr>
            </m:ctrlPr>
          </m:sSupPr>
          <m:e>
            <m:r>
              <w:rPr>
                <w:rFonts w:ascii="Cambria Math" w:hAnsi="Cambria Math"/>
              </w:rPr>
              <m:t>m</m:t>
            </m:r>
          </m:e>
          <m:sup>
            <m:r>
              <w:rPr>
                <w:rFonts w:ascii="Cambria Math" w:hAnsi="Cambria Math"/>
              </w:rPr>
              <m:t>th</m:t>
            </m:r>
          </m:sup>
        </m:sSup>
      </m:oMath>
      <w:r w:rsidRPr="00E72303">
        <w:t xml:space="preserve"> fused record to purchase fuel type </w:t>
      </w:r>
      <m:oMath>
        <m:r>
          <w:rPr>
            <w:rFonts w:ascii="Cambria Math" w:hAnsi="Cambria Math"/>
          </w:rPr>
          <m:t>j</m:t>
        </m:r>
      </m:oMath>
      <w:r w:rsidRPr="00E72303">
        <w:t xml:space="preserve"> and vehicle type </w:t>
      </w:r>
      <m:oMath>
        <m:r>
          <w:rPr>
            <w:rFonts w:ascii="Cambria Math" w:hAnsi="Cambria Math"/>
          </w:rPr>
          <m:t>k</m:t>
        </m:r>
      </m:oMath>
      <w:r w:rsidRPr="00E72303">
        <w:t xml:space="preserve">.  </w:t>
      </w:r>
      <m:oMath>
        <m:sSub>
          <m:sSubPr>
            <m:ctrlPr>
              <w:rPr>
                <w:rFonts w:ascii="Cambria Math" w:hAnsi="Cambria Math"/>
                <w:i/>
                <w:szCs w:val="28"/>
              </w:rPr>
            </m:ctrlPr>
          </m:sSubPr>
          <m:e>
            <m:r>
              <w:rPr>
                <w:rFonts w:ascii="Cambria Math" w:hAnsi="Cambria Math"/>
                <w:szCs w:val="28"/>
              </w:rPr>
              <m:t>v</m:t>
            </m:r>
          </m:e>
          <m:sub>
            <m:r>
              <w:rPr>
                <w:rFonts w:ascii="Cambria Math" w:hAnsi="Cambria Math"/>
                <w:szCs w:val="28"/>
              </w:rPr>
              <m:t>nm,jk</m:t>
            </m:r>
          </m:sub>
        </m:sSub>
      </m:oMath>
      <w:r w:rsidRPr="00E72303">
        <w:rPr>
          <w:szCs w:val="28"/>
        </w:rPr>
        <w:t xml:space="preserve"> is the observed </w:t>
      </w:r>
      <w:r w:rsidR="009E2B2A" w:rsidRPr="00E72303">
        <w:rPr>
          <w:szCs w:val="28"/>
        </w:rPr>
        <w:t>vehicle</w:t>
      </w:r>
      <w:r w:rsidRPr="00E72303">
        <w:rPr>
          <w:szCs w:val="28"/>
        </w:rPr>
        <w:t xml:space="preserve"> choice, that is 1 if the person </w:t>
      </w:r>
      <m:oMath>
        <m:r>
          <w:rPr>
            <w:rFonts w:ascii="Cambria Math" w:hAnsi="Cambria Math"/>
          </w:rPr>
          <m:t>n</m:t>
        </m:r>
      </m:oMath>
      <w:r w:rsidRPr="00E72303">
        <w:t xml:space="preserve"> in </w:t>
      </w:r>
      <w:proofErr w:type="spellStart"/>
      <w:r w:rsidR="00FA343C" w:rsidRPr="00E72303">
        <w:t>MaritzCX</w:t>
      </w:r>
      <w:proofErr w:type="spellEnd"/>
      <w:r w:rsidRPr="00E72303">
        <w:t xml:space="preserve"> for the </w:t>
      </w:r>
      <m:oMath>
        <m:sSup>
          <m:sSupPr>
            <m:ctrlPr>
              <w:rPr>
                <w:rFonts w:ascii="Cambria Math" w:hAnsi="Cambria Math"/>
                <w:i/>
              </w:rPr>
            </m:ctrlPr>
          </m:sSupPr>
          <m:e>
            <m:r>
              <w:rPr>
                <w:rFonts w:ascii="Cambria Math" w:hAnsi="Cambria Math"/>
              </w:rPr>
              <m:t>m</m:t>
            </m:r>
          </m:e>
          <m:sup>
            <m:r>
              <w:rPr>
                <w:rFonts w:ascii="Cambria Math" w:hAnsi="Cambria Math"/>
              </w:rPr>
              <m:t>th</m:t>
            </m:r>
          </m:sup>
        </m:sSup>
      </m:oMath>
      <w:r w:rsidRPr="00E72303">
        <w:t xml:space="preserve"> fused record from </w:t>
      </w:r>
      <w:r w:rsidR="009E2B2A" w:rsidRPr="00E72303">
        <w:t>NHTS</w:t>
      </w:r>
      <w:r w:rsidRPr="00E72303">
        <w:t xml:space="preserve"> had </w:t>
      </w:r>
      <w:r w:rsidR="009E2B2A" w:rsidRPr="00E72303">
        <w:t xml:space="preserve">purchased fuel type </w:t>
      </w:r>
      <m:oMath>
        <m:r>
          <w:rPr>
            <w:rFonts w:ascii="Cambria Math" w:hAnsi="Cambria Math"/>
          </w:rPr>
          <m:t>j</m:t>
        </m:r>
      </m:oMath>
      <w:r w:rsidR="009E2B2A" w:rsidRPr="00E72303">
        <w:t xml:space="preserve"> and vehicle type </w:t>
      </w:r>
      <m:oMath>
        <m:r>
          <w:rPr>
            <w:rFonts w:ascii="Cambria Math" w:hAnsi="Cambria Math"/>
          </w:rPr>
          <m:t>k;</m:t>
        </m:r>
      </m:oMath>
      <w:r w:rsidR="009E2B2A" w:rsidRPr="00E72303">
        <w:t xml:space="preserve"> and 0 otherwise</w:t>
      </w:r>
      <w:r w:rsidRPr="00E72303">
        <w:t xml:space="preserve">. </w:t>
      </w:r>
      <m:oMath>
        <m:sSub>
          <m:sSubPr>
            <m:ctrlPr>
              <w:rPr>
                <w:rFonts w:ascii="Cambria Math" w:hAnsi="Cambria Math"/>
                <w:i/>
              </w:rPr>
            </m:ctrlPr>
          </m:sSubPr>
          <m:e>
            <m:r>
              <w:rPr>
                <w:rFonts w:ascii="Cambria Math" w:hAnsi="Cambria Math"/>
              </w:rPr>
              <m:t>X</m:t>
            </m:r>
          </m:e>
          <m:sub>
            <m:r>
              <w:rPr>
                <w:rFonts w:ascii="Cambria Math" w:hAnsi="Cambria Math"/>
              </w:rPr>
              <m:t>n,jk</m:t>
            </m:r>
          </m:sub>
        </m:sSub>
        <m:r>
          <w:rPr>
            <w:rFonts w:ascii="Cambria Math" w:hAnsi="Cambria Math"/>
          </w:rPr>
          <m:t xml:space="preserve"> </m:t>
        </m:r>
      </m:oMath>
      <w:r w:rsidRPr="00E72303">
        <w:t xml:space="preserve">is a vector of attributes from the </w:t>
      </w:r>
      <w:proofErr w:type="spellStart"/>
      <w:r w:rsidR="00FA343C" w:rsidRPr="00E72303">
        <w:t>MaritzCX</w:t>
      </w:r>
      <w:proofErr w:type="spellEnd"/>
      <w:r w:rsidRPr="00E72303">
        <w:t xml:space="preserve"> dataset that influence the </w:t>
      </w:r>
      <w:r w:rsidR="00AB2F14" w:rsidRPr="00E72303">
        <w:t xml:space="preserve">vehicle </w:t>
      </w:r>
      <w:r w:rsidR="0069567A" w:rsidRPr="00E72303">
        <w:t>purchase</w:t>
      </w:r>
      <w:r w:rsidRPr="00E72303">
        <w:t xml:space="preserve"> choice and </w:t>
      </w:r>
      <m:oMath>
        <m:r>
          <w:rPr>
            <w:rFonts w:ascii="Cambria Math" w:hAnsi="Cambria Math"/>
          </w:rPr>
          <m:t>α</m:t>
        </m:r>
      </m:oMath>
      <w:r w:rsidRPr="00E72303">
        <w:t xml:space="preserve"> is the corresponding coefficients to be estimated (including a scalar constant).</w:t>
      </w:r>
      <w:r w:rsidRPr="00E72303">
        <w:rPr>
          <w:rFonts w:ascii="Cambria Math" w:hAnsi="Cambria Math"/>
          <w:i/>
        </w:rPr>
        <w:t xml:space="preserve"> </w:t>
      </w:r>
      <m:oMath>
        <m:sSub>
          <m:sSubPr>
            <m:ctrlPr>
              <w:rPr>
                <w:rFonts w:ascii="Cambria Math" w:hAnsi="Cambria Math"/>
                <w:i/>
              </w:rPr>
            </m:ctrlPr>
          </m:sSubPr>
          <m:e>
            <m:r>
              <w:rPr>
                <w:rFonts w:ascii="Cambria Math" w:hAnsi="Cambria Math"/>
              </w:rPr>
              <m:t>S</m:t>
            </m:r>
          </m:e>
          <m:sub>
            <m:r>
              <w:rPr>
                <w:rFonts w:ascii="Cambria Math" w:hAnsi="Cambria Math"/>
              </w:rPr>
              <m:t>nm,jk</m:t>
            </m:r>
          </m:sub>
        </m:sSub>
      </m:oMath>
      <w:r w:rsidRPr="00E72303">
        <w:rPr>
          <w:rFonts w:ascii="Cambria Math" w:hAnsi="Cambria Math"/>
          <w:i/>
        </w:rPr>
        <w:t xml:space="preserve"> </w:t>
      </w:r>
      <w:r w:rsidRPr="00E72303">
        <w:t xml:space="preserve">is the vector of attributes from the </w:t>
      </w:r>
      <w:r w:rsidR="00AB2F14" w:rsidRPr="00E72303">
        <w:t>NHTS</w:t>
      </w:r>
      <w:r w:rsidRPr="00E72303">
        <w:t xml:space="preserve"> dataset that affect the </w:t>
      </w:r>
      <w:r w:rsidR="0069567A" w:rsidRPr="00E72303">
        <w:t>purchase</w:t>
      </w:r>
      <w:r w:rsidRPr="00E72303">
        <w:t xml:space="preserve"> decision and </w:t>
      </w:r>
      <m:oMath>
        <m:sSup>
          <m:sSupPr>
            <m:ctrlPr>
              <w:rPr>
                <w:rFonts w:ascii="Cambria Math" w:hAnsi="Cambria Math"/>
                <w:i/>
                <w:sz w:val="22"/>
              </w:rPr>
            </m:ctrlPr>
          </m:sSupPr>
          <m:e>
            <m:r>
              <w:rPr>
                <w:rFonts w:ascii="Cambria Math" w:hAnsi="Cambria Math"/>
              </w:rPr>
              <m:t>β</m:t>
            </m:r>
          </m:e>
          <m:sup>
            <m:r>
              <w:rPr>
                <w:rFonts w:ascii="Cambria Math" w:hAnsi="Cambria Math"/>
                <w:sz w:val="22"/>
              </w:rPr>
              <m:t>'</m:t>
            </m:r>
          </m:sup>
        </m:sSup>
      </m:oMath>
      <w:r w:rsidRPr="00E72303">
        <w:t xml:space="preserve"> is the corresponding vector of coefficients to be estimated.</w:t>
      </w:r>
      <w:r w:rsidRPr="00E72303">
        <w:rPr>
          <w:rFonts w:ascii="Georgia" w:hAnsi="Georgia"/>
          <w:sz w:val="27"/>
          <w:szCs w:val="27"/>
        </w:rPr>
        <w:t xml:space="preserve"> </w:t>
      </w:r>
      <m:oMath>
        <m:sSub>
          <m:sSubPr>
            <m:ctrlPr>
              <w:rPr>
                <w:rFonts w:ascii="Cambria Math" w:hAnsi="Cambria Math"/>
                <w:i/>
              </w:rPr>
            </m:ctrlPr>
          </m:sSubPr>
          <m:e>
            <m:r>
              <w:rPr>
                <w:rFonts w:ascii="Cambria Math" w:hAnsi="Cambria Math"/>
              </w:rPr>
              <m:t>ε</m:t>
            </m:r>
          </m:e>
          <m:sub>
            <m:r>
              <w:rPr>
                <w:rFonts w:ascii="Cambria Math" w:hAnsi="Cambria Math"/>
              </w:rPr>
              <m:t xml:space="preserve"> nm,jk</m:t>
            </m:r>
          </m:sub>
        </m:sSub>
      </m:oMath>
      <w:r w:rsidRPr="00E72303">
        <w:rPr>
          <w:rFonts w:ascii="Georgia" w:hAnsi="Georgia"/>
        </w:rPr>
        <w:t xml:space="preserve"> </w:t>
      </w:r>
      <w:r w:rsidRPr="00E72303">
        <w:t xml:space="preserve">is an idiosyncratic error </w:t>
      </w:r>
      <w:r w:rsidRPr="00E72303">
        <w:lastRenderedPageBreak/>
        <w:t xml:space="preserve">term assumed to be identically and independently </w:t>
      </w:r>
      <w:r w:rsidR="00544614" w:rsidRPr="00E72303">
        <w:t>Type I Gumbel</w:t>
      </w:r>
      <w:r w:rsidRPr="00E72303">
        <w:t xml:space="preserve"> distributed. Based on this, the probability for person </w:t>
      </w:r>
      <m:oMath>
        <m:r>
          <w:rPr>
            <w:rFonts w:ascii="Cambria Math" w:hAnsi="Cambria Math"/>
          </w:rPr>
          <m:t>n</m:t>
        </m:r>
      </m:oMath>
      <w:r w:rsidRPr="00E72303">
        <w:t xml:space="preserve"> for the </w:t>
      </w:r>
      <m:oMath>
        <m:sSup>
          <m:sSupPr>
            <m:ctrlPr>
              <w:rPr>
                <w:rFonts w:ascii="Cambria Math" w:hAnsi="Cambria Math"/>
                <w:i/>
              </w:rPr>
            </m:ctrlPr>
          </m:sSupPr>
          <m:e>
            <m:r>
              <w:rPr>
                <w:rFonts w:ascii="Cambria Math" w:hAnsi="Cambria Math"/>
              </w:rPr>
              <m:t>m</m:t>
            </m:r>
          </m:e>
          <m:sup>
            <m:r>
              <w:rPr>
                <w:rFonts w:ascii="Cambria Math" w:hAnsi="Cambria Math"/>
              </w:rPr>
              <m:t>th</m:t>
            </m:r>
          </m:sup>
        </m:sSup>
      </m:oMath>
      <w:r w:rsidRPr="00E72303">
        <w:t xml:space="preserve"> fused records to </w:t>
      </w:r>
      <w:r w:rsidR="00AB2F14" w:rsidRPr="00E72303">
        <w:t xml:space="preserve">purchase fuel type </w:t>
      </w:r>
      <m:oMath>
        <m:r>
          <w:rPr>
            <w:rFonts w:ascii="Cambria Math" w:hAnsi="Cambria Math"/>
          </w:rPr>
          <m:t>j</m:t>
        </m:r>
      </m:oMath>
      <w:r w:rsidR="00AB2F14" w:rsidRPr="00E72303">
        <w:t xml:space="preserve"> and vehicle type </w:t>
      </w:r>
      <m:oMath>
        <m:r>
          <w:rPr>
            <w:rFonts w:ascii="Cambria Math" w:hAnsi="Cambria Math"/>
          </w:rPr>
          <m:t>k</m:t>
        </m:r>
      </m:oMath>
      <w:r w:rsidRPr="00E72303">
        <w:t xml:space="preserve"> given by:</w:t>
      </w:r>
    </w:p>
    <w:p w14:paraId="2F0F94B5" w14:textId="77777777" w:rsidR="007B178E" w:rsidRPr="00E72303" w:rsidRDefault="007B178E" w:rsidP="007B178E">
      <w:pPr>
        <w:pStyle w:val="1stParagraph"/>
      </w:pPr>
    </w:p>
    <w:p w14:paraId="5CA40D03" w14:textId="0804BD79" w:rsidR="00E11995" w:rsidRPr="00E72303" w:rsidRDefault="00BF302F" w:rsidP="007B178E">
      <w:pPr>
        <w:rPr>
          <w:rFonts w:eastAsiaTheme="minorEastAsia"/>
        </w:rPr>
      </w:pPr>
      <m:oMathPara>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nm</m:t>
              </m:r>
              <m:r>
                <w:rPr>
                  <w:rFonts w:ascii="Cambria Math" w:hAnsi="Cambria Math"/>
                  <w:szCs w:val="24"/>
                </w:rPr>
                <m:t>,</m:t>
              </m:r>
              <m:r>
                <w:rPr>
                  <w:rFonts w:ascii="Cambria Math" w:hAnsi="Cambria Math"/>
                  <w:szCs w:val="24"/>
                </w:rPr>
                <m:t>jk</m:t>
              </m:r>
            </m:sub>
          </m:sSub>
          <m:r>
            <w:rPr>
              <w:rFonts w:ascii="Cambria Math" w:hAnsi="Cambria Math" w:cs="Times New Roman"/>
              <w:szCs w:val="24"/>
            </w:rPr>
            <m:t>=</m:t>
          </m:r>
          <m:f>
            <m:fPr>
              <m:ctrlPr>
                <w:rPr>
                  <w:rFonts w:ascii="Cambria Math" w:hAnsi="Cambria Math" w:cs="Times New Roman"/>
                  <w:i/>
                  <w:iCs/>
                  <w:szCs w:val="24"/>
                </w:rPr>
              </m:ctrlPr>
            </m:fPr>
            <m:num>
              <m:func>
                <m:funcPr>
                  <m:ctrlPr>
                    <w:rPr>
                      <w:rFonts w:ascii="Cambria Math" w:hAnsi="Cambria Math" w:cs="Times New Roman"/>
                      <w:i/>
                      <w:iCs/>
                      <w:szCs w:val="24"/>
                    </w:rPr>
                  </m:ctrlPr>
                </m:funcPr>
                <m:fName>
                  <m:r>
                    <w:rPr>
                      <w:rFonts w:ascii="Cambria Math" w:hAnsi="Cambria Math" w:cs="Times New Roman"/>
                      <w:szCs w:val="24"/>
                    </w:rPr>
                    <m:t>exp</m:t>
                  </m:r>
                </m:fName>
                <m:e>
                  <m:d>
                    <m:dPr>
                      <m:ctrlPr>
                        <w:rPr>
                          <w:rFonts w:ascii="Cambria Math" w:hAnsi="Cambria Math" w:cs="Times New Roman"/>
                          <w:i/>
                          <w:iCs/>
                          <w:szCs w:val="24"/>
                        </w:rPr>
                      </m:ctrlPr>
                    </m:dPr>
                    <m:e>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nm</m:t>
                          </m:r>
                          <m:r>
                            <w:rPr>
                              <w:rFonts w:ascii="Cambria Math" w:hAnsi="Cambria Math"/>
                              <w:szCs w:val="24"/>
                            </w:rPr>
                            <m:t xml:space="preserve">, </m:t>
                          </m:r>
                          <m:r>
                            <w:rPr>
                              <w:rFonts w:ascii="Cambria Math" w:hAnsi="Cambria Math"/>
                              <w:szCs w:val="24"/>
                            </w:rPr>
                            <m:t>jk</m:t>
                          </m:r>
                        </m:sub>
                        <m:sup>
                          <m:r>
                            <w:rPr>
                              <w:rFonts w:ascii="Cambria Math" w:hAnsi="Cambria Math"/>
                              <w:szCs w:val="24"/>
                            </w:rPr>
                            <m:t>*</m:t>
                          </m:r>
                        </m:sup>
                      </m:sSubSup>
                    </m:e>
                  </m:d>
                </m:e>
              </m:func>
            </m:num>
            <m:den>
              <m:nary>
                <m:naryPr>
                  <m:chr m:val="∑"/>
                  <m:limLoc m:val="undOvr"/>
                  <m:ctrlPr>
                    <w:rPr>
                      <w:rFonts w:ascii="Cambria Math" w:hAnsi="Cambria Math" w:cs="Times New Roman"/>
                      <w:i/>
                      <w:iCs/>
                      <w:szCs w:val="24"/>
                    </w:rPr>
                  </m:ctrlPr>
                </m:naryPr>
                <m:sub>
                  <m:r>
                    <w:rPr>
                      <w:rFonts w:ascii="Cambria Math" w:hAnsi="Cambria Math" w:cs="Times New Roman"/>
                      <w:szCs w:val="24"/>
                    </w:rPr>
                    <m:t>k</m:t>
                  </m:r>
                  <m:r>
                    <w:rPr>
                      <w:rFonts w:ascii="Cambria Math" w:hAnsi="Cambria Math" w:cs="Times New Roman"/>
                      <w:szCs w:val="24"/>
                    </w:rPr>
                    <m:t>=1</m:t>
                  </m:r>
                </m:sub>
                <m:sup>
                  <m:r>
                    <w:rPr>
                      <w:rFonts w:ascii="Cambria Math" w:hAnsi="Cambria Math" w:cs="Times New Roman"/>
                      <w:szCs w:val="24"/>
                    </w:rPr>
                    <m:t>K</m:t>
                  </m:r>
                </m:sup>
                <m:e>
                  <m:nary>
                    <m:naryPr>
                      <m:chr m:val="∑"/>
                      <m:limLoc m:val="subSup"/>
                      <m:ctrlPr>
                        <w:rPr>
                          <w:rFonts w:ascii="Cambria Math" w:hAnsi="Cambria Math" w:cs="Times New Roman"/>
                          <w:i/>
                          <w:iCs/>
                          <w:szCs w:val="24"/>
                        </w:rPr>
                      </m:ctrlPr>
                    </m:naryPr>
                    <m:sub>
                      <m:r>
                        <w:rPr>
                          <w:rFonts w:ascii="Cambria Math" w:hAnsi="Cambria Math" w:cs="Times New Roman"/>
                          <w:szCs w:val="24"/>
                        </w:rPr>
                        <m:t>j</m:t>
                      </m:r>
                      <m:r>
                        <w:rPr>
                          <w:rFonts w:ascii="Cambria Math" w:hAnsi="Cambria Math" w:cs="Times New Roman"/>
                          <w:szCs w:val="24"/>
                        </w:rPr>
                        <m:t>=1</m:t>
                      </m:r>
                    </m:sub>
                    <m:sup>
                      <m:r>
                        <w:rPr>
                          <w:rFonts w:ascii="Cambria Math" w:hAnsi="Cambria Math" w:cs="Times New Roman"/>
                          <w:szCs w:val="24"/>
                        </w:rPr>
                        <m:t>J</m:t>
                      </m:r>
                    </m:sup>
                    <m:e>
                      <m:func>
                        <m:funcPr>
                          <m:ctrlPr>
                            <w:rPr>
                              <w:rFonts w:ascii="Cambria Math" w:hAnsi="Cambria Math" w:cs="Times New Roman"/>
                              <w:i/>
                              <w:iCs/>
                              <w:szCs w:val="24"/>
                            </w:rPr>
                          </m:ctrlPr>
                        </m:funcPr>
                        <m:fName>
                          <m:r>
                            <w:rPr>
                              <w:rFonts w:ascii="Cambria Math" w:hAnsi="Cambria Math" w:cs="Times New Roman"/>
                              <w:szCs w:val="24"/>
                            </w:rPr>
                            <m:t>exp</m:t>
                          </m:r>
                        </m:fName>
                        <m:e>
                          <m:d>
                            <m:dPr>
                              <m:ctrlPr>
                                <w:rPr>
                                  <w:rFonts w:ascii="Cambria Math" w:hAnsi="Cambria Math" w:cs="Times New Roman"/>
                                  <w:i/>
                                  <w:iCs/>
                                  <w:szCs w:val="24"/>
                                </w:rPr>
                              </m:ctrlPr>
                            </m:dPr>
                            <m:e>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nm</m:t>
                                  </m:r>
                                  <m:r>
                                    <w:rPr>
                                      <w:rFonts w:ascii="Cambria Math" w:hAnsi="Cambria Math"/>
                                      <w:szCs w:val="24"/>
                                    </w:rPr>
                                    <m:t xml:space="preserve">, </m:t>
                                  </m:r>
                                  <m:r>
                                    <w:rPr>
                                      <w:rFonts w:ascii="Cambria Math" w:hAnsi="Cambria Math"/>
                                      <w:szCs w:val="24"/>
                                    </w:rPr>
                                    <m:t>jk</m:t>
                                  </m:r>
                                </m:sub>
                                <m:sup>
                                  <m:r>
                                    <w:rPr>
                                      <w:rFonts w:ascii="Cambria Math" w:hAnsi="Cambria Math"/>
                                      <w:szCs w:val="24"/>
                                    </w:rPr>
                                    <m:t>*</m:t>
                                  </m:r>
                                </m:sup>
                              </m:sSubSup>
                            </m:e>
                          </m:d>
                        </m:e>
                      </m:func>
                    </m:e>
                  </m:nary>
                </m:e>
              </m:nary>
            </m:den>
          </m:f>
          <m:r>
            <w:rPr>
              <w:rFonts w:ascii="Cambria Math" w:hAnsi="Cambria Math" w:cs="Times New Roman"/>
              <w:szCs w:val="24"/>
            </w:rPr>
            <m:t>……………………………………………………………………(4)</m:t>
          </m:r>
        </m:oMath>
      </m:oMathPara>
    </w:p>
    <w:p w14:paraId="15E5CE32" w14:textId="77777777" w:rsidR="007B178E" w:rsidRPr="00E72303" w:rsidRDefault="007B178E" w:rsidP="007B178E"/>
    <w:p w14:paraId="05D2DC55" w14:textId="70D77D10" w:rsidR="0069567A" w:rsidRPr="00E72303" w:rsidRDefault="0069567A" w:rsidP="007B178E">
      <w:r w:rsidRPr="00E72303">
        <w:t xml:space="preserve">The weight component also takes the form of a latent multinomial logit structure allocating the probability for each NHTS user being paired with the </w:t>
      </w:r>
      <w:proofErr w:type="spellStart"/>
      <w:r w:rsidR="003F606D" w:rsidRPr="00E72303">
        <w:t>MaritzCX</w:t>
      </w:r>
      <w:proofErr w:type="spellEnd"/>
      <w:r w:rsidRPr="00E72303">
        <w:t xml:space="preserve"> individual. The matched weightage propensity is determined based on a latent probability value estimated using a multinomial logit model as follows:</w:t>
      </w:r>
    </w:p>
    <w:p w14:paraId="41FB92CF" w14:textId="77777777" w:rsidR="007B178E" w:rsidRPr="00E72303" w:rsidRDefault="007B178E" w:rsidP="007B178E"/>
    <w:p w14:paraId="530B0C2B" w14:textId="1C053440" w:rsidR="00A90DA3" w:rsidRPr="00E72303" w:rsidRDefault="00BF302F" w:rsidP="007B178E">
      <w:pPr>
        <w:rPr>
          <w:rFonts w:eastAsiaTheme="minorEastAsia"/>
        </w:rPr>
      </w:pPr>
      <m:oMathPara>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nm</m:t>
              </m:r>
            </m:sub>
          </m:sSub>
          <m:r>
            <w:rPr>
              <w:rFonts w:ascii="Cambria Math" w:hAnsi="Cambria Math"/>
              <w:szCs w:val="24"/>
            </w:rPr>
            <m:t>=</m:t>
          </m:r>
          <m:f>
            <m:fPr>
              <m:ctrlPr>
                <w:rPr>
                  <w:rFonts w:ascii="Cambria Math" w:hAnsi="Cambria Math"/>
                  <w:i/>
                  <w:szCs w:val="24"/>
                </w:rPr>
              </m:ctrlPr>
            </m:fPr>
            <m:num>
              <m:func>
                <m:funcPr>
                  <m:ctrlPr>
                    <w:rPr>
                      <w:rFonts w:ascii="Cambria Math" w:hAnsi="Cambria Math"/>
                      <w:szCs w:val="24"/>
                    </w:rPr>
                  </m:ctrlPr>
                </m:funcPr>
                <m:fName>
                  <m:r>
                    <m:rPr>
                      <m:sty m:val="p"/>
                    </m:rPr>
                    <w:rPr>
                      <w:rFonts w:ascii="Cambria Math" w:hAnsi="Cambria Math"/>
                      <w:szCs w:val="24"/>
                    </w:rPr>
                    <m:t>exp</m:t>
                  </m:r>
                </m:fName>
                <m:e>
                  <m:d>
                    <m:dPr>
                      <m:ctrlPr>
                        <w:rPr>
                          <w:rFonts w:ascii="Cambria Math" w:hAnsi="Cambria Math"/>
                          <w:i/>
                          <w:szCs w:val="24"/>
                        </w:rPr>
                      </m:ctrlPr>
                    </m:dPr>
                    <m:e>
                      <m:r>
                        <w:rPr>
                          <w:rFonts w:ascii="Cambria Math" w:hAnsi="Cambria Math"/>
                          <w:szCs w:val="24"/>
                        </w:rPr>
                        <m:t>Ψ</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nm</m:t>
                          </m:r>
                        </m:sub>
                      </m:sSub>
                    </m:e>
                  </m:d>
                </m:e>
              </m:func>
            </m:num>
            <m:den>
              <m:nary>
                <m:naryPr>
                  <m:chr m:val="∑"/>
                  <m:limLoc m:val="undOvr"/>
                  <m:ctrlPr>
                    <w:rPr>
                      <w:rFonts w:ascii="Cambria Math" w:hAnsi="Cambria Math"/>
                      <w:i/>
                      <w:szCs w:val="24"/>
                    </w:rPr>
                  </m:ctrlPr>
                </m:naryPr>
                <m:sub>
                  <m:r>
                    <w:rPr>
                      <w:rFonts w:ascii="Cambria Math" w:hAnsi="Cambria Math"/>
                      <w:szCs w:val="24"/>
                    </w:rPr>
                    <m:t>m</m:t>
                  </m:r>
                  <m:r>
                    <w:rPr>
                      <w:rFonts w:ascii="Cambria Math" w:hAnsi="Cambria Math"/>
                      <w:szCs w:val="24"/>
                    </w:rPr>
                    <m:t>=1</m:t>
                  </m:r>
                </m:sub>
                <m:sup>
                  <m:r>
                    <w:rPr>
                      <w:rFonts w:ascii="Cambria Math" w:hAnsi="Cambria Math"/>
                      <w:szCs w:val="24"/>
                    </w:rPr>
                    <m:t>M</m:t>
                  </m:r>
                </m:sup>
                <m:e>
                  <m:func>
                    <m:funcPr>
                      <m:ctrlPr>
                        <w:rPr>
                          <w:rFonts w:ascii="Cambria Math" w:hAnsi="Cambria Math"/>
                          <w:szCs w:val="24"/>
                        </w:rPr>
                      </m:ctrlPr>
                    </m:funcPr>
                    <m:fName>
                      <m:r>
                        <m:rPr>
                          <m:sty m:val="p"/>
                        </m:rPr>
                        <w:rPr>
                          <w:rFonts w:ascii="Cambria Math" w:hAnsi="Cambria Math"/>
                          <w:szCs w:val="24"/>
                        </w:rPr>
                        <m:t>exp</m:t>
                      </m:r>
                    </m:fName>
                    <m:e>
                      <m:d>
                        <m:dPr>
                          <m:ctrlPr>
                            <w:rPr>
                              <w:rFonts w:ascii="Cambria Math" w:hAnsi="Cambria Math"/>
                              <w:i/>
                              <w:szCs w:val="24"/>
                            </w:rPr>
                          </m:ctrlPr>
                        </m:dPr>
                        <m:e>
                          <m:r>
                            <w:rPr>
                              <w:rFonts w:ascii="Cambria Math" w:hAnsi="Cambria Math"/>
                              <w:szCs w:val="24"/>
                            </w:rPr>
                            <m:t>Ψ</m:t>
                          </m:r>
                          <m:sSub>
                            <m:sSubPr>
                              <m:ctrlPr>
                                <w:rPr>
                                  <w:rFonts w:ascii="Cambria Math" w:hAnsi="Cambria Math"/>
                                  <w:i/>
                                  <w:szCs w:val="24"/>
                                </w:rPr>
                              </m:ctrlPr>
                            </m:sSubPr>
                            <m:e>
                              <m:r>
                                <w:rPr>
                                  <w:rFonts w:ascii="Cambria Math" w:hAnsi="Cambria Math"/>
                                  <w:szCs w:val="24"/>
                                </w:rPr>
                                <m:t>Z</m:t>
                              </m:r>
                            </m:e>
                            <m:sub>
                              <m:r>
                                <w:rPr>
                                  <w:rFonts w:ascii="Cambria Math" w:hAnsi="Cambria Math"/>
                                  <w:szCs w:val="24"/>
                                </w:rPr>
                                <m:t>nm</m:t>
                              </m:r>
                            </m:sub>
                          </m:sSub>
                        </m:e>
                      </m:d>
                    </m:e>
                  </m:func>
                </m:e>
              </m:nary>
            </m:den>
          </m:f>
          <m:r>
            <w:rPr>
              <w:rFonts w:ascii="Cambria Math" w:hAnsi="Cambria Math" w:cs="Times New Roman"/>
              <w:szCs w:val="24"/>
            </w:rPr>
            <m:t>……………………………………………………………………………(5)</m:t>
          </m:r>
        </m:oMath>
      </m:oMathPara>
    </w:p>
    <w:p w14:paraId="0D7967B3" w14:textId="77777777" w:rsidR="007B178E" w:rsidRPr="00E72303" w:rsidRDefault="007B178E" w:rsidP="007B178E">
      <w:pPr>
        <w:ind w:firstLine="0"/>
      </w:pPr>
    </w:p>
    <w:p w14:paraId="2F6BA705" w14:textId="55D5FDE0" w:rsidR="00AB53B6" w:rsidRPr="00E72303" w:rsidRDefault="0069567A" w:rsidP="007B178E">
      <w:pPr>
        <w:ind w:firstLine="0"/>
      </w:pPr>
      <w:r w:rsidRPr="00E72303">
        <w:t xml:space="preserve">where </w:t>
      </w:r>
      <m:oMath>
        <m:sSub>
          <m:sSubPr>
            <m:ctrlPr>
              <w:rPr>
                <w:rFonts w:ascii="Cambria Math" w:hAnsi="Cambria Math"/>
                <w:i/>
              </w:rPr>
            </m:ctrlPr>
          </m:sSubPr>
          <m:e>
            <m:r>
              <w:rPr>
                <w:rFonts w:ascii="Cambria Math" w:hAnsi="Cambria Math"/>
              </w:rPr>
              <m:t>Z</m:t>
            </m:r>
          </m:e>
          <m:sub>
            <m:r>
              <w:rPr>
                <w:rFonts w:ascii="Cambria Math" w:hAnsi="Cambria Math"/>
              </w:rPr>
              <m:t>nm</m:t>
            </m:r>
          </m:sub>
        </m:sSub>
      </m:oMath>
      <w:r w:rsidRPr="00E72303">
        <w:t xml:space="preserve"> is a column vector of attributes for individual </w:t>
      </w:r>
      <m:oMath>
        <m:r>
          <w:rPr>
            <w:rFonts w:ascii="Cambria Math" w:hAnsi="Cambria Math"/>
          </w:rPr>
          <m:t>n</m:t>
        </m:r>
      </m:oMath>
      <w:r w:rsidRPr="00E72303">
        <w:t xml:space="preserve"> and fused record </w:t>
      </w:r>
      <m:oMath>
        <m:r>
          <w:rPr>
            <w:rFonts w:ascii="Cambria Math" w:hAnsi="Cambria Math"/>
          </w:rPr>
          <m:t>m</m:t>
        </m:r>
      </m:oMath>
      <w:r w:rsidRPr="00E72303">
        <w:t xml:space="preserve"> that influences the propensity of matching the NHTS data with the </w:t>
      </w:r>
      <w:proofErr w:type="spellStart"/>
      <w:r w:rsidR="000A5AFD" w:rsidRPr="00E72303">
        <w:t>MaritzCX</w:t>
      </w:r>
      <w:proofErr w:type="spellEnd"/>
      <w:r w:rsidR="000A5AFD" w:rsidRPr="00E72303">
        <w:t xml:space="preserve"> </w:t>
      </w:r>
      <w:r w:rsidRPr="00E72303">
        <w:t>data.</w:t>
      </w:r>
      <m:oMath>
        <m:sSub>
          <m:sSubPr>
            <m:ctrlPr>
              <w:rPr>
                <w:rFonts w:ascii="Cambria Math" w:hAnsi="Cambria Math"/>
                <w:i/>
              </w:rPr>
            </m:ctrlPr>
          </m:sSubPr>
          <m:e>
            <m:r>
              <w:rPr>
                <w:rFonts w:ascii="Cambria Math" w:hAnsi="Cambria Math"/>
              </w:rPr>
              <m:t>Z</m:t>
            </m:r>
          </m:e>
          <m:sub>
            <m:r>
              <w:rPr>
                <w:rFonts w:ascii="Cambria Math" w:hAnsi="Cambria Math"/>
              </w:rPr>
              <m:t>nm</m:t>
            </m:r>
          </m:sub>
        </m:sSub>
      </m:oMath>
      <w:r w:rsidRPr="00E72303">
        <w:rPr>
          <w:rFonts w:eastAsiaTheme="minorEastAsia"/>
        </w:rPr>
        <w:t xml:space="preserve"> represents the variables that are present in both datasets but not used for fusion. </w:t>
      </w:r>
      <m:oMath>
        <m:r>
          <w:rPr>
            <w:rFonts w:ascii="Cambria Math" w:hAnsi="Cambria Math"/>
            <w:szCs w:val="24"/>
          </w:rPr>
          <m:t>Ψ</m:t>
        </m:r>
      </m:oMath>
      <w:r w:rsidRPr="00E72303">
        <w:rPr>
          <w:rFonts w:eastAsiaTheme="minorEastAsia"/>
          <w:szCs w:val="24"/>
        </w:rPr>
        <w:t xml:space="preserve"> </w:t>
      </w:r>
      <w:proofErr w:type="gramStart"/>
      <w:r w:rsidRPr="00E72303">
        <w:rPr>
          <w:rFonts w:eastAsiaTheme="minorEastAsia"/>
          <w:szCs w:val="24"/>
        </w:rPr>
        <w:t>is</w:t>
      </w:r>
      <w:proofErr w:type="gramEnd"/>
      <w:r w:rsidRPr="00E72303">
        <w:rPr>
          <w:rFonts w:eastAsiaTheme="minorEastAsia"/>
          <w:szCs w:val="24"/>
        </w:rPr>
        <w:t xml:space="preserve"> the corresponding vector coefficients to be estimated</w:t>
      </w:r>
      <w:r w:rsidRPr="00E72303">
        <w:t xml:space="preserve">. </w:t>
      </w:r>
    </w:p>
    <w:p w14:paraId="10797583" w14:textId="77777777" w:rsidR="007B178E" w:rsidRPr="00E72303" w:rsidRDefault="007B178E" w:rsidP="007B178E">
      <w:pPr>
        <w:ind w:firstLine="0"/>
      </w:pPr>
    </w:p>
    <w:p w14:paraId="77DDFA4D" w14:textId="1F33E429" w:rsidR="00EB46E5" w:rsidRPr="00E72303" w:rsidRDefault="00EB46E5" w:rsidP="007B178E">
      <w:pPr>
        <w:pStyle w:val="Heading2"/>
        <w:rPr>
          <w:color w:val="auto"/>
        </w:rPr>
      </w:pPr>
      <w:r w:rsidRPr="00E72303">
        <w:rPr>
          <w:color w:val="auto"/>
        </w:rPr>
        <w:t>Model Estimation</w:t>
      </w:r>
    </w:p>
    <w:p w14:paraId="24C4C9AB" w14:textId="65782759" w:rsidR="00412AEB" w:rsidRPr="00E72303" w:rsidRDefault="00412AEB" w:rsidP="007B178E">
      <w:pPr>
        <w:pStyle w:val="1stParagraph"/>
      </w:pPr>
      <w:r w:rsidRPr="00E72303">
        <w:t xml:space="preserve">Based on above notations, the overall weighted probability for </w:t>
      </w:r>
      <w:proofErr w:type="gramStart"/>
      <w:r w:rsidRPr="00E72303">
        <w:t>each individual</w:t>
      </w:r>
      <w:proofErr w:type="gramEnd"/>
      <w:r w:rsidRPr="00E72303">
        <w:t xml:space="preserve"> in the </w:t>
      </w:r>
      <w:proofErr w:type="spellStart"/>
      <w:r w:rsidR="000A5AFD" w:rsidRPr="00E72303">
        <w:t>MaritzCX</w:t>
      </w:r>
      <w:proofErr w:type="spellEnd"/>
      <w:r w:rsidR="000A5AFD" w:rsidRPr="00E72303">
        <w:t xml:space="preserve"> </w:t>
      </w:r>
      <w:r w:rsidRPr="00E72303">
        <w:t>data can be written as:</w:t>
      </w:r>
    </w:p>
    <w:p w14:paraId="04D042D9" w14:textId="77777777" w:rsidR="007B178E" w:rsidRPr="00E72303" w:rsidRDefault="007B178E" w:rsidP="007B178E">
      <w:pPr>
        <w:pStyle w:val="1stParagraph"/>
      </w:pPr>
    </w:p>
    <w:p w14:paraId="348CBF6C" w14:textId="703ECBC8" w:rsidR="00162402" w:rsidRPr="00E72303" w:rsidRDefault="00BF302F" w:rsidP="007B178E">
      <w:pPr>
        <w:pStyle w:val="1stParagraph"/>
      </w:pPr>
      <m:oMathPara>
        <m:oMathParaPr>
          <m:jc m:val="left"/>
        </m:oMathParaP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n</m:t>
              </m:r>
            </m:sub>
          </m:sSub>
          <m:r>
            <w:rPr>
              <w:rFonts w:ascii="Cambria Math" w:hAnsi="Cambria Math"/>
              <w:szCs w:val="24"/>
            </w:rPr>
            <m:t>=</m:t>
          </m:r>
          <m:nary>
            <m:naryPr>
              <m:chr m:val="∑"/>
              <m:limLoc m:val="undOvr"/>
              <m:ctrlPr>
                <w:rPr>
                  <w:rFonts w:ascii="Cambria Math" w:hAnsi="Cambria Math"/>
                  <w:i/>
                  <w:sz w:val="28"/>
                  <w:szCs w:val="24"/>
                </w:rPr>
              </m:ctrlPr>
            </m:naryPr>
            <m:sub>
              <m:r>
                <w:rPr>
                  <w:rFonts w:ascii="Cambria Math" w:hAnsi="Cambria Math"/>
                  <w:szCs w:val="24"/>
                </w:rPr>
                <m:t>m</m:t>
              </m:r>
              <m:r>
                <w:rPr>
                  <w:rFonts w:ascii="Cambria Math" w:hAnsi="Cambria Math"/>
                  <w:szCs w:val="24"/>
                </w:rPr>
                <m:t>=1</m:t>
              </m:r>
            </m:sub>
            <m:sup>
              <m:r>
                <w:rPr>
                  <w:rFonts w:ascii="Cambria Math" w:hAnsi="Cambria Math"/>
                  <w:szCs w:val="24"/>
                </w:rPr>
                <m:t>M</m:t>
              </m:r>
            </m:sup>
            <m:e>
              <m:sSub>
                <m:sSubPr>
                  <m:ctrlPr>
                    <w:rPr>
                      <w:rFonts w:ascii="Cambria Math" w:hAnsi="Cambria Math"/>
                      <w:i/>
                      <w:szCs w:val="24"/>
                    </w:rPr>
                  </m:ctrlPr>
                </m:sSubPr>
                <m:e>
                  <m:r>
                    <w:rPr>
                      <w:rFonts w:ascii="Cambria Math" w:hAnsi="Cambria Math"/>
                      <w:szCs w:val="24"/>
                    </w:rPr>
                    <m:t>w</m:t>
                  </m:r>
                </m:e>
                <m:sub>
                  <m:r>
                    <w:rPr>
                      <w:rFonts w:ascii="Cambria Math" w:hAnsi="Cambria Math"/>
                      <w:szCs w:val="24"/>
                    </w:rPr>
                    <m:t>nm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nm</m:t>
                  </m:r>
                  <m:r>
                    <w:rPr>
                      <w:rFonts w:ascii="Cambria Math" w:hAnsi="Cambria Math"/>
                      <w:szCs w:val="24"/>
                    </w:rPr>
                    <m:t>,</m:t>
                  </m:r>
                  <m:r>
                    <w:rPr>
                      <w:rFonts w:ascii="Cambria Math" w:hAnsi="Cambria Math"/>
                      <w:szCs w:val="24"/>
                    </w:rPr>
                    <m:t>jk</m:t>
                  </m:r>
                </m:sub>
              </m:sSub>
              <m:r>
                <w:rPr>
                  <w:rFonts w:ascii="Cambria Math" w:hAnsi="Cambria Math"/>
                  <w:szCs w:val="24"/>
                </w:rPr>
                <m:t xml:space="preserve"> </m:t>
              </m:r>
            </m:e>
          </m:nary>
          <m:r>
            <w:rPr>
              <w:rFonts w:ascii="Cambria Math" w:hAnsi="Cambria Math" w:cs="Times New Roman"/>
              <w:szCs w:val="24"/>
            </w:rPr>
            <m:t>…………………………………………………………………….……….(6)</m:t>
          </m:r>
        </m:oMath>
      </m:oMathPara>
    </w:p>
    <w:p w14:paraId="31751774" w14:textId="77777777" w:rsidR="007B178E" w:rsidRPr="00E72303" w:rsidRDefault="007B178E" w:rsidP="007B178E">
      <w:pPr>
        <w:pStyle w:val="1stParagraph"/>
      </w:pPr>
    </w:p>
    <w:p w14:paraId="03A7B193" w14:textId="2C937ED2" w:rsidR="007865F2" w:rsidRPr="00E72303" w:rsidRDefault="007865F2" w:rsidP="007B178E">
      <w:pPr>
        <w:pStyle w:val="1stParagraph"/>
      </w:pPr>
      <w:r w:rsidRPr="00E72303">
        <w:t xml:space="preserve">where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n</m:t>
            </m:r>
          </m:sub>
        </m:sSub>
      </m:oMath>
      <w:r w:rsidRPr="00E72303">
        <w:rPr>
          <w:rFonts w:eastAsiaTheme="minorEastAsia"/>
          <w:szCs w:val="24"/>
        </w:rPr>
        <w:t xml:space="preserve"> is the weighted probability the person </w:t>
      </w:r>
      <m:oMath>
        <m:r>
          <w:rPr>
            <w:rFonts w:ascii="Cambria Math" w:hAnsi="Cambria Math"/>
          </w:rPr>
          <m:t>n</m:t>
        </m:r>
      </m:oMath>
      <w:r w:rsidRPr="00E72303">
        <w:t xml:space="preserve">  in the </w:t>
      </w:r>
      <w:proofErr w:type="spellStart"/>
      <w:r w:rsidR="000A5AFD" w:rsidRPr="00E72303">
        <w:t>MaritzCX</w:t>
      </w:r>
      <w:proofErr w:type="spellEnd"/>
      <w:r w:rsidRPr="00E72303">
        <w:t xml:space="preserve"> dataset has the corresponding vehicle choice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jk</m:t>
            </m:r>
          </m:sub>
        </m:sSub>
      </m:oMath>
      <w:r w:rsidRPr="00E72303">
        <w:rPr>
          <w:rFonts w:eastAsiaTheme="minorEastAsia"/>
          <w:szCs w:val="24"/>
        </w:rPr>
        <w:t>.</w:t>
      </w:r>
      <w:r w:rsidRPr="00E72303">
        <w:t xml:space="preserve"> </w:t>
      </w:r>
      <w:r w:rsidR="00AC3FA7" w:rsidRPr="00E72303">
        <w:t>E</w:t>
      </w:r>
      <w:r w:rsidRPr="00E72303">
        <w:t>mploying equation</w:t>
      </w:r>
      <w:r w:rsidR="00E4202D" w:rsidRPr="00E72303">
        <w:t xml:space="preserve"> 6</w:t>
      </w:r>
      <w:r w:rsidRPr="00E72303">
        <w:t xml:space="preserve">, several additional variables from the NHTS dataset will be employed to develop an improved </w:t>
      </w:r>
      <w:r w:rsidR="00AC3FA7" w:rsidRPr="00E72303">
        <w:t>vehicle purchase</w:t>
      </w:r>
      <w:r w:rsidRPr="00E72303">
        <w:t xml:space="preserve"> choice model. Finally, the log-likelihood function for the fused dataset is defined as:</w:t>
      </w:r>
    </w:p>
    <w:p w14:paraId="0294533E" w14:textId="77777777" w:rsidR="007B178E" w:rsidRPr="00E72303" w:rsidRDefault="007B178E" w:rsidP="007B178E">
      <w:pPr>
        <w:pStyle w:val="1stParagraph"/>
      </w:pPr>
    </w:p>
    <w:p w14:paraId="73BCD8E1" w14:textId="4DCFF46F" w:rsidR="00A672BB" w:rsidRPr="00E72303" w:rsidRDefault="00A672BB" w:rsidP="007B178E">
      <w:pPr>
        <w:pStyle w:val="1stParagraph"/>
      </w:pPr>
      <m:oMathPara>
        <m:oMathParaPr>
          <m:jc m:val="left"/>
        </m:oMathParaPr>
        <m:oMath>
          <m:r>
            <w:rPr>
              <w:rFonts w:ascii="Cambria Math" w:hAnsi="Cambria Math"/>
            </w:rPr>
            <m:t>LL=</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n</m:t>
                          </m:r>
                        </m:sub>
                      </m:sSub>
                    </m:e>
                  </m:d>
                </m:e>
              </m:func>
              <m:r>
                <w:rPr>
                  <w:rFonts w:ascii="Cambria Math" w:hAnsi="Cambria Math"/>
                </w:rPr>
                <m:t xml:space="preserve"> </m:t>
              </m:r>
            </m:e>
          </m:nary>
          <m:r>
            <w:rPr>
              <w:rFonts w:ascii="Cambria Math" w:hAnsi="Cambria Math" w:cs="Times New Roman"/>
              <w:szCs w:val="24"/>
            </w:rPr>
            <m:t>……………………………………………………………………………….……(7)</m:t>
          </m:r>
        </m:oMath>
      </m:oMathPara>
    </w:p>
    <w:p w14:paraId="166E8B7D" w14:textId="77777777" w:rsidR="007B178E" w:rsidRPr="00E72303" w:rsidRDefault="007B178E" w:rsidP="007B178E"/>
    <w:p w14:paraId="081F6938" w14:textId="5BB0530A" w:rsidR="00445ED6" w:rsidRPr="00E72303" w:rsidRDefault="00AC3FA7" w:rsidP="007B178E">
      <w:r w:rsidRPr="00E72303">
        <w:t xml:space="preserve">The proposed matching algorithm has been estimated using a maximum likelihood based econometric model. We have used the GAUSS Matrix Programming software for estimating the models. </w:t>
      </w:r>
    </w:p>
    <w:p w14:paraId="2C9B7DCD" w14:textId="77777777" w:rsidR="007B178E" w:rsidRPr="00E72303" w:rsidRDefault="007B178E" w:rsidP="007B178E"/>
    <w:p w14:paraId="67001AF4" w14:textId="36210D71" w:rsidR="005E605D" w:rsidRPr="00E72303" w:rsidRDefault="005E605D" w:rsidP="007B178E">
      <w:pPr>
        <w:pStyle w:val="Heading1"/>
        <w:rPr>
          <w:rFonts w:eastAsia="Times New Roman"/>
          <w:color w:val="auto"/>
        </w:rPr>
      </w:pPr>
      <w:r w:rsidRPr="00E72303">
        <w:rPr>
          <w:color w:val="auto"/>
        </w:rPr>
        <w:t>Data</w:t>
      </w:r>
      <w:r w:rsidR="004F61CA" w:rsidRPr="00E72303">
        <w:rPr>
          <w:color w:val="auto"/>
        </w:rPr>
        <w:t xml:space="preserve"> Description</w:t>
      </w:r>
    </w:p>
    <w:p w14:paraId="6CA7B27B" w14:textId="14AED177" w:rsidR="00246733" w:rsidRPr="00E72303" w:rsidRDefault="00050A83" w:rsidP="007B178E">
      <w:pPr>
        <w:pStyle w:val="1stParagraph"/>
      </w:pPr>
      <w:r w:rsidRPr="00E72303">
        <w:t>The</w:t>
      </w:r>
      <w:r w:rsidR="005225C0" w:rsidRPr="00E72303">
        <w:t xml:space="preserve"> </w:t>
      </w:r>
      <w:proofErr w:type="spellStart"/>
      <w:r w:rsidR="005225C0" w:rsidRPr="00E72303">
        <w:t>MaritzCX</w:t>
      </w:r>
      <w:proofErr w:type="spellEnd"/>
      <w:r w:rsidR="005225C0" w:rsidRPr="00E72303">
        <w:t xml:space="preserve"> vehicle purchase data and the National Household Travel Survey (NHTS) 2017 data were used </w:t>
      </w:r>
      <w:r w:rsidR="00F35207" w:rsidRPr="00E72303">
        <w:t>in our</w:t>
      </w:r>
      <w:r w:rsidR="005225C0" w:rsidRPr="00E72303">
        <w:t xml:space="preserve"> analysis. </w:t>
      </w:r>
      <w:proofErr w:type="spellStart"/>
      <w:r w:rsidR="005225C0" w:rsidRPr="00E72303">
        <w:t>MaritzCX</w:t>
      </w:r>
      <w:proofErr w:type="spellEnd"/>
      <w:r w:rsidR="005225C0" w:rsidRPr="00E72303">
        <w:t xml:space="preserve"> data</w:t>
      </w:r>
      <w:r w:rsidR="0025681A" w:rsidRPr="00E72303">
        <w:t xml:space="preserve">, providing the household vehicle ownership records from the year 2010 to 2018 of 1,813,674 households across the entire United States, was used for </w:t>
      </w:r>
      <w:r w:rsidR="005225C0" w:rsidRPr="00E72303">
        <w:lastRenderedPageBreak/>
        <w:t>vehicle purchase related information</w:t>
      </w:r>
      <w:r w:rsidR="0025681A" w:rsidRPr="00E72303">
        <w:t xml:space="preserve">. It contains information about vehicle </w:t>
      </w:r>
      <w:r w:rsidR="00BF71B5" w:rsidRPr="00E72303">
        <w:t xml:space="preserve">purchase year, vehicle model year, </w:t>
      </w:r>
      <w:r w:rsidR="005225C0" w:rsidRPr="00E72303">
        <w:t xml:space="preserve">fuel type, body type, vehicle make, model, cost, </w:t>
      </w:r>
      <w:r w:rsidR="00BF71B5" w:rsidRPr="00E72303">
        <w:t>and engine characteristics.</w:t>
      </w:r>
      <w:r w:rsidR="005225C0" w:rsidRPr="00E72303">
        <w:t xml:space="preserve"> </w:t>
      </w:r>
      <w:r w:rsidR="00BF71B5" w:rsidRPr="00E72303">
        <w:t>In addition, it provides information about consumers’ age, income, and housing location</w:t>
      </w:r>
      <w:r w:rsidR="00B34A67" w:rsidRPr="00E72303">
        <w:t>s</w:t>
      </w:r>
      <w:r w:rsidR="006E2475" w:rsidRPr="00E72303">
        <w:t xml:space="preserve"> (states and urban/rural)</w:t>
      </w:r>
      <w:r w:rsidR="00BF71B5" w:rsidRPr="00E72303">
        <w:t>.</w:t>
      </w:r>
      <w:r w:rsidR="00132866" w:rsidRPr="00E72303">
        <w:t xml:space="preserve"> </w:t>
      </w:r>
      <w:r w:rsidR="00131D99" w:rsidRPr="00E72303">
        <w:t xml:space="preserve">The </w:t>
      </w:r>
      <w:proofErr w:type="spellStart"/>
      <w:r w:rsidR="00131D99" w:rsidRPr="00E72303">
        <w:t>MaritzCX</w:t>
      </w:r>
      <w:proofErr w:type="spellEnd"/>
      <w:r w:rsidR="00131D99" w:rsidRPr="00E72303">
        <w:t xml:space="preserve"> data encompasses both household level (such as household income, location, and state) and person level (such as age of the customer who bought the car) attributes representing only one member from each household. </w:t>
      </w:r>
      <w:r w:rsidR="000A50B1" w:rsidRPr="00E72303">
        <w:t>On the other hand, the NHTS</w:t>
      </w:r>
      <w:r w:rsidR="006D0DB4" w:rsidRPr="00E72303">
        <w:t xml:space="preserve"> 2017 survey</w:t>
      </w:r>
      <w:r w:rsidR="000A50B1" w:rsidRPr="00E72303">
        <w:t xml:space="preserve"> data was utilized in this study for detailed </w:t>
      </w:r>
      <w:r w:rsidR="00575FBA" w:rsidRPr="00E72303">
        <w:t xml:space="preserve">socio-economic </w:t>
      </w:r>
      <w:r w:rsidR="00735533" w:rsidRPr="00E72303">
        <w:t xml:space="preserve">and spatial </w:t>
      </w:r>
      <w:r w:rsidR="00575FBA" w:rsidRPr="00E72303">
        <w:t>characteristics</w:t>
      </w:r>
      <w:r w:rsidR="000A50B1" w:rsidRPr="00E72303">
        <w:t xml:space="preserve"> including, household size, number of working members, number of adults, household vehicle availability, </w:t>
      </w:r>
      <w:r w:rsidR="00735533" w:rsidRPr="00E72303">
        <w:t xml:space="preserve">and </w:t>
      </w:r>
      <w:r w:rsidR="000A50B1" w:rsidRPr="00E72303">
        <w:t>educational attainment</w:t>
      </w:r>
      <w:r w:rsidR="006E2475" w:rsidRPr="00E72303">
        <w:t xml:space="preserve"> of the household members</w:t>
      </w:r>
      <w:r w:rsidR="000A50B1" w:rsidRPr="00E72303">
        <w:t>.</w:t>
      </w:r>
      <w:r w:rsidR="007C1414" w:rsidRPr="00E72303">
        <w:t xml:space="preserve"> This dataset contains the records of </w:t>
      </w:r>
      <w:r w:rsidR="00C04C4C" w:rsidRPr="00E72303">
        <w:t>118,100</w:t>
      </w:r>
      <w:r w:rsidR="007C1414" w:rsidRPr="00E72303">
        <w:t xml:space="preserve"> households representing the characteristics of</w:t>
      </w:r>
      <w:r w:rsidR="00C04C4C" w:rsidRPr="00E72303">
        <w:t xml:space="preserve"> 103,091,506</w:t>
      </w:r>
      <w:r w:rsidR="00160053" w:rsidRPr="00E72303">
        <w:t xml:space="preserve"> </w:t>
      </w:r>
      <w:r w:rsidR="007C1414" w:rsidRPr="00E72303">
        <w:t>households across the entire U</w:t>
      </w:r>
      <w:r w:rsidR="00BD62D3" w:rsidRPr="00E72303">
        <w:t xml:space="preserve">nited </w:t>
      </w:r>
      <w:r w:rsidR="007C1414" w:rsidRPr="00E72303">
        <w:t>S</w:t>
      </w:r>
      <w:r w:rsidR="00BD62D3" w:rsidRPr="00E72303">
        <w:t>tates</w:t>
      </w:r>
      <w:r w:rsidR="007C1414" w:rsidRPr="00E72303">
        <w:t>.</w:t>
      </w:r>
    </w:p>
    <w:p w14:paraId="5165A925" w14:textId="77777777" w:rsidR="007B178E" w:rsidRPr="00E72303" w:rsidRDefault="007B178E" w:rsidP="007B178E">
      <w:pPr>
        <w:pStyle w:val="1stParagraph"/>
      </w:pPr>
    </w:p>
    <w:p w14:paraId="34A1A132" w14:textId="18DC627E" w:rsidR="006E2475" w:rsidRPr="00E72303" w:rsidRDefault="006E2475" w:rsidP="007B178E">
      <w:pPr>
        <w:pStyle w:val="Heading2"/>
        <w:rPr>
          <w:color w:val="auto"/>
        </w:rPr>
      </w:pPr>
      <w:r w:rsidRPr="00E72303">
        <w:rPr>
          <w:color w:val="auto"/>
        </w:rPr>
        <w:t>Dependent Variable</w:t>
      </w:r>
    </w:p>
    <w:p w14:paraId="5B784D65" w14:textId="36C72EA4" w:rsidR="00365099" w:rsidRPr="00E72303" w:rsidRDefault="006E2475" w:rsidP="007B178E">
      <w:pPr>
        <w:pStyle w:val="1stParagraph"/>
      </w:pPr>
      <w:r w:rsidRPr="00E72303">
        <w:t xml:space="preserve">This study </w:t>
      </w:r>
      <w:r w:rsidR="00C91985" w:rsidRPr="00E72303">
        <w:t>consisted of</w:t>
      </w:r>
      <w:r w:rsidRPr="00E72303">
        <w:t xml:space="preserve"> a </w:t>
      </w:r>
      <w:r w:rsidR="0004139B" w:rsidRPr="00E72303">
        <w:t>two-level</w:t>
      </w:r>
      <w:r w:rsidRPr="00E72303">
        <w:t xml:space="preserve"> modeling approach.</w:t>
      </w:r>
      <w:r w:rsidR="00575FBA" w:rsidRPr="00E72303">
        <w:t xml:space="preserve"> In the </w:t>
      </w:r>
      <w:r w:rsidR="00EA469D" w:rsidRPr="00E72303">
        <w:t>first level</w:t>
      </w:r>
      <w:r w:rsidR="00575FBA" w:rsidRPr="00E72303">
        <w:t>, purchasing of a new car was estimated based on consumers current socio-economic characteristics</w:t>
      </w:r>
      <w:r w:rsidR="00BB196B" w:rsidRPr="00E72303">
        <w:t>. For this model,</w:t>
      </w:r>
      <w:r w:rsidR="00C13221" w:rsidRPr="00E72303">
        <w:t xml:space="preserve"> </w:t>
      </w:r>
      <w:r w:rsidR="00491F87" w:rsidRPr="00E72303">
        <w:t xml:space="preserve">households that acquired a new vehicle are assigned a value of one and </w:t>
      </w:r>
      <w:r w:rsidR="00DA1F46" w:rsidRPr="00E72303">
        <w:t>the rest</w:t>
      </w:r>
      <w:r w:rsidR="00491F87" w:rsidRPr="00E72303">
        <w:t xml:space="preserve"> of the households are assigned a value of zero. </w:t>
      </w:r>
      <w:r w:rsidR="00BB196B" w:rsidRPr="00E72303">
        <w:t xml:space="preserve">In our analysis, vehicles of model year 2016 and 2017, and </w:t>
      </w:r>
      <w:r w:rsidR="00EA469D" w:rsidRPr="00E72303">
        <w:t xml:space="preserve">acquired </w:t>
      </w:r>
      <w:r w:rsidR="00BB196B" w:rsidRPr="00E72303">
        <w:t>in 2017 in NHTS 2017 data were considered as new vehicles.</w:t>
      </w:r>
      <w:r w:rsidR="00051A57" w:rsidRPr="00E72303">
        <w:t xml:space="preserve"> To </w:t>
      </w:r>
      <w:r w:rsidR="00302482" w:rsidRPr="00E72303">
        <w:t xml:space="preserve">ensure that model overfitting is not an issue, </w:t>
      </w:r>
      <w:r w:rsidR="002F5711" w:rsidRPr="00E72303">
        <w:t>25</w:t>
      </w:r>
      <w:r w:rsidR="00966BC2" w:rsidRPr="00E72303">
        <w:t>,000</w:t>
      </w:r>
      <w:r w:rsidR="00051A57" w:rsidRPr="00E72303">
        <w:t xml:space="preserve"> out of 118,100</w:t>
      </w:r>
      <w:r w:rsidR="002F5711" w:rsidRPr="00E72303">
        <w:t xml:space="preserve"> household records were randomly chosen </w:t>
      </w:r>
      <w:r w:rsidR="00051A57" w:rsidRPr="00E72303">
        <w:t>for modeling purposes. T</w:t>
      </w:r>
      <w:r w:rsidR="00BB196B" w:rsidRPr="00E72303">
        <w:t>he share of new vehicle</w:t>
      </w:r>
      <w:r w:rsidR="00743B46" w:rsidRPr="00E72303">
        <w:t xml:space="preserve">s in the </w:t>
      </w:r>
      <w:r w:rsidR="00051A57" w:rsidRPr="00E72303">
        <w:t xml:space="preserve">estimation </w:t>
      </w:r>
      <w:r w:rsidR="00743B46" w:rsidRPr="00E72303">
        <w:t xml:space="preserve">dataset was found </w:t>
      </w:r>
      <w:r w:rsidR="00DA1F46" w:rsidRPr="00E72303">
        <w:t>to be</w:t>
      </w:r>
      <w:r w:rsidR="002F5711" w:rsidRPr="00E72303">
        <w:t xml:space="preserve"> 12.3%.</w:t>
      </w:r>
    </w:p>
    <w:p w14:paraId="62EBCD0D" w14:textId="3E648313" w:rsidR="002A18AC" w:rsidRPr="00E72303" w:rsidRDefault="00365099" w:rsidP="007B178E">
      <w:pPr>
        <w:rPr>
          <w:rFonts w:cs="Times New Roman"/>
          <w:szCs w:val="24"/>
          <w:shd w:val="clear" w:color="auto" w:fill="FFFFFF"/>
        </w:rPr>
      </w:pPr>
      <w:r w:rsidRPr="00E72303">
        <w:t xml:space="preserve">In the </w:t>
      </w:r>
      <w:r w:rsidR="00EA469D" w:rsidRPr="00E72303">
        <w:t>second level</w:t>
      </w:r>
      <w:r w:rsidRPr="00E72303">
        <w:t xml:space="preserve">, the </w:t>
      </w:r>
      <w:r w:rsidR="00334F4A" w:rsidRPr="00E72303">
        <w:t xml:space="preserve">vehicle purchase decision </w:t>
      </w:r>
      <w:r w:rsidR="00EA469D" w:rsidRPr="00E72303">
        <w:t xml:space="preserve">was </w:t>
      </w:r>
      <w:r w:rsidR="00B1602D" w:rsidRPr="00E72303">
        <w:t>estimated</w:t>
      </w:r>
      <w:r w:rsidR="00B07CB6" w:rsidRPr="00E72303">
        <w:t xml:space="preserve"> for</w:t>
      </w:r>
      <w:r w:rsidR="00EA469D" w:rsidRPr="00E72303">
        <w:t xml:space="preserve"> </w:t>
      </w:r>
      <w:r w:rsidR="00334F4A" w:rsidRPr="00E72303">
        <w:t>a two-dimensional dependent variable</w:t>
      </w:r>
      <w:r w:rsidR="00BA2BD3" w:rsidRPr="00E72303">
        <w:t xml:space="preserve"> – v</w:t>
      </w:r>
      <w:r w:rsidR="00334F4A" w:rsidRPr="00E72303">
        <w:t>ehicle type and fuel type</w:t>
      </w:r>
      <w:r w:rsidR="00D165C8" w:rsidRPr="00E72303">
        <w:t>.</w:t>
      </w:r>
      <w:r w:rsidR="00353C38" w:rsidRPr="00E72303">
        <w:t xml:space="preserve"> In our study, the variable of interest is the combination of vehicle types and fuel types, and the dependent variable is categorized into 8 categories (4 vehicle types x 2 fuel types). However, presence of alternatives with a very small share can affect the estimation of parameters for the smaller share alternatives. To circumvent this, we employ a dimension specific estimation approach for independent variable impacts. To elaborate, we estimate the impact of independent variables for vehicle type and fuel type separately. Then, after estimation, the impact of any alternative can be computed as the sum of the parameters for each dimension. This approach, sometimes referred to as portfolio modeling, is commonly employed for joint choice modeling in transportation (such as mode and departure time choice, mode and activity type choice; see</w:t>
      </w:r>
      <w:r w:rsidR="0018762C" w:rsidRPr="00E72303">
        <w:t xml:space="preserve"> </w:t>
      </w:r>
      <w:r w:rsidR="0018762C" w:rsidRPr="00E72303">
        <w:fldChar w:fldCharType="begin" w:fldLock="1"/>
      </w:r>
      <w:r w:rsidR="00151AD7" w:rsidRPr="00E72303">
        <w:instrText>ADDIN CSL_CITATION {"citationItems":[{"id":"ITEM-1","itemData":{"DOI":"10.3141/2495-04","ISSN":"21694052","abstract":"This study examined the relationship between four individual-level travel choice processes of daily activity: spatial flexibility of the activity, temporal flexibility of the activity, vehicle choice for the activity, and primary driver (for auto users). Activity flexibility (spatial and temporal) has been suggested as a precursor to the travel pattern observed for an activity. This study examined the impact of activity flexibility through unique data drawn from Quebec City, Quebec, Canada from 2003 to 2006. In traditional literature on travel behavior, vehicle fleet decisions have been examined as a long-term choice with annual usage metrics. However, the long-term vehicle usage observed (as studied in the literature) is an aggregation of the household's yearly vehicle type and usage behavior. Only recently have researchers begun to consider decisions about vehicle usage (type and mileage) as a short-term decision in travel behavior models. By examining short-term vehicle usage, this study explored, at a disaggregate level, the interaction of activity behavior (defined as flexibility) and vehicle type choice. A panel mixed multinomial logit model was applied to analyze the four choices within the decision process to account for the intrinsic unobserved taste preferences across individuals. The analysis results revealed that several individual and household sociodemographic characteristics, residential location, and activity attributes, as well as contextual variables, influenced the packaged choice of temporal flexibility, spatial flexibility, vehicle type choice, and primary driver selection. The presence of common unobserved correlation across various alternatives was also incorporated.","author":[{"dropping-particle":"","family":"Anowar","given":"Sabreena","non-dropping-particle":"","parse-names":false,"suffix":""},{"dropping-particle":"","family":"Eluru","given":"Naveen","non-dropping-particle":"","parse-names":false,"suffix":""},{"dropping-particle":"","family":"Miranda-Moreno","given":"Luis F.","non-dropping-particle":"","parse-names":false,"suffix":""},{"dropping-particle":"","family":"Lee-Gosselin","given":"Martin","non-dropping-particle":"","parse-names":false,"suffix":""}],"container-title":"Transportation Research Record","id":"ITEM-1","issued":{"date-parts":[["2015"]]},"page":"32-41","title":"Joint econometric analysis of temporal and spatial flexibility of activities, vehicle type choice, and primary driver selection","type":"article-journal","volume":"2525"},"uris":["http://www.mendeley.com/documents/?uuid=e574576f-3836-4ebf-bf04-20e7c61395bd"]},{"id":"ITEM-2","itemData":{"DOI":"10.1179/1942787513Y.0000000001","ISSN":"19427875","abstract":"There is increasing recognition that the choice of vehicle type and usage decisions form a crucial element in understanding transport-related greenhouse gas (GHG) emissions. The traditional approach to examining these dimensions is focused on vehicle fleet purchase decisions (number and type) and annual usage. These studies aggregate the overall vehicle usage as an annual decision, whereas in reality households face the choice of vehicle type for out-of-home activity participation on a daily basis. With the recent emphasis on activity-travel models, there is growing recognition that daily vehicle usage choice is affected by activity purpose choice and the travel group for the activity. This study develops a representative framework to examine daily vehicle type and usage decisions while incorporating the influence of activity type and accompaniment type choices. In the authors' approach, travel mode choice by considering the various travel mode alternatives (transit, walking/bicycling) and replacing the private vehicle alternative with various vehicle type options that are available to individuals is included. Thus the three choice dimensions, travel mode that implicitly considers vehicle type, activity purpose, and accompaniment type, are jointly analyzed by generating combination alternatives. The mixed multiple-discrete continuous extreme value (MMDCEV) framework provides an elegant modeling approach to study these choices. In the authors' study, the discrete component is formed as a combination of travel mode, activity purpose, and accompaniment type while mileage for each combination provides the continuous component. The proposed model approach is empirically tested for workers and nonworkers in New York region using the National Household Travel Survey (NHTS) 2009. The model results provide insights on how socio-demographics, location, and temporal attributes influence daily vehicle type and usage, activity type, and accompaniment type decisions. © 2014 W. S. Maney &amp; Son Ltd.","author":[{"dropping-particle":"","family":"Imani","given":"Ahmadreza Faghih","non-dropping-particle":"","parse-names":false,"suffix":""},{"dropping-particle":"","family":"Ghafghazi","given":"Golnaz","non-dropping-particle":"","parse-names":false,"suffix":""},{"dropping-particle":"","family":"Eluru","given":"Naveen","non-dropping-particle":"","parse-names":false,"suffix":""},{"dropping-particle":"","family":"Pinjari","given":"Abdul R.","non-dropping-particle":"","parse-names":false,"suffix":""}],"container-title":"Transportation Letters","id":"ITEM-2","issue":"1","issued":{"date-parts":[["2014"]]},"page":"1-13","title":"A multiple-discrete approach for examining vehicle type use for daily activity participation decisions","type":"article-journal","volume":"6"},"uris":["http://www.mendeley.com/documents/?uuid=2191a9c3-8734-48cd-b776-ad317c1efe7e"]}],"mendeley":{"formattedCitation":"(Anowar et al., 2015; Imani et al., 2014)","plainTextFormattedCitation":"(Anowar et al., 2015; Imani et al., 2014)","previouslyFormattedCitation":"(Anowar et al., 2015; Imani et al., 2014)"},"properties":{"noteIndex":0},"schema":"https://github.com/citation-style-language/schema/raw/master/csl-citation.json"}</w:instrText>
      </w:r>
      <w:r w:rsidR="0018762C" w:rsidRPr="00E72303">
        <w:fldChar w:fldCharType="separate"/>
      </w:r>
      <w:r w:rsidR="00151AD7" w:rsidRPr="00E72303">
        <w:rPr>
          <w:noProof/>
        </w:rPr>
        <w:t>(Anowar et al., 2015; Imani et al., 2014)</w:t>
      </w:r>
      <w:r w:rsidR="0018762C" w:rsidRPr="00E72303">
        <w:fldChar w:fldCharType="end"/>
      </w:r>
      <w:r w:rsidR="00353C38" w:rsidRPr="00E72303">
        <w:t xml:space="preserve"> for examples of such approaches). </w:t>
      </w:r>
      <w:r w:rsidR="00AA7CB3" w:rsidRPr="00E72303">
        <w:t xml:space="preserve">Since </w:t>
      </w:r>
      <w:r w:rsidR="00CB6F70" w:rsidRPr="00E72303">
        <w:t xml:space="preserve">the estimation was conducted for only the new vehicles, vehicles of model year 2016 and 2017, and bought in 2017 in </w:t>
      </w:r>
      <w:proofErr w:type="spellStart"/>
      <w:r w:rsidR="00CB6F70" w:rsidRPr="00E72303">
        <w:t>MaritzCX</w:t>
      </w:r>
      <w:proofErr w:type="spellEnd"/>
      <w:r w:rsidR="00CB6F70" w:rsidRPr="00E72303">
        <w:t xml:space="preserve"> data were considered for this analysis. </w:t>
      </w:r>
      <w:r w:rsidR="00966BC2" w:rsidRPr="00E72303">
        <w:t>Based on this criterion, a</w:t>
      </w:r>
      <w:r w:rsidR="00CB6F70" w:rsidRPr="00E72303">
        <w:t xml:space="preserve">mong </w:t>
      </w:r>
      <w:r w:rsidR="00966BC2" w:rsidRPr="00E72303">
        <w:t xml:space="preserve">1,813,674 </w:t>
      </w:r>
      <w:r w:rsidR="007B6F79" w:rsidRPr="00E72303">
        <w:t xml:space="preserve">customer </w:t>
      </w:r>
      <w:r w:rsidR="00CB6F70" w:rsidRPr="00E72303">
        <w:t>records</w:t>
      </w:r>
      <w:r w:rsidR="00EF3EA0" w:rsidRPr="00E72303">
        <w:t xml:space="preserve"> 187,092</w:t>
      </w:r>
      <w:r w:rsidR="00966BC2" w:rsidRPr="00E72303">
        <w:t xml:space="preserve"> </w:t>
      </w:r>
      <w:r w:rsidR="00075A7D" w:rsidRPr="00E72303">
        <w:t xml:space="preserve">customers </w:t>
      </w:r>
      <w:r w:rsidR="00966BC2" w:rsidRPr="00E72303">
        <w:t xml:space="preserve">were found to buy a new car. </w:t>
      </w:r>
      <w:r w:rsidR="00EF3EA0" w:rsidRPr="00E72303">
        <w:t xml:space="preserve">After eliminating the </w:t>
      </w:r>
      <w:r w:rsidR="006C58BB" w:rsidRPr="00E72303">
        <w:t>cases</w:t>
      </w:r>
      <w:r w:rsidR="00EF3EA0" w:rsidRPr="00E72303">
        <w:t xml:space="preserve"> with missing values</w:t>
      </w:r>
      <w:r w:rsidR="00855A00" w:rsidRPr="00E72303">
        <w:t>,</w:t>
      </w:r>
      <w:r w:rsidR="00EF3EA0" w:rsidRPr="00E72303">
        <w:t xml:space="preserve"> 103,385 </w:t>
      </w:r>
      <w:r w:rsidR="00075A7D" w:rsidRPr="00E72303">
        <w:t xml:space="preserve">customer </w:t>
      </w:r>
      <w:r w:rsidR="00EF3EA0" w:rsidRPr="00E72303">
        <w:t xml:space="preserve">records were retained in the study dataset. </w:t>
      </w:r>
      <w:r w:rsidR="00966BC2" w:rsidRPr="00E72303">
        <w:t xml:space="preserve">For the data fusion and modeling purpose 5,000 </w:t>
      </w:r>
      <w:r w:rsidR="00DB5A15" w:rsidRPr="00E72303">
        <w:t xml:space="preserve">customers </w:t>
      </w:r>
      <w:r w:rsidR="00966BC2" w:rsidRPr="00E72303">
        <w:t xml:space="preserve">with a new car were randomly selected from the </w:t>
      </w:r>
      <w:proofErr w:type="spellStart"/>
      <w:r w:rsidR="00966BC2" w:rsidRPr="00E72303">
        <w:t>MaritzCX</w:t>
      </w:r>
      <w:proofErr w:type="spellEnd"/>
      <w:r w:rsidR="00966BC2" w:rsidRPr="00E72303">
        <w:t xml:space="preserve"> data</w:t>
      </w:r>
      <w:r w:rsidR="007B178E" w:rsidRPr="00E72303">
        <w:rPr>
          <w:rStyle w:val="FootnoteReference"/>
        </w:rPr>
        <w:footnoteReference w:id="5"/>
      </w:r>
      <w:r w:rsidR="0023160D" w:rsidRPr="00E72303">
        <w:t>.</w:t>
      </w:r>
      <w:r w:rsidR="00B27BDE" w:rsidRPr="00E72303">
        <w:t xml:space="preserve"> </w:t>
      </w:r>
      <w:r w:rsidR="0037236A" w:rsidRPr="00E72303">
        <w:t>Further, t</w:t>
      </w:r>
      <w:r w:rsidR="002A18AC" w:rsidRPr="00E72303">
        <w:t xml:space="preserve">he distributions of various fuel types and vehicle types </w:t>
      </w:r>
      <w:r w:rsidR="00684C1A" w:rsidRPr="00E72303">
        <w:t xml:space="preserve">are </w:t>
      </w:r>
      <w:r w:rsidR="002A18AC" w:rsidRPr="00E72303">
        <w:t xml:space="preserve">shown in Figure </w:t>
      </w:r>
      <w:r w:rsidR="003A3E4C" w:rsidRPr="00E72303">
        <w:t>3</w:t>
      </w:r>
      <w:r w:rsidR="002A18AC" w:rsidRPr="00E72303">
        <w:t xml:space="preserve">. </w:t>
      </w:r>
      <w:r w:rsidR="0023160D" w:rsidRPr="00E72303">
        <w:t xml:space="preserve">It is </w:t>
      </w:r>
      <w:r w:rsidR="001B28E2" w:rsidRPr="00E72303">
        <w:t>found</w:t>
      </w:r>
      <w:r w:rsidR="0023160D" w:rsidRPr="00E72303">
        <w:t xml:space="preserve"> that</w:t>
      </w:r>
      <w:r w:rsidR="002F7560" w:rsidRPr="00E72303">
        <w:t xml:space="preserve"> gasoline operated vehicles hold the highe</w:t>
      </w:r>
      <w:r w:rsidR="00EA469D" w:rsidRPr="00E72303">
        <w:t>st</w:t>
      </w:r>
      <w:r w:rsidR="002F7560" w:rsidRPr="00E72303">
        <w:t xml:space="preserve"> </w:t>
      </w:r>
      <w:r w:rsidR="002F7560" w:rsidRPr="00E72303">
        <w:lastRenderedPageBreak/>
        <w:t>share</w:t>
      </w:r>
      <w:r w:rsidR="006C3C00" w:rsidRPr="00E72303">
        <w:t xml:space="preserve"> of 86.76% </w:t>
      </w:r>
      <w:r w:rsidR="002F7560" w:rsidRPr="00E72303">
        <w:t xml:space="preserve">in fuel type distribution, </w:t>
      </w:r>
      <w:r w:rsidR="00684C1A" w:rsidRPr="00E72303">
        <w:t xml:space="preserve">while </w:t>
      </w:r>
      <w:r w:rsidR="006C3C00" w:rsidRPr="00E72303">
        <w:t>utility vehicles</w:t>
      </w:r>
      <w:r w:rsidR="002F7560" w:rsidRPr="00E72303">
        <w:t xml:space="preserve"> hold the higher share</w:t>
      </w:r>
      <w:r w:rsidR="006C3C00" w:rsidRPr="00E72303">
        <w:t xml:space="preserve"> of 53.40% </w:t>
      </w:r>
      <w:r w:rsidR="002F7560" w:rsidRPr="00E72303">
        <w:t>in vehicle type distribution.</w:t>
      </w:r>
      <w:r w:rsidR="0071156B" w:rsidRPr="00E72303">
        <w:t xml:space="preserve"> The description of the dependent variables </w:t>
      </w:r>
      <w:r w:rsidR="00000355" w:rsidRPr="00E72303">
        <w:t>is</w:t>
      </w:r>
      <w:r w:rsidR="0071156B" w:rsidRPr="00E72303">
        <w:t xml:space="preserve"> </w:t>
      </w:r>
      <w:r w:rsidR="000B3870" w:rsidRPr="00E72303">
        <w:t>presented</w:t>
      </w:r>
      <w:r w:rsidR="0071156B" w:rsidRPr="00E72303">
        <w:t xml:space="preserve"> in Table 1.</w:t>
      </w:r>
    </w:p>
    <w:p w14:paraId="3FB5515D" w14:textId="77777777" w:rsidR="007B178E" w:rsidRPr="00E72303" w:rsidRDefault="007B178E" w:rsidP="007B178E"/>
    <w:p w14:paraId="32DA79E7" w14:textId="4FB3B83C" w:rsidR="002A18AC" w:rsidRPr="00E72303" w:rsidRDefault="002A18AC" w:rsidP="007B178E">
      <w:pPr>
        <w:pStyle w:val="Figure"/>
      </w:pPr>
      <w:r w:rsidRPr="00E72303">
        <w:drawing>
          <wp:inline distT="0" distB="0" distL="0" distR="0" wp14:anchorId="7A1D8DC4" wp14:editId="753FA458">
            <wp:extent cx="4903396"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034717" cy="1682176"/>
                    </a:xfrm>
                    <a:prstGeom prst="rect">
                      <a:avLst/>
                    </a:prstGeom>
                  </pic:spPr>
                </pic:pic>
              </a:graphicData>
            </a:graphic>
          </wp:inline>
        </w:drawing>
      </w:r>
    </w:p>
    <w:p w14:paraId="74F8E423" w14:textId="77777777" w:rsidR="00AB4153" w:rsidRPr="00E72303" w:rsidRDefault="002A18AC" w:rsidP="007B178E">
      <w:pPr>
        <w:pStyle w:val="FigureCaption"/>
      </w:pPr>
      <w:r w:rsidRPr="00E72303">
        <w:t xml:space="preserve">Figure </w:t>
      </w:r>
      <w:r w:rsidR="003A3E4C" w:rsidRPr="00E72303">
        <w:t>3</w:t>
      </w:r>
      <w:r w:rsidR="00D93946" w:rsidRPr="00E72303">
        <w:t>:</w:t>
      </w:r>
      <w:r w:rsidRPr="00E72303">
        <w:t xml:space="preserve"> Distribution of Dependent Variables</w:t>
      </w:r>
    </w:p>
    <w:p w14:paraId="6E4847D5" w14:textId="77777777" w:rsidR="00107DD4" w:rsidRPr="00E72303" w:rsidRDefault="00107DD4" w:rsidP="00107DD4">
      <w:pPr>
        <w:pStyle w:val="1stParagraph"/>
      </w:pPr>
    </w:p>
    <w:p w14:paraId="7DC53985" w14:textId="77777777" w:rsidR="00107DD4" w:rsidRPr="00E72303" w:rsidRDefault="00107DD4" w:rsidP="00107DD4">
      <w:pPr>
        <w:pStyle w:val="Heading2"/>
        <w:rPr>
          <w:color w:val="auto"/>
        </w:rPr>
      </w:pPr>
      <w:r w:rsidRPr="00E72303">
        <w:rPr>
          <w:color w:val="auto"/>
        </w:rPr>
        <w:t>Independent Variable</w:t>
      </w:r>
    </w:p>
    <w:p w14:paraId="123C930A" w14:textId="77777777" w:rsidR="00107DD4" w:rsidRPr="00E72303" w:rsidRDefault="00107DD4" w:rsidP="00107DD4">
      <w:pPr>
        <w:pStyle w:val="1stParagraph"/>
        <w:rPr>
          <w:rFonts w:cs="Times New Roman"/>
          <w:szCs w:val="24"/>
          <w:shd w:val="clear" w:color="auto" w:fill="FFFFFF"/>
        </w:rPr>
      </w:pPr>
      <w:r w:rsidRPr="00E72303">
        <w:t xml:space="preserve">A host of independent variables from four different categories: 1) vehicle characteristics and 2) household economic characteristics, 3) household demographic characteristics, and 4) spatial characteristics are utilized in this study. The vehicle characteristics data were drawn from </w:t>
      </w:r>
      <w:proofErr w:type="spellStart"/>
      <w:r w:rsidRPr="00E72303">
        <w:t>MaritzCX</w:t>
      </w:r>
      <w:proofErr w:type="spellEnd"/>
      <w:r w:rsidRPr="00E72303">
        <w:t xml:space="preserve"> data. All other variables are drawn from NHTS data and considered through the fusion process. In our study, the fusion model is developed by fusing the NHTS data to the </w:t>
      </w:r>
      <w:proofErr w:type="spellStart"/>
      <w:r w:rsidRPr="00E72303">
        <w:t>MaritzCX</w:t>
      </w:r>
      <w:proofErr w:type="spellEnd"/>
      <w:r w:rsidRPr="00E72303">
        <w:t xml:space="preserve"> data. Among 118,100 households in the NHTS data, 14,274 records are selected for fusion purpose based on the new vehicle criterion. Considering the data resolution, a dataset of 28,995 household members from the 14,274 households in NHTS data is employed to fuse with the </w:t>
      </w:r>
      <w:proofErr w:type="spellStart"/>
      <w:r w:rsidRPr="00E72303">
        <w:t>MaritzCX</w:t>
      </w:r>
      <w:proofErr w:type="spellEnd"/>
      <w:r w:rsidRPr="00E72303">
        <w:t xml:space="preserve"> data. </w:t>
      </w:r>
      <w:r w:rsidRPr="00E72303">
        <w:rPr>
          <w:rFonts w:cs="Times New Roman"/>
          <w:szCs w:val="24"/>
          <w:shd w:val="clear" w:color="auto" w:fill="FFFFFF"/>
        </w:rPr>
        <w:t xml:space="preserve">The resampling procedure of both databases is presented in Figure 4. </w:t>
      </w:r>
      <w:r w:rsidRPr="00E72303">
        <w:t xml:space="preserve">The descriptive statistics of the independent variables, used in the model specification, were presented in Table 1. The common variables across </w:t>
      </w:r>
      <w:proofErr w:type="spellStart"/>
      <w:r w:rsidRPr="00E72303">
        <w:t>MaritzCX</w:t>
      </w:r>
      <w:proofErr w:type="spellEnd"/>
      <w:r w:rsidRPr="00E72303">
        <w:t xml:space="preserve"> and NHTS data were identified in Figure 5 (variables with results from both datasets). In the model estimation process several functional forms of the variables were tested and the final specification was based on statistical significance at the 90% level.</w:t>
      </w:r>
    </w:p>
    <w:p w14:paraId="46A43402" w14:textId="77777777" w:rsidR="00107DD4" w:rsidRPr="00E72303" w:rsidRDefault="00107DD4" w:rsidP="00107DD4">
      <w:pPr>
        <w:pStyle w:val="1stParagraph"/>
        <w:sectPr w:rsidR="00107DD4" w:rsidRPr="00E72303" w:rsidSect="00A56B72">
          <w:pgSz w:w="12240" w:h="15840"/>
          <w:pgMar w:top="1440" w:right="1440" w:bottom="1440" w:left="1440" w:header="720" w:footer="720" w:gutter="0"/>
          <w:lnNumType w:countBy="1"/>
          <w:cols w:space="720"/>
          <w:docGrid w:linePitch="360"/>
        </w:sectPr>
      </w:pPr>
    </w:p>
    <w:p w14:paraId="09650E72" w14:textId="7A51445F" w:rsidR="00C91985" w:rsidRPr="00E72303" w:rsidRDefault="00AA04F9" w:rsidP="007B178E">
      <w:pPr>
        <w:pStyle w:val="FigureCaption"/>
      </w:pPr>
      <w:r w:rsidRPr="00E72303">
        <w:rPr>
          <w:noProof/>
        </w:rPr>
        <w:lastRenderedPageBreak/>
        <w:drawing>
          <wp:inline distT="0" distB="0" distL="0" distR="0" wp14:anchorId="1AB8E567" wp14:editId="05D02C24">
            <wp:extent cx="7978987" cy="4488180"/>
            <wp:effectExtent l="0" t="0" r="3175" b="7620"/>
            <wp:docPr id="482281615" name="Picture 1" descr="A diagram of a vehicle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81615" name="Picture 1" descr="A diagram of a vehicle mode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984383" cy="4491215"/>
                    </a:xfrm>
                    <a:prstGeom prst="rect">
                      <a:avLst/>
                    </a:prstGeom>
                  </pic:spPr>
                </pic:pic>
              </a:graphicData>
            </a:graphic>
          </wp:inline>
        </w:drawing>
      </w:r>
    </w:p>
    <w:p w14:paraId="014AEAED" w14:textId="374F5183" w:rsidR="00AA04F9" w:rsidRPr="00E72303" w:rsidRDefault="00A75B30" w:rsidP="007B178E">
      <w:pPr>
        <w:pStyle w:val="FigureCaption"/>
      </w:pPr>
      <w:r w:rsidRPr="00E72303">
        <w:t xml:space="preserve">Figure 4: Resampling procedure of the </w:t>
      </w:r>
      <w:proofErr w:type="spellStart"/>
      <w:r w:rsidRPr="00E72303">
        <w:t>MaritzCX</w:t>
      </w:r>
      <w:proofErr w:type="spellEnd"/>
      <w:r w:rsidRPr="00E72303">
        <w:t xml:space="preserve"> and NHTS datas</w:t>
      </w:r>
      <w:r w:rsidR="009535C4" w:rsidRPr="00E72303">
        <w:t>ets</w:t>
      </w:r>
    </w:p>
    <w:p w14:paraId="6149B998" w14:textId="50B80ACD" w:rsidR="009535C4" w:rsidRPr="00E72303" w:rsidRDefault="009535C4" w:rsidP="007B178E">
      <w:pPr>
        <w:pStyle w:val="FigureCaption"/>
        <w:jc w:val="both"/>
        <w:rPr>
          <w:b w:val="0"/>
          <w:bCs w:val="0"/>
        </w:rPr>
      </w:pPr>
    </w:p>
    <w:p w14:paraId="67775507" w14:textId="77777777" w:rsidR="009535C4" w:rsidRPr="00E72303" w:rsidRDefault="009535C4" w:rsidP="007B178E">
      <w:pPr>
        <w:pStyle w:val="FigureCaption"/>
        <w:rPr>
          <w:b w:val="0"/>
          <w:bCs w:val="0"/>
        </w:rPr>
        <w:sectPr w:rsidR="009535C4" w:rsidRPr="00E72303" w:rsidSect="009535C4">
          <w:pgSz w:w="15840" w:h="12240" w:orient="landscape"/>
          <w:pgMar w:top="1440" w:right="1440" w:bottom="1440" w:left="1440" w:header="720" w:footer="720" w:gutter="0"/>
          <w:lnNumType w:countBy="1"/>
          <w:cols w:space="720"/>
          <w:docGrid w:linePitch="360"/>
        </w:sectPr>
      </w:pPr>
    </w:p>
    <w:p w14:paraId="5E0001D1" w14:textId="4BB754A1" w:rsidR="0003194E" w:rsidRPr="00E72303" w:rsidRDefault="00D92D09" w:rsidP="007B178E">
      <w:pPr>
        <w:pStyle w:val="1stParagraph"/>
        <w:jc w:val="center"/>
      </w:pPr>
      <w:r w:rsidRPr="00E72303">
        <w:rPr>
          <w:noProof/>
        </w:rPr>
        <w:lastRenderedPageBreak/>
        <w:drawing>
          <wp:inline distT="0" distB="0" distL="0" distR="0" wp14:anchorId="53368226" wp14:editId="17B941A1">
            <wp:extent cx="5425440" cy="7446645"/>
            <wp:effectExtent l="0" t="0" r="3810" b="1905"/>
            <wp:docPr id="81702417" name="Chart 1">
              <a:extLst xmlns:a="http://schemas.openxmlformats.org/drawingml/2006/main">
                <a:ext uri="{FF2B5EF4-FFF2-40B4-BE49-F238E27FC236}">
                  <a16:creationId xmlns:a16="http://schemas.microsoft.com/office/drawing/2014/main" id="{D6B6F5B9-295F-02D8-BD1A-AEEC37B89D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6F7740" w14:textId="425B9E2F" w:rsidR="0003194E" w:rsidRPr="00E72303" w:rsidRDefault="00141D7F" w:rsidP="007B178E">
      <w:pPr>
        <w:pStyle w:val="1stParagraph"/>
        <w:jc w:val="center"/>
        <w:rPr>
          <w:b/>
          <w:bCs/>
        </w:rPr>
      </w:pPr>
      <w:r w:rsidRPr="00E72303">
        <w:rPr>
          <w:b/>
          <w:bCs/>
        </w:rPr>
        <w:t xml:space="preserve">Figure </w:t>
      </w:r>
      <w:r w:rsidR="00F2467C" w:rsidRPr="00E72303">
        <w:rPr>
          <w:b/>
          <w:bCs/>
        </w:rPr>
        <w:t>5</w:t>
      </w:r>
      <w:r w:rsidRPr="00E72303">
        <w:rPr>
          <w:b/>
          <w:bCs/>
        </w:rPr>
        <w:t xml:space="preserve">: Mean of variables in </w:t>
      </w:r>
      <w:proofErr w:type="spellStart"/>
      <w:r w:rsidRPr="00E72303">
        <w:rPr>
          <w:b/>
          <w:bCs/>
        </w:rPr>
        <w:t>MaritzCX</w:t>
      </w:r>
      <w:proofErr w:type="spellEnd"/>
      <w:r w:rsidRPr="00E72303">
        <w:rPr>
          <w:b/>
          <w:bCs/>
        </w:rPr>
        <w:t xml:space="preserve"> and NHTS </w:t>
      </w:r>
      <w:r w:rsidR="009C33CE" w:rsidRPr="00E72303">
        <w:rPr>
          <w:b/>
          <w:bCs/>
        </w:rPr>
        <w:t>data</w:t>
      </w:r>
    </w:p>
    <w:p w14:paraId="2061338B" w14:textId="77777777" w:rsidR="00DA5FF9" w:rsidRPr="00E72303" w:rsidRDefault="00DA5FF9" w:rsidP="007B178E">
      <w:pPr>
        <w:pStyle w:val="1stParagraph"/>
        <w:jc w:val="center"/>
        <w:rPr>
          <w:b/>
          <w:bCs/>
        </w:rPr>
      </w:pPr>
    </w:p>
    <w:p w14:paraId="7F54FB9F" w14:textId="77777777" w:rsidR="00DA5FF9" w:rsidRPr="00E72303" w:rsidRDefault="00DA5FF9" w:rsidP="007B178E">
      <w:pPr>
        <w:pStyle w:val="1stParagraph"/>
        <w:jc w:val="center"/>
        <w:rPr>
          <w:b/>
          <w:bCs/>
        </w:rPr>
      </w:pPr>
    </w:p>
    <w:p w14:paraId="34792263" w14:textId="77777777" w:rsidR="00673A3C" w:rsidRPr="00E72303" w:rsidRDefault="00673A3C" w:rsidP="007B178E">
      <w:pPr>
        <w:pStyle w:val="1stParagraph"/>
        <w:jc w:val="center"/>
        <w:rPr>
          <w:b/>
          <w:bCs/>
        </w:rPr>
      </w:pPr>
    </w:p>
    <w:p w14:paraId="192F03EF" w14:textId="7A7C72A3" w:rsidR="00057687" w:rsidRPr="00E72303" w:rsidRDefault="00C246AE" w:rsidP="007B178E">
      <w:pPr>
        <w:ind w:firstLine="0"/>
        <w:rPr>
          <w:b/>
          <w:bCs/>
        </w:rPr>
      </w:pPr>
      <w:r w:rsidRPr="00E72303">
        <w:rPr>
          <w:b/>
          <w:bCs/>
        </w:rPr>
        <w:lastRenderedPageBreak/>
        <w:t>Table</w:t>
      </w:r>
      <w:r w:rsidR="00057687" w:rsidRPr="00E72303">
        <w:rPr>
          <w:b/>
          <w:bCs/>
        </w:rPr>
        <w:t xml:space="preserve"> </w:t>
      </w:r>
      <w:r w:rsidR="00B736A4" w:rsidRPr="00E72303">
        <w:rPr>
          <w:b/>
          <w:bCs/>
        </w:rPr>
        <w:t>1</w:t>
      </w:r>
      <w:r w:rsidR="00E832E2" w:rsidRPr="00E72303">
        <w:rPr>
          <w:b/>
          <w:bCs/>
        </w:rPr>
        <w:t>:</w:t>
      </w:r>
      <w:r w:rsidR="00057687" w:rsidRPr="00E72303">
        <w:rPr>
          <w:b/>
          <w:bCs/>
        </w:rPr>
        <w:t xml:space="preserve"> Descriptive Statistics of </w:t>
      </w:r>
      <w:r w:rsidR="007E204D" w:rsidRPr="00E72303">
        <w:rPr>
          <w:b/>
          <w:bCs/>
        </w:rPr>
        <w:t>the Model</w:t>
      </w:r>
      <w:r w:rsidR="00057687" w:rsidRPr="00E72303">
        <w:rPr>
          <w:b/>
          <w:bCs/>
        </w:rPr>
        <w:t xml:space="preserve"> Variables</w:t>
      </w:r>
    </w:p>
    <w:tbl>
      <w:tblPr>
        <w:tblStyle w:val="TableGrid"/>
        <w:tblW w:w="9366" w:type="dxa"/>
        <w:tblLook w:val="04A0" w:firstRow="1" w:lastRow="0" w:firstColumn="1" w:lastColumn="0" w:noHBand="0" w:noVBand="1"/>
      </w:tblPr>
      <w:tblGrid>
        <w:gridCol w:w="2159"/>
        <w:gridCol w:w="3787"/>
        <w:gridCol w:w="1160"/>
        <w:gridCol w:w="1196"/>
        <w:gridCol w:w="1064"/>
      </w:tblGrid>
      <w:tr w:rsidR="00E72303" w:rsidRPr="00E72303" w14:paraId="0DF06595" w14:textId="77777777" w:rsidTr="000F15BB">
        <w:trPr>
          <w:trHeight w:val="20"/>
        </w:trPr>
        <w:tc>
          <w:tcPr>
            <w:tcW w:w="2159" w:type="dxa"/>
            <w:hideMark/>
          </w:tcPr>
          <w:p w14:paraId="2448B191" w14:textId="77777777" w:rsidR="00057687" w:rsidRPr="00E72303" w:rsidRDefault="00057687" w:rsidP="007B178E">
            <w:pPr>
              <w:pStyle w:val="1stParagraph"/>
              <w:jc w:val="center"/>
              <w:rPr>
                <w:rFonts w:cs="Times New Roman"/>
                <w:b/>
                <w:bCs/>
                <w:sz w:val="22"/>
              </w:rPr>
            </w:pPr>
            <w:r w:rsidRPr="00E72303">
              <w:rPr>
                <w:rFonts w:cs="Times New Roman"/>
                <w:b/>
                <w:bCs/>
                <w:sz w:val="22"/>
              </w:rPr>
              <w:t>Variable name</w:t>
            </w:r>
          </w:p>
        </w:tc>
        <w:tc>
          <w:tcPr>
            <w:tcW w:w="3787" w:type="dxa"/>
          </w:tcPr>
          <w:p w14:paraId="13D0C725" w14:textId="77777777" w:rsidR="00057687" w:rsidRPr="00E72303" w:rsidRDefault="00057687" w:rsidP="007B178E">
            <w:pPr>
              <w:pStyle w:val="1stParagraph"/>
              <w:jc w:val="center"/>
              <w:rPr>
                <w:rFonts w:cs="Times New Roman"/>
                <w:b/>
                <w:bCs/>
                <w:sz w:val="22"/>
              </w:rPr>
            </w:pPr>
            <w:r w:rsidRPr="00E72303">
              <w:rPr>
                <w:rFonts w:cs="Times New Roman"/>
                <w:b/>
                <w:bCs/>
                <w:sz w:val="22"/>
              </w:rPr>
              <w:t>Description</w:t>
            </w:r>
          </w:p>
        </w:tc>
        <w:tc>
          <w:tcPr>
            <w:tcW w:w="1160" w:type="dxa"/>
            <w:vAlign w:val="center"/>
            <w:hideMark/>
          </w:tcPr>
          <w:p w14:paraId="4B748426" w14:textId="77777777" w:rsidR="00057687" w:rsidRPr="00E72303" w:rsidRDefault="00057687" w:rsidP="007B178E">
            <w:pPr>
              <w:pStyle w:val="1stParagraph"/>
              <w:jc w:val="center"/>
              <w:rPr>
                <w:rFonts w:cs="Times New Roman"/>
                <w:b/>
                <w:bCs/>
                <w:sz w:val="22"/>
              </w:rPr>
            </w:pPr>
            <w:r w:rsidRPr="00E72303">
              <w:rPr>
                <w:rFonts w:cs="Times New Roman"/>
                <w:b/>
                <w:bCs/>
                <w:sz w:val="22"/>
              </w:rPr>
              <w:t>Minimum</w:t>
            </w:r>
          </w:p>
        </w:tc>
        <w:tc>
          <w:tcPr>
            <w:tcW w:w="1196" w:type="dxa"/>
            <w:vAlign w:val="center"/>
            <w:hideMark/>
          </w:tcPr>
          <w:p w14:paraId="4FFE7800" w14:textId="77777777" w:rsidR="00057687" w:rsidRPr="00E72303" w:rsidRDefault="00057687" w:rsidP="007B178E">
            <w:pPr>
              <w:pStyle w:val="1stParagraph"/>
              <w:jc w:val="center"/>
              <w:rPr>
                <w:rFonts w:cs="Times New Roman"/>
                <w:b/>
                <w:bCs/>
                <w:sz w:val="22"/>
              </w:rPr>
            </w:pPr>
            <w:r w:rsidRPr="00E72303">
              <w:rPr>
                <w:rFonts w:cs="Times New Roman"/>
                <w:b/>
                <w:bCs/>
                <w:sz w:val="22"/>
              </w:rPr>
              <w:t>Maximum</w:t>
            </w:r>
          </w:p>
        </w:tc>
        <w:tc>
          <w:tcPr>
            <w:tcW w:w="1064" w:type="dxa"/>
            <w:vAlign w:val="center"/>
            <w:hideMark/>
          </w:tcPr>
          <w:p w14:paraId="704E7BCD" w14:textId="77777777" w:rsidR="00057687" w:rsidRPr="00E72303" w:rsidRDefault="00057687" w:rsidP="007B178E">
            <w:pPr>
              <w:pStyle w:val="1stParagraph"/>
              <w:jc w:val="center"/>
              <w:rPr>
                <w:rFonts w:cs="Times New Roman"/>
                <w:b/>
                <w:bCs/>
                <w:sz w:val="22"/>
              </w:rPr>
            </w:pPr>
            <w:r w:rsidRPr="00E72303">
              <w:rPr>
                <w:rFonts w:cs="Times New Roman"/>
                <w:b/>
                <w:bCs/>
                <w:sz w:val="22"/>
              </w:rPr>
              <w:t>Mean</w:t>
            </w:r>
          </w:p>
        </w:tc>
      </w:tr>
      <w:tr w:rsidR="00E72303" w:rsidRPr="00E72303" w14:paraId="6F82F7A3" w14:textId="77777777" w:rsidTr="0003194E">
        <w:trPr>
          <w:trHeight w:val="20"/>
        </w:trPr>
        <w:tc>
          <w:tcPr>
            <w:tcW w:w="9366" w:type="dxa"/>
            <w:gridSpan w:val="5"/>
            <w:vAlign w:val="center"/>
          </w:tcPr>
          <w:p w14:paraId="5A75AD37" w14:textId="41676AE3" w:rsidR="00057687" w:rsidRPr="00E72303" w:rsidRDefault="00057687" w:rsidP="007B178E">
            <w:pPr>
              <w:pStyle w:val="1stParagraph"/>
              <w:jc w:val="center"/>
              <w:rPr>
                <w:rFonts w:cs="Times New Roman"/>
                <w:b/>
                <w:bCs/>
                <w:i/>
                <w:iCs/>
                <w:sz w:val="22"/>
              </w:rPr>
            </w:pPr>
            <w:proofErr w:type="spellStart"/>
            <w:r w:rsidRPr="00E72303">
              <w:rPr>
                <w:rFonts w:cs="Times New Roman"/>
                <w:b/>
                <w:bCs/>
                <w:i/>
                <w:iCs/>
                <w:sz w:val="22"/>
              </w:rPr>
              <w:t>MaritzCX</w:t>
            </w:r>
            <w:proofErr w:type="spellEnd"/>
            <w:r w:rsidRPr="00E72303">
              <w:rPr>
                <w:rFonts w:cs="Times New Roman"/>
                <w:b/>
                <w:bCs/>
                <w:i/>
                <w:iCs/>
                <w:sz w:val="22"/>
              </w:rPr>
              <w:t xml:space="preserve"> Data (N = </w:t>
            </w:r>
            <w:r w:rsidR="000F15BB" w:rsidRPr="00E72303">
              <w:rPr>
                <w:rFonts w:cs="Times New Roman"/>
                <w:b/>
                <w:bCs/>
                <w:i/>
                <w:iCs/>
                <w:sz w:val="22"/>
              </w:rPr>
              <w:t>5,000</w:t>
            </w:r>
            <w:r w:rsidRPr="00E72303">
              <w:rPr>
                <w:rFonts w:cs="Times New Roman"/>
                <w:b/>
                <w:bCs/>
                <w:i/>
                <w:iCs/>
                <w:sz w:val="22"/>
              </w:rPr>
              <w:t>)</w:t>
            </w:r>
          </w:p>
        </w:tc>
      </w:tr>
      <w:tr w:rsidR="00E72303" w:rsidRPr="00E72303" w14:paraId="2F62522E" w14:textId="77777777" w:rsidTr="00931AF3">
        <w:trPr>
          <w:trHeight w:val="20"/>
        </w:trPr>
        <w:tc>
          <w:tcPr>
            <w:tcW w:w="2159" w:type="dxa"/>
            <w:vAlign w:val="center"/>
            <w:hideMark/>
          </w:tcPr>
          <w:p w14:paraId="0E630E32" w14:textId="77777777" w:rsidR="000F15BB" w:rsidRPr="00E72303" w:rsidRDefault="000F15BB" w:rsidP="007B178E">
            <w:pPr>
              <w:pStyle w:val="1stParagraph"/>
              <w:jc w:val="left"/>
              <w:rPr>
                <w:rFonts w:cs="Times New Roman"/>
                <w:sz w:val="22"/>
              </w:rPr>
            </w:pPr>
            <w:r w:rsidRPr="00E72303">
              <w:rPr>
                <w:rFonts w:cs="Times New Roman"/>
                <w:sz w:val="22"/>
              </w:rPr>
              <w:t>Fuel efficiency (mpg)</w:t>
            </w:r>
          </w:p>
        </w:tc>
        <w:tc>
          <w:tcPr>
            <w:tcW w:w="3787" w:type="dxa"/>
            <w:vAlign w:val="center"/>
          </w:tcPr>
          <w:p w14:paraId="09244FE3" w14:textId="77777777" w:rsidR="000F15BB" w:rsidRPr="00E72303" w:rsidRDefault="000F15BB" w:rsidP="007B178E">
            <w:pPr>
              <w:pStyle w:val="1stParagraph"/>
              <w:jc w:val="left"/>
              <w:rPr>
                <w:rFonts w:cs="Times New Roman"/>
                <w:sz w:val="22"/>
              </w:rPr>
            </w:pPr>
            <w:r w:rsidRPr="00E72303">
              <w:rPr>
                <w:rFonts w:cs="Times New Roman"/>
                <w:sz w:val="22"/>
              </w:rPr>
              <w:t>Mileage driven by per gallon gas (equivalent to 33.7 kWh of electricity)</w:t>
            </w:r>
          </w:p>
        </w:tc>
        <w:tc>
          <w:tcPr>
            <w:tcW w:w="1160" w:type="dxa"/>
            <w:vAlign w:val="center"/>
            <w:hideMark/>
          </w:tcPr>
          <w:p w14:paraId="51196206" w14:textId="48E4C3DB" w:rsidR="000F15BB" w:rsidRPr="00E72303" w:rsidRDefault="000F15BB" w:rsidP="007B178E">
            <w:pPr>
              <w:pStyle w:val="1stParagraph"/>
              <w:jc w:val="center"/>
              <w:rPr>
                <w:rFonts w:cs="Times New Roman"/>
                <w:sz w:val="22"/>
              </w:rPr>
            </w:pPr>
            <w:r w:rsidRPr="00E72303">
              <w:rPr>
                <w:rFonts w:cs="Times New Roman"/>
                <w:sz w:val="22"/>
              </w:rPr>
              <w:t>13.35</w:t>
            </w:r>
          </w:p>
        </w:tc>
        <w:tc>
          <w:tcPr>
            <w:tcW w:w="1196" w:type="dxa"/>
            <w:vAlign w:val="center"/>
            <w:hideMark/>
          </w:tcPr>
          <w:p w14:paraId="55D2609D" w14:textId="5EC6136F" w:rsidR="000F15BB" w:rsidRPr="00E72303" w:rsidRDefault="000F15BB" w:rsidP="007B178E">
            <w:pPr>
              <w:pStyle w:val="1stParagraph"/>
              <w:jc w:val="center"/>
              <w:rPr>
                <w:rFonts w:cs="Times New Roman"/>
                <w:sz w:val="22"/>
              </w:rPr>
            </w:pPr>
            <w:r w:rsidRPr="00E72303">
              <w:rPr>
                <w:rFonts w:cs="Times New Roman"/>
                <w:sz w:val="22"/>
              </w:rPr>
              <w:t>77.20</w:t>
            </w:r>
          </w:p>
        </w:tc>
        <w:tc>
          <w:tcPr>
            <w:tcW w:w="1064" w:type="dxa"/>
            <w:vAlign w:val="center"/>
            <w:hideMark/>
          </w:tcPr>
          <w:p w14:paraId="02D1381D" w14:textId="273E999F" w:rsidR="000F15BB" w:rsidRPr="00E72303" w:rsidRDefault="000F15BB" w:rsidP="007B178E">
            <w:pPr>
              <w:pStyle w:val="1stParagraph"/>
              <w:jc w:val="center"/>
              <w:rPr>
                <w:rFonts w:cs="Times New Roman"/>
                <w:sz w:val="22"/>
              </w:rPr>
            </w:pPr>
            <w:r w:rsidRPr="00E72303">
              <w:rPr>
                <w:rFonts w:cs="Times New Roman"/>
                <w:sz w:val="22"/>
              </w:rPr>
              <w:t>25.79</w:t>
            </w:r>
          </w:p>
        </w:tc>
      </w:tr>
      <w:tr w:rsidR="00E72303" w:rsidRPr="00E72303" w14:paraId="1CD7DE10" w14:textId="77777777" w:rsidTr="00931AF3">
        <w:trPr>
          <w:trHeight w:val="20"/>
        </w:trPr>
        <w:tc>
          <w:tcPr>
            <w:tcW w:w="2159" w:type="dxa"/>
            <w:vAlign w:val="center"/>
            <w:hideMark/>
          </w:tcPr>
          <w:p w14:paraId="69F7778B" w14:textId="77777777" w:rsidR="000F15BB" w:rsidRPr="00E72303" w:rsidRDefault="000F15BB" w:rsidP="007B178E">
            <w:pPr>
              <w:pStyle w:val="1stParagraph"/>
              <w:jc w:val="left"/>
              <w:rPr>
                <w:rFonts w:cs="Times New Roman"/>
                <w:sz w:val="22"/>
              </w:rPr>
            </w:pPr>
            <w:r w:rsidRPr="00E72303">
              <w:rPr>
                <w:rFonts w:cs="Times New Roman"/>
                <w:sz w:val="22"/>
              </w:rPr>
              <w:t>Vehicle price (in thousands)</w:t>
            </w:r>
          </w:p>
        </w:tc>
        <w:tc>
          <w:tcPr>
            <w:tcW w:w="3787" w:type="dxa"/>
            <w:vAlign w:val="center"/>
          </w:tcPr>
          <w:p w14:paraId="55B1EF41" w14:textId="77777777" w:rsidR="000F15BB" w:rsidRPr="00E72303" w:rsidRDefault="000F15BB" w:rsidP="007B178E">
            <w:pPr>
              <w:pStyle w:val="1stParagraph"/>
              <w:jc w:val="left"/>
              <w:rPr>
                <w:rFonts w:cs="Times New Roman"/>
                <w:sz w:val="22"/>
              </w:rPr>
            </w:pPr>
            <w:r w:rsidRPr="00E72303">
              <w:rPr>
                <w:rFonts w:cs="Times New Roman"/>
                <w:sz w:val="22"/>
              </w:rPr>
              <w:t>Vehicle price in USD</w:t>
            </w:r>
          </w:p>
        </w:tc>
        <w:tc>
          <w:tcPr>
            <w:tcW w:w="1160" w:type="dxa"/>
            <w:vAlign w:val="center"/>
            <w:hideMark/>
          </w:tcPr>
          <w:p w14:paraId="26346FB3" w14:textId="62594927" w:rsidR="000F15BB" w:rsidRPr="00E72303" w:rsidRDefault="000F15BB" w:rsidP="007B178E">
            <w:pPr>
              <w:pStyle w:val="1stParagraph"/>
              <w:jc w:val="center"/>
              <w:rPr>
                <w:rFonts w:cs="Times New Roman"/>
                <w:sz w:val="22"/>
              </w:rPr>
            </w:pPr>
            <w:r w:rsidRPr="00E72303">
              <w:rPr>
                <w:rFonts w:cs="Times New Roman"/>
                <w:sz w:val="22"/>
              </w:rPr>
              <w:t>16.88</w:t>
            </w:r>
          </w:p>
        </w:tc>
        <w:tc>
          <w:tcPr>
            <w:tcW w:w="1196" w:type="dxa"/>
            <w:vAlign w:val="center"/>
            <w:hideMark/>
          </w:tcPr>
          <w:p w14:paraId="44ADECC2" w14:textId="51ECB1C4" w:rsidR="000F15BB" w:rsidRPr="00E72303" w:rsidRDefault="000F15BB" w:rsidP="007B178E">
            <w:pPr>
              <w:pStyle w:val="1stParagraph"/>
              <w:jc w:val="center"/>
              <w:rPr>
                <w:rFonts w:cs="Times New Roman"/>
                <w:sz w:val="22"/>
              </w:rPr>
            </w:pPr>
            <w:r w:rsidRPr="00E72303">
              <w:rPr>
                <w:rFonts w:cs="Times New Roman"/>
                <w:sz w:val="22"/>
              </w:rPr>
              <w:t>81.14</w:t>
            </w:r>
          </w:p>
        </w:tc>
        <w:tc>
          <w:tcPr>
            <w:tcW w:w="1064" w:type="dxa"/>
            <w:vAlign w:val="center"/>
            <w:hideMark/>
          </w:tcPr>
          <w:p w14:paraId="5F60BA4C" w14:textId="621C5A9A" w:rsidR="000F15BB" w:rsidRPr="00E72303" w:rsidRDefault="000F15BB" w:rsidP="007B178E">
            <w:pPr>
              <w:pStyle w:val="1stParagraph"/>
              <w:jc w:val="center"/>
              <w:rPr>
                <w:rFonts w:cs="Times New Roman"/>
                <w:sz w:val="22"/>
              </w:rPr>
            </w:pPr>
            <w:r w:rsidRPr="00E72303">
              <w:rPr>
                <w:rFonts w:cs="Times New Roman"/>
                <w:sz w:val="22"/>
              </w:rPr>
              <w:t>35.74</w:t>
            </w:r>
          </w:p>
        </w:tc>
      </w:tr>
      <w:tr w:rsidR="00E72303" w:rsidRPr="00E72303" w14:paraId="010118AD" w14:textId="77777777" w:rsidTr="00931AF3">
        <w:trPr>
          <w:trHeight w:val="20"/>
        </w:trPr>
        <w:tc>
          <w:tcPr>
            <w:tcW w:w="2159" w:type="dxa"/>
            <w:vAlign w:val="center"/>
            <w:hideMark/>
          </w:tcPr>
          <w:p w14:paraId="206EC73C" w14:textId="77777777" w:rsidR="000F15BB" w:rsidRPr="00E72303" w:rsidRDefault="000F15BB" w:rsidP="007B178E">
            <w:pPr>
              <w:pStyle w:val="1stParagraph"/>
              <w:jc w:val="left"/>
              <w:rPr>
                <w:rFonts w:cs="Times New Roman"/>
                <w:sz w:val="22"/>
              </w:rPr>
            </w:pPr>
            <w:r w:rsidRPr="00E72303">
              <w:rPr>
                <w:rFonts w:cs="Times New Roman"/>
                <w:sz w:val="22"/>
              </w:rPr>
              <w:t>Engine size (liters)</w:t>
            </w:r>
          </w:p>
        </w:tc>
        <w:tc>
          <w:tcPr>
            <w:tcW w:w="3787" w:type="dxa"/>
            <w:vAlign w:val="center"/>
          </w:tcPr>
          <w:p w14:paraId="54DDFDD8" w14:textId="77777777" w:rsidR="000F15BB" w:rsidRPr="00E72303" w:rsidRDefault="000F15BB" w:rsidP="007B178E">
            <w:pPr>
              <w:pStyle w:val="1stParagraph"/>
              <w:jc w:val="left"/>
              <w:rPr>
                <w:rFonts w:cs="Times New Roman"/>
                <w:sz w:val="22"/>
              </w:rPr>
            </w:pPr>
            <w:r w:rsidRPr="00E72303">
              <w:rPr>
                <w:rFonts w:cs="Times New Roman"/>
                <w:sz w:val="22"/>
              </w:rPr>
              <w:t xml:space="preserve">The volume of fuel and air that can be pushed through a car's cylinders </w:t>
            </w:r>
          </w:p>
        </w:tc>
        <w:tc>
          <w:tcPr>
            <w:tcW w:w="1160" w:type="dxa"/>
            <w:vAlign w:val="center"/>
            <w:hideMark/>
          </w:tcPr>
          <w:p w14:paraId="63603862" w14:textId="74460858" w:rsidR="000F15BB" w:rsidRPr="00E72303" w:rsidRDefault="00A41D4C" w:rsidP="007B178E">
            <w:pPr>
              <w:pStyle w:val="1stParagraph"/>
              <w:jc w:val="center"/>
              <w:rPr>
                <w:rFonts w:cs="Times New Roman"/>
                <w:sz w:val="22"/>
              </w:rPr>
            </w:pPr>
            <w:r w:rsidRPr="00E72303">
              <w:rPr>
                <w:rFonts w:cs="Times New Roman"/>
                <w:sz w:val="22"/>
              </w:rPr>
              <w:t>1.40</w:t>
            </w:r>
          </w:p>
        </w:tc>
        <w:tc>
          <w:tcPr>
            <w:tcW w:w="1196" w:type="dxa"/>
            <w:vAlign w:val="center"/>
            <w:hideMark/>
          </w:tcPr>
          <w:p w14:paraId="7D5FFD89" w14:textId="6FDE320B" w:rsidR="000F15BB" w:rsidRPr="00E72303" w:rsidRDefault="000F15BB" w:rsidP="007B178E">
            <w:pPr>
              <w:pStyle w:val="1stParagraph"/>
              <w:jc w:val="center"/>
              <w:rPr>
                <w:rFonts w:cs="Times New Roman"/>
                <w:sz w:val="22"/>
              </w:rPr>
            </w:pPr>
            <w:r w:rsidRPr="00E72303">
              <w:rPr>
                <w:rFonts w:cs="Times New Roman"/>
                <w:sz w:val="22"/>
              </w:rPr>
              <w:t>6.40</w:t>
            </w:r>
          </w:p>
        </w:tc>
        <w:tc>
          <w:tcPr>
            <w:tcW w:w="1064" w:type="dxa"/>
            <w:vAlign w:val="center"/>
            <w:hideMark/>
          </w:tcPr>
          <w:p w14:paraId="668E6D39" w14:textId="48D1D8A3" w:rsidR="000F15BB" w:rsidRPr="00E72303" w:rsidRDefault="000F15BB" w:rsidP="007B178E">
            <w:pPr>
              <w:pStyle w:val="1stParagraph"/>
              <w:jc w:val="center"/>
              <w:rPr>
                <w:rFonts w:cs="Times New Roman"/>
                <w:sz w:val="22"/>
              </w:rPr>
            </w:pPr>
            <w:r w:rsidRPr="00E72303">
              <w:rPr>
                <w:rFonts w:cs="Times New Roman"/>
                <w:sz w:val="22"/>
              </w:rPr>
              <w:t>2.87</w:t>
            </w:r>
          </w:p>
        </w:tc>
      </w:tr>
      <w:tr w:rsidR="00E72303" w:rsidRPr="00E72303" w14:paraId="2244C9E5" w14:textId="77777777" w:rsidTr="00931AF3">
        <w:trPr>
          <w:trHeight w:val="20"/>
        </w:trPr>
        <w:tc>
          <w:tcPr>
            <w:tcW w:w="2159" w:type="dxa"/>
            <w:vAlign w:val="center"/>
            <w:hideMark/>
          </w:tcPr>
          <w:p w14:paraId="221C46B8" w14:textId="77777777" w:rsidR="000E5800" w:rsidRPr="00E72303" w:rsidRDefault="000E5800" w:rsidP="007B178E">
            <w:pPr>
              <w:pStyle w:val="1stParagraph"/>
              <w:jc w:val="left"/>
              <w:rPr>
                <w:rFonts w:cs="Times New Roman"/>
                <w:sz w:val="22"/>
              </w:rPr>
            </w:pPr>
            <w:r w:rsidRPr="00E72303">
              <w:rPr>
                <w:rFonts w:cs="Times New Roman"/>
                <w:sz w:val="22"/>
              </w:rPr>
              <w:t>2-door car</w:t>
            </w:r>
          </w:p>
        </w:tc>
        <w:tc>
          <w:tcPr>
            <w:tcW w:w="3787" w:type="dxa"/>
            <w:vAlign w:val="center"/>
          </w:tcPr>
          <w:p w14:paraId="31D1B838" w14:textId="77777777" w:rsidR="000E5800" w:rsidRPr="00E72303" w:rsidRDefault="000E5800" w:rsidP="007B178E">
            <w:pPr>
              <w:pStyle w:val="1stParagraph"/>
              <w:jc w:val="left"/>
              <w:rPr>
                <w:rFonts w:cs="Times New Roman"/>
                <w:sz w:val="22"/>
              </w:rPr>
            </w:pPr>
            <w:r w:rsidRPr="00E72303">
              <w:rPr>
                <w:rFonts w:cs="Times New Roman"/>
                <w:sz w:val="22"/>
              </w:rPr>
              <w:t>Number of doors: 2</w:t>
            </w:r>
          </w:p>
        </w:tc>
        <w:tc>
          <w:tcPr>
            <w:tcW w:w="1160" w:type="dxa"/>
            <w:vAlign w:val="center"/>
            <w:hideMark/>
          </w:tcPr>
          <w:p w14:paraId="5595043D" w14:textId="245FE632"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50D069B8" w14:textId="69618B26"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667499FF" w14:textId="2C6D976D" w:rsidR="000E5800" w:rsidRPr="00E72303" w:rsidRDefault="000E5800" w:rsidP="007B178E">
            <w:pPr>
              <w:pStyle w:val="1stParagraph"/>
              <w:jc w:val="center"/>
              <w:rPr>
                <w:rFonts w:cs="Times New Roman"/>
                <w:sz w:val="22"/>
              </w:rPr>
            </w:pPr>
            <w:r w:rsidRPr="00E72303">
              <w:rPr>
                <w:rFonts w:cs="Times New Roman"/>
                <w:sz w:val="22"/>
              </w:rPr>
              <w:t>0.08</w:t>
            </w:r>
          </w:p>
        </w:tc>
      </w:tr>
      <w:tr w:rsidR="00E72303" w:rsidRPr="00E72303" w14:paraId="24C127BB" w14:textId="77777777" w:rsidTr="00931AF3">
        <w:trPr>
          <w:trHeight w:val="20"/>
        </w:trPr>
        <w:tc>
          <w:tcPr>
            <w:tcW w:w="2159" w:type="dxa"/>
            <w:vAlign w:val="center"/>
            <w:hideMark/>
          </w:tcPr>
          <w:p w14:paraId="44020C24" w14:textId="77777777" w:rsidR="000E5800" w:rsidRPr="00E72303" w:rsidRDefault="000E5800" w:rsidP="007B178E">
            <w:pPr>
              <w:pStyle w:val="1stParagraph"/>
              <w:jc w:val="left"/>
              <w:rPr>
                <w:rFonts w:cs="Times New Roman"/>
                <w:sz w:val="22"/>
              </w:rPr>
            </w:pPr>
            <w:r w:rsidRPr="00E72303">
              <w:rPr>
                <w:rFonts w:cs="Times New Roman"/>
                <w:sz w:val="22"/>
              </w:rPr>
              <w:t>4-door car</w:t>
            </w:r>
          </w:p>
        </w:tc>
        <w:tc>
          <w:tcPr>
            <w:tcW w:w="3787" w:type="dxa"/>
            <w:vAlign w:val="center"/>
          </w:tcPr>
          <w:p w14:paraId="1D989287" w14:textId="77777777" w:rsidR="000E5800" w:rsidRPr="00E72303" w:rsidRDefault="000E5800" w:rsidP="007B178E">
            <w:pPr>
              <w:pStyle w:val="1stParagraph"/>
              <w:jc w:val="left"/>
              <w:rPr>
                <w:rFonts w:cs="Times New Roman"/>
                <w:sz w:val="22"/>
              </w:rPr>
            </w:pPr>
            <w:r w:rsidRPr="00E72303">
              <w:rPr>
                <w:rFonts w:cs="Times New Roman"/>
                <w:sz w:val="22"/>
              </w:rPr>
              <w:t>Number of doors: 4</w:t>
            </w:r>
          </w:p>
        </w:tc>
        <w:tc>
          <w:tcPr>
            <w:tcW w:w="1160" w:type="dxa"/>
            <w:vAlign w:val="center"/>
            <w:hideMark/>
          </w:tcPr>
          <w:p w14:paraId="013A0988" w14:textId="3D189DC8"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2A8C5AA2" w14:textId="1D107D8F"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657DC37B" w14:textId="4C58DE97" w:rsidR="000E5800" w:rsidRPr="00E72303" w:rsidRDefault="000E5800" w:rsidP="007B178E">
            <w:pPr>
              <w:pStyle w:val="1stParagraph"/>
              <w:jc w:val="center"/>
              <w:rPr>
                <w:rFonts w:cs="Times New Roman"/>
                <w:sz w:val="22"/>
              </w:rPr>
            </w:pPr>
            <w:r w:rsidRPr="00E72303">
              <w:rPr>
                <w:rFonts w:cs="Times New Roman"/>
                <w:sz w:val="22"/>
              </w:rPr>
              <w:t>0.92</w:t>
            </w:r>
          </w:p>
        </w:tc>
      </w:tr>
      <w:tr w:rsidR="00E72303" w:rsidRPr="00E72303" w14:paraId="1E7D4EB3" w14:textId="77777777" w:rsidTr="00931AF3">
        <w:trPr>
          <w:trHeight w:val="20"/>
        </w:trPr>
        <w:tc>
          <w:tcPr>
            <w:tcW w:w="2159" w:type="dxa"/>
            <w:vAlign w:val="center"/>
            <w:hideMark/>
          </w:tcPr>
          <w:p w14:paraId="211DEB3B" w14:textId="77777777" w:rsidR="000E5800" w:rsidRPr="00E72303" w:rsidRDefault="000E5800" w:rsidP="007B178E">
            <w:pPr>
              <w:pStyle w:val="1stParagraph"/>
              <w:jc w:val="left"/>
              <w:rPr>
                <w:rFonts w:cs="Times New Roman"/>
                <w:sz w:val="22"/>
              </w:rPr>
            </w:pPr>
            <w:r w:rsidRPr="00E72303">
              <w:rPr>
                <w:rFonts w:cs="Times New Roman"/>
                <w:sz w:val="22"/>
              </w:rPr>
              <w:t>Chevrolet</w:t>
            </w:r>
          </w:p>
        </w:tc>
        <w:tc>
          <w:tcPr>
            <w:tcW w:w="3787" w:type="dxa"/>
            <w:vAlign w:val="center"/>
          </w:tcPr>
          <w:p w14:paraId="13D5F60D" w14:textId="77777777" w:rsidR="000E5800" w:rsidRPr="00E72303" w:rsidRDefault="000E5800" w:rsidP="007B178E">
            <w:pPr>
              <w:pStyle w:val="1stParagraph"/>
              <w:jc w:val="left"/>
              <w:rPr>
                <w:rFonts w:cs="Times New Roman"/>
                <w:sz w:val="22"/>
              </w:rPr>
            </w:pPr>
            <w:r w:rsidRPr="00E72303">
              <w:rPr>
                <w:rFonts w:cs="Times New Roman"/>
                <w:sz w:val="22"/>
              </w:rPr>
              <w:t>Car brand: Chevrolet</w:t>
            </w:r>
          </w:p>
        </w:tc>
        <w:tc>
          <w:tcPr>
            <w:tcW w:w="1160" w:type="dxa"/>
            <w:vAlign w:val="center"/>
            <w:hideMark/>
          </w:tcPr>
          <w:p w14:paraId="124D0C5E" w14:textId="7F47012C"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30E03C1B" w14:textId="729E0B6C"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256E9600" w14:textId="2BF8643A" w:rsidR="000E5800" w:rsidRPr="00E72303" w:rsidRDefault="000E5800" w:rsidP="007B178E">
            <w:pPr>
              <w:pStyle w:val="1stParagraph"/>
              <w:jc w:val="center"/>
              <w:rPr>
                <w:rFonts w:cs="Times New Roman"/>
                <w:sz w:val="22"/>
              </w:rPr>
            </w:pPr>
            <w:r w:rsidRPr="00E72303">
              <w:rPr>
                <w:rFonts w:cs="Times New Roman"/>
                <w:sz w:val="22"/>
              </w:rPr>
              <w:t>0.09</w:t>
            </w:r>
          </w:p>
        </w:tc>
      </w:tr>
      <w:tr w:rsidR="00E72303" w:rsidRPr="00E72303" w14:paraId="28CB8D2E" w14:textId="77777777" w:rsidTr="00931AF3">
        <w:trPr>
          <w:trHeight w:val="20"/>
        </w:trPr>
        <w:tc>
          <w:tcPr>
            <w:tcW w:w="2159" w:type="dxa"/>
            <w:vAlign w:val="center"/>
            <w:hideMark/>
          </w:tcPr>
          <w:p w14:paraId="4840F48E" w14:textId="77777777" w:rsidR="000E5800" w:rsidRPr="00E72303" w:rsidRDefault="000E5800" w:rsidP="007B178E">
            <w:pPr>
              <w:pStyle w:val="1stParagraph"/>
              <w:jc w:val="left"/>
              <w:rPr>
                <w:rFonts w:cs="Times New Roman"/>
                <w:sz w:val="22"/>
              </w:rPr>
            </w:pPr>
            <w:r w:rsidRPr="00E72303">
              <w:rPr>
                <w:rFonts w:cs="Times New Roman"/>
                <w:sz w:val="22"/>
              </w:rPr>
              <w:t>Ford</w:t>
            </w:r>
          </w:p>
        </w:tc>
        <w:tc>
          <w:tcPr>
            <w:tcW w:w="3787" w:type="dxa"/>
            <w:vAlign w:val="center"/>
          </w:tcPr>
          <w:p w14:paraId="7EF2C905" w14:textId="77777777" w:rsidR="000E5800" w:rsidRPr="00E72303" w:rsidRDefault="000E5800" w:rsidP="007B178E">
            <w:pPr>
              <w:pStyle w:val="1stParagraph"/>
              <w:jc w:val="left"/>
              <w:rPr>
                <w:rFonts w:cs="Times New Roman"/>
                <w:sz w:val="22"/>
              </w:rPr>
            </w:pPr>
            <w:r w:rsidRPr="00E72303">
              <w:rPr>
                <w:rFonts w:cs="Times New Roman"/>
                <w:sz w:val="22"/>
              </w:rPr>
              <w:t>Car brand: Ford</w:t>
            </w:r>
          </w:p>
        </w:tc>
        <w:tc>
          <w:tcPr>
            <w:tcW w:w="1160" w:type="dxa"/>
            <w:vAlign w:val="center"/>
            <w:hideMark/>
          </w:tcPr>
          <w:p w14:paraId="4316B210" w14:textId="6B43B378"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58B9E35B" w14:textId="4BFAC084"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6E540833" w14:textId="55501D22" w:rsidR="000E5800" w:rsidRPr="00E72303" w:rsidRDefault="000E5800" w:rsidP="007B178E">
            <w:pPr>
              <w:pStyle w:val="1stParagraph"/>
              <w:jc w:val="center"/>
              <w:rPr>
                <w:rFonts w:cs="Times New Roman"/>
                <w:sz w:val="22"/>
              </w:rPr>
            </w:pPr>
            <w:r w:rsidRPr="00E72303">
              <w:rPr>
                <w:rFonts w:cs="Times New Roman"/>
                <w:sz w:val="22"/>
              </w:rPr>
              <w:t>0.09</w:t>
            </w:r>
          </w:p>
        </w:tc>
      </w:tr>
      <w:tr w:rsidR="00E72303" w:rsidRPr="00E72303" w14:paraId="561B3A28" w14:textId="77777777" w:rsidTr="00931AF3">
        <w:trPr>
          <w:trHeight w:val="20"/>
        </w:trPr>
        <w:tc>
          <w:tcPr>
            <w:tcW w:w="2159" w:type="dxa"/>
            <w:vAlign w:val="center"/>
            <w:hideMark/>
          </w:tcPr>
          <w:p w14:paraId="23F3F2E8" w14:textId="77777777" w:rsidR="000E5800" w:rsidRPr="00E72303" w:rsidRDefault="000E5800" w:rsidP="007B178E">
            <w:pPr>
              <w:pStyle w:val="1stParagraph"/>
              <w:jc w:val="left"/>
              <w:rPr>
                <w:rFonts w:cs="Times New Roman"/>
                <w:sz w:val="22"/>
              </w:rPr>
            </w:pPr>
            <w:r w:rsidRPr="00E72303">
              <w:rPr>
                <w:rFonts w:cs="Times New Roman"/>
                <w:sz w:val="22"/>
              </w:rPr>
              <w:t>Honda</w:t>
            </w:r>
          </w:p>
        </w:tc>
        <w:tc>
          <w:tcPr>
            <w:tcW w:w="3787" w:type="dxa"/>
            <w:vAlign w:val="center"/>
          </w:tcPr>
          <w:p w14:paraId="60BA75E9" w14:textId="77777777" w:rsidR="000E5800" w:rsidRPr="00E72303" w:rsidRDefault="000E5800" w:rsidP="007B178E">
            <w:pPr>
              <w:pStyle w:val="1stParagraph"/>
              <w:jc w:val="left"/>
              <w:rPr>
                <w:rFonts w:cs="Times New Roman"/>
                <w:sz w:val="22"/>
              </w:rPr>
            </w:pPr>
            <w:r w:rsidRPr="00E72303">
              <w:rPr>
                <w:rFonts w:cs="Times New Roman"/>
                <w:sz w:val="22"/>
              </w:rPr>
              <w:t>Car brand: Honda</w:t>
            </w:r>
          </w:p>
        </w:tc>
        <w:tc>
          <w:tcPr>
            <w:tcW w:w="1160" w:type="dxa"/>
            <w:vAlign w:val="center"/>
            <w:hideMark/>
          </w:tcPr>
          <w:p w14:paraId="6C4A5E5B" w14:textId="418F79DD"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7C12CCC7" w14:textId="7BE0072A"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7846FB15" w14:textId="2BFD851A" w:rsidR="000E5800" w:rsidRPr="00E72303" w:rsidRDefault="000E5800" w:rsidP="007B178E">
            <w:pPr>
              <w:pStyle w:val="1stParagraph"/>
              <w:jc w:val="center"/>
              <w:rPr>
                <w:rFonts w:cs="Times New Roman"/>
                <w:sz w:val="22"/>
              </w:rPr>
            </w:pPr>
            <w:r w:rsidRPr="00E72303">
              <w:rPr>
                <w:rFonts w:cs="Times New Roman"/>
                <w:sz w:val="22"/>
              </w:rPr>
              <w:t>0.06</w:t>
            </w:r>
          </w:p>
        </w:tc>
      </w:tr>
      <w:tr w:rsidR="00E72303" w:rsidRPr="00E72303" w14:paraId="3E380D5F" w14:textId="77777777" w:rsidTr="00931AF3">
        <w:trPr>
          <w:trHeight w:val="20"/>
        </w:trPr>
        <w:tc>
          <w:tcPr>
            <w:tcW w:w="2159" w:type="dxa"/>
            <w:vAlign w:val="center"/>
            <w:hideMark/>
          </w:tcPr>
          <w:p w14:paraId="6D92EF2A" w14:textId="77777777" w:rsidR="000E5800" w:rsidRPr="00E72303" w:rsidRDefault="000E5800" w:rsidP="007B178E">
            <w:pPr>
              <w:pStyle w:val="1stParagraph"/>
              <w:jc w:val="left"/>
              <w:rPr>
                <w:rFonts w:cs="Times New Roman"/>
                <w:sz w:val="22"/>
              </w:rPr>
            </w:pPr>
            <w:r w:rsidRPr="00E72303">
              <w:rPr>
                <w:rFonts w:cs="Times New Roman"/>
                <w:sz w:val="22"/>
              </w:rPr>
              <w:t>Toyota</w:t>
            </w:r>
          </w:p>
        </w:tc>
        <w:tc>
          <w:tcPr>
            <w:tcW w:w="3787" w:type="dxa"/>
            <w:vAlign w:val="center"/>
          </w:tcPr>
          <w:p w14:paraId="38EE07E8" w14:textId="77777777" w:rsidR="000E5800" w:rsidRPr="00E72303" w:rsidRDefault="000E5800" w:rsidP="007B178E">
            <w:pPr>
              <w:pStyle w:val="1stParagraph"/>
              <w:jc w:val="left"/>
              <w:rPr>
                <w:rFonts w:cs="Times New Roman"/>
                <w:sz w:val="22"/>
              </w:rPr>
            </w:pPr>
            <w:r w:rsidRPr="00E72303">
              <w:rPr>
                <w:rFonts w:cs="Times New Roman"/>
                <w:sz w:val="22"/>
              </w:rPr>
              <w:t>Car brand: Toyota</w:t>
            </w:r>
          </w:p>
        </w:tc>
        <w:tc>
          <w:tcPr>
            <w:tcW w:w="1160" w:type="dxa"/>
            <w:vAlign w:val="center"/>
            <w:hideMark/>
          </w:tcPr>
          <w:p w14:paraId="1EB22D9E" w14:textId="137A34FA"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348CD42D" w14:textId="3F431282"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19B48AA8" w14:textId="5E571841" w:rsidR="000E5800" w:rsidRPr="00E72303" w:rsidRDefault="000E5800" w:rsidP="007B178E">
            <w:pPr>
              <w:pStyle w:val="1stParagraph"/>
              <w:jc w:val="center"/>
              <w:rPr>
                <w:rFonts w:cs="Times New Roman"/>
                <w:sz w:val="22"/>
              </w:rPr>
            </w:pPr>
            <w:r w:rsidRPr="00E72303">
              <w:rPr>
                <w:rFonts w:cs="Times New Roman"/>
                <w:sz w:val="22"/>
              </w:rPr>
              <w:t>0.11</w:t>
            </w:r>
          </w:p>
        </w:tc>
      </w:tr>
      <w:tr w:rsidR="00E72303" w:rsidRPr="00E72303" w14:paraId="5D9FBD69" w14:textId="77777777" w:rsidTr="00931AF3">
        <w:trPr>
          <w:trHeight w:val="20"/>
        </w:trPr>
        <w:tc>
          <w:tcPr>
            <w:tcW w:w="2159" w:type="dxa"/>
            <w:vAlign w:val="center"/>
            <w:hideMark/>
          </w:tcPr>
          <w:p w14:paraId="0765D426" w14:textId="77777777" w:rsidR="000E5800" w:rsidRPr="00E72303" w:rsidRDefault="000E5800" w:rsidP="007B178E">
            <w:pPr>
              <w:pStyle w:val="1stParagraph"/>
              <w:jc w:val="left"/>
              <w:rPr>
                <w:rFonts w:cs="Times New Roman"/>
                <w:sz w:val="22"/>
              </w:rPr>
            </w:pPr>
            <w:r w:rsidRPr="00E72303">
              <w:rPr>
                <w:rFonts w:cs="Times New Roman"/>
                <w:sz w:val="22"/>
              </w:rPr>
              <w:t>Subaru</w:t>
            </w:r>
          </w:p>
        </w:tc>
        <w:tc>
          <w:tcPr>
            <w:tcW w:w="3787" w:type="dxa"/>
            <w:vAlign w:val="center"/>
          </w:tcPr>
          <w:p w14:paraId="68887917" w14:textId="77777777" w:rsidR="000E5800" w:rsidRPr="00E72303" w:rsidRDefault="000E5800" w:rsidP="007B178E">
            <w:pPr>
              <w:pStyle w:val="1stParagraph"/>
              <w:jc w:val="left"/>
              <w:rPr>
                <w:rFonts w:cs="Times New Roman"/>
                <w:sz w:val="22"/>
              </w:rPr>
            </w:pPr>
            <w:r w:rsidRPr="00E72303">
              <w:rPr>
                <w:rFonts w:cs="Times New Roman"/>
                <w:sz w:val="22"/>
              </w:rPr>
              <w:t>Car brand: Subaru</w:t>
            </w:r>
          </w:p>
        </w:tc>
        <w:tc>
          <w:tcPr>
            <w:tcW w:w="1160" w:type="dxa"/>
            <w:vAlign w:val="center"/>
            <w:hideMark/>
          </w:tcPr>
          <w:p w14:paraId="569A458A" w14:textId="34D12E89"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776AA555" w14:textId="2222E143"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5155A4CA" w14:textId="420A526C" w:rsidR="000E5800" w:rsidRPr="00E72303" w:rsidRDefault="000E5800" w:rsidP="007B178E">
            <w:pPr>
              <w:pStyle w:val="1stParagraph"/>
              <w:jc w:val="center"/>
              <w:rPr>
                <w:rFonts w:cs="Times New Roman"/>
                <w:sz w:val="22"/>
              </w:rPr>
            </w:pPr>
            <w:r w:rsidRPr="00E72303">
              <w:rPr>
                <w:rFonts w:cs="Times New Roman"/>
                <w:sz w:val="22"/>
              </w:rPr>
              <w:t>0.08</w:t>
            </w:r>
          </w:p>
        </w:tc>
      </w:tr>
      <w:tr w:rsidR="00E72303" w:rsidRPr="00E72303" w14:paraId="7DACEDD1" w14:textId="77777777" w:rsidTr="00931AF3">
        <w:trPr>
          <w:trHeight w:val="20"/>
        </w:trPr>
        <w:tc>
          <w:tcPr>
            <w:tcW w:w="2159" w:type="dxa"/>
            <w:vAlign w:val="center"/>
            <w:hideMark/>
          </w:tcPr>
          <w:p w14:paraId="543251CA" w14:textId="77777777" w:rsidR="000E5800" w:rsidRPr="00E72303" w:rsidRDefault="000E5800" w:rsidP="007B178E">
            <w:pPr>
              <w:pStyle w:val="1stParagraph"/>
              <w:jc w:val="left"/>
              <w:rPr>
                <w:rFonts w:cs="Times New Roman"/>
                <w:sz w:val="22"/>
              </w:rPr>
            </w:pPr>
            <w:r w:rsidRPr="00E72303">
              <w:rPr>
                <w:rFonts w:cs="Times New Roman"/>
                <w:sz w:val="22"/>
              </w:rPr>
              <w:t>Jeep</w:t>
            </w:r>
          </w:p>
        </w:tc>
        <w:tc>
          <w:tcPr>
            <w:tcW w:w="3787" w:type="dxa"/>
            <w:vAlign w:val="center"/>
          </w:tcPr>
          <w:p w14:paraId="29789AC2" w14:textId="77777777" w:rsidR="000E5800" w:rsidRPr="00E72303" w:rsidRDefault="000E5800" w:rsidP="007B178E">
            <w:pPr>
              <w:pStyle w:val="1stParagraph"/>
              <w:jc w:val="left"/>
              <w:rPr>
                <w:rFonts w:cs="Times New Roman"/>
                <w:sz w:val="22"/>
              </w:rPr>
            </w:pPr>
            <w:r w:rsidRPr="00E72303">
              <w:rPr>
                <w:rFonts w:cs="Times New Roman"/>
                <w:sz w:val="22"/>
              </w:rPr>
              <w:t>Car brand: Jeep</w:t>
            </w:r>
          </w:p>
        </w:tc>
        <w:tc>
          <w:tcPr>
            <w:tcW w:w="1160" w:type="dxa"/>
            <w:vAlign w:val="center"/>
            <w:hideMark/>
          </w:tcPr>
          <w:p w14:paraId="12D5DF4B" w14:textId="4312550E"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31E3F96B" w14:textId="42C19E7A"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11E4480E" w14:textId="5391EDA0" w:rsidR="000E5800" w:rsidRPr="00E72303" w:rsidRDefault="000E5800" w:rsidP="007B178E">
            <w:pPr>
              <w:pStyle w:val="1stParagraph"/>
              <w:jc w:val="center"/>
              <w:rPr>
                <w:rFonts w:cs="Times New Roman"/>
                <w:sz w:val="22"/>
              </w:rPr>
            </w:pPr>
            <w:r w:rsidRPr="00E72303">
              <w:rPr>
                <w:rFonts w:cs="Times New Roman"/>
                <w:sz w:val="22"/>
              </w:rPr>
              <w:t>0.05</w:t>
            </w:r>
          </w:p>
        </w:tc>
      </w:tr>
      <w:tr w:rsidR="00E72303" w:rsidRPr="00E72303" w14:paraId="053CAC9D" w14:textId="77777777" w:rsidTr="00931AF3">
        <w:trPr>
          <w:trHeight w:val="20"/>
        </w:trPr>
        <w:tc>
          <w:tcPr>
            <w:tcW w:w="2159" w:type="dxa"/>
            <w:vAlign w:val="center"/>
            <w:hideMark/>
          </w:tcPr>
          <w:p w14:paraId="6E2C559F" w14:textId="77777777" w:rsidR="000E5800" w:rsidRPr="00E72303" w:rsidRDefault="000E5800" w:rsidP="007B178E">
            <w:pPr>
              <w:pStyle w:val="1stParagraph"/>
              <w:jc w:val="left"/>
              <w:rPr>
                <w:rFonts w:cs="Times New Roman"/>
                <w:sz w:val="22"/>
              </w:rPr>
            </w:pPr>
            <w:r w:rsidRPr="00E72303">
              <w:rPr>
                <w:rFonts w:cs="Times New Roman"/>
                <w:sz w:val="22"/>
              </w:rPr>
              <w:t>GMC</w:t>
            </w:r>
          </w:p>
        </w:tc>
        <w:tc>
          <w:tcPr>
            <w:tcW w:w="3787" w:type="dxa"/>
            <w:vAlign w:val="center"/>
          </w:tcPr>
          <w:p w14:paraId="35DDA7C7" w14:textId="77777777" w:rsidR="000E5800" w:rsidRPr="00E72303" w:rsidRDefault="000E5800" w:rsidP="007B178E">
            <w:pPr>
              <w:pStyle w:val="1stParagraph"/>
              <w:jc w:val="left"/>
              <w:rPr>
                <w:rFonts w:cs="Times New Roman"/>
                <w:sz w:val="22"/>
              </w:rPr>
            </w:pPr>
            <w:r w:rsidRPr="00E72303">
              <w:rPr>
                <w:rFonts w:cs="Times New Roman"/>
                <w:sz w:val="22"/>
              </w:rPr>
              <w:t>Car brand: GMC</w:t>
            </w:r>
          </w:p>
        </w:tc>
        <w:tc>
          <w:tcPr>
            <w:tcW w:w="1160" w:type="dxa"/>
            <w:vAlign w:val="center"/>
            <w:hideMark/>
          </w:tcPr>
          <w:p w14:paraId="137A503E" w14:textId="73C5681C"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566510EC" w14:textId="35F25036"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7E4702A0" w14:textId="7CDF4209" w:rsidR="000E5800" w:rsidRPr="00E72303" w:rsidRDefault="000E5800" w:rsidP="007B178E">
            <w:pPr>
              <w:pStyle w:val="1stParagraph"/>
              <w:jc w:val="center"/>
              <w:rPr>
                <w:rFonts w:cs="Times New Roman"/>
                <w:sz w:val="22"/>
              </w:rPr>
            </w:pPr>
            <w:r w:rsidRPr="00E72303">
              <w:rPr>
                <w:rFonts w:cs="Times New Roman"/>
                <w:sz w:val="22"/>
              </w:rPr>
              <w:t>0.05</w:t>
            </w:r>
          </w:p>
        </w:tc>
      </w:tr>
      <w:tr w:rsidR="00E72303" w:rsidRPr="00E72303" w14:paraId="1B8F948B" w14:textId="77777777" w:rsidTr="00931AF3">
        <w:trPr>
          <w:trHeight w:val="20"/>
        </w:trPr>
        <w:tc>
          <w:tcPr>
            <w:tcW w:w="2159" w:type="dxa"/>
            <w:vAlign w:val="center"/>
            <w:hideMark/>
          </w:tcPr>
          <w:p w14:paraId="03B6B983" w14:textId="77777777" w:rsidR="000E5800" w:rsidRPr="00E72303" w:rsidRDefault="000E5800" w:rsidP="007B178E">
            <w:pPr>
              <w:pStyle w:val="1stParagraph"/>
              <w:jc w:val="left"/>
              <w:rPr>
                <w:rFonts w:cs="Times New Roman"/>
                <w:sz w:val="22"/>
              </w:rPr>
            </w:pPr>
            <w:r w:rsidRPr="00E72303">
              <w:rPr>
                <w:rFonts w:cs="Times New Roman"/>
                <w:sz w:val="22"/>
              </w:rPr>
              <w:t>Other brands</w:t>
            </w:r>
          </w:p>
        </w:tc>
        <w:tc>
          <w:tcPr>
            <w:tcW w:w="3787" w:type="dxa"/>
            <w:vAlign w:val="center"/>
          </w:tcPr>
          <w:p w14:paraId="13F78C17" w14:textId="462FE83F" w:rsidR="000E5800" w:rsidRPr="00E72303" w:rsidRDefault="000E5800" w:rsidP="007B178E">
            <w:pPr>
              <w:pStyle w:val="1stParagraph"/>
              <w:jc w:val="left"/>
              <w:rPr>
                <w:rFonts w:cs="Times New Roman"/>
                <w:sz w:val="22"/>
              </w:rPr>
            </w:pPr>
            <w:r w:rsidRPr="00E72303">
              <w:rPr>
                <w:rFonts w:cs="Times New Roman"/>
                <w:sz w:val="22"/>
              </w:rPr>
              <w:t>Other than the above-mentioned brands</w:t>
            </w:r>
          </w:p>
        </w:tc>
        <w:tc>
          <w:tcPr>
            <w:tcW w:w="1160" w:type="dxa"/>
            <w:vAlign w:val="center"/>
            <w:hideMark/>
          </w:tcPr>
          <w:p w14:paraId="1AC61C5C" w14:textId="46A27210"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3D3AAC45" w14:textId="25B39259"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0EEFAB69" w14:textId="70ACA518" w:rsidR="000E5800" w:rsidRPr="00E72303" w:rsidRDefault="000E5800" w:rsidP="007B178E">
            <w:pPr>
              <w:pStyle w:val="1stParagraph"/>
              <w:jc w:val="center"/>
              <w:rPr>
                <w:rFonts w:cs="Times New Roman"/>
                <w:sz w:val="22"/>
              </w:rPr>
            </w:pPr>
            <w:r w:rsidRPr="00E72303">
              <w:rPr>
                <w:rFonts w:cs="Times New Roman"/>
                <w:sz w:val="22"/>
              </w:rPr>
              <w:t>0.47</w:t>
            </w:r>
          </w:p>
        </w:tc>
      </w:tr>
      <w:tr w:rsidR="00E72303" w:rsidRPr="00E72303" w14:paraId="4A74AE3C" w14:textId="77777777" w:rsidTr="00931AF3">
        <w:trPr>
          <w:trHeight w:val="20"/>
        </w:trPr>
        <w:tc>
          <w:tcPr>
            <w:tcW w:w="2159" w:type="dxa"/>
            <w:vAlign w:val="center"/>
            <w:hideMark/>
          </w:tcPr>
          <w:p w14:paraId="6E425137" w14:textId="77777777" w:rsidR="000E5800" w:rsidRPr="00E72303" w:rsidRDefault="000E5800" w:rsidP="007B178E">
            <w:pPr>
              <w:pStyle w:val="1stParagraph"/>
              <w:jc w:val="left"/>
              <w:rPr>
                <w:rFonts w:cs="Times New Roman"/>
                <w:sz w:val="22"/>
              </w:rPr>
            </w:pPr>
            <w:r w:rsidRPr="00E72303">
              <w:rPr>
                <w:rFonts w:cs="Times New Roman"/>
                <w:sz w:val="22"/>
              </w:rPr>
              <w:t>Low-income household</w:t>
            </w:r>
          </w:p>
        </w:tc>
        <w:tc>
          <w:tcPr>
            <w:tcW w:w="3787" w:type="dxa"/>
            <w:vAlign w:val="center"/>
          </w:tcPr>
          <w:p w14:paraId="01329815" w14:textId="77777777" w:rsidR="000E5800" w:rsidRPr="00E72303" w:rsidRDefault="000E5800" w:rsidP="007B178E">
            <w:pPr>
              <w:pStyle w:val="1stParagraph"/>
              <w:jc w:val="left"/>
              <w:rPr>
                <w:rFonts w:cs="Times New Roman"/>
                <w:sz w:val="22"/>
              </w:rPr>
            </w:pPr>
            <w:r w:rsidRPr="00E72303">
              <w:rPr>
                <w:rFonts w:cs="Times New Roman"/>
                <w:sz w:val="22"/>
              </w:rPr>
              <w:t>Household income less than 50K</w:t>
            </w:r>
          </w:p>
        </w:tc>
        <w:tc>
          <w:tcPr>
            <w:tcW w:w="1160" w:type="dxa"/>
            <w:vAlign w:val="center"/>
            <w:hideMark/>
          </w:tcPr>
          <w:p w14:paraId="0D00FCBA" w14:textId="640EAD56"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79EC2DA8" w14:textId="42F4D8E8"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74A07350" w14:textId="0981E0B5" w:rsidR="000E5800" w:rsidRPr="00E72303" w:rsidRDefault="000E5800" w:rsidP="007B178E">
            <w:pPr>
              <w:pStyle w:val="1stParagraph"/>
              <w:jc w:val="center"/>
              <w:rPr>
                <w:rFonts w:cs="Times New Roman"/>
                <w:sz w:val="22"/>
              </w:rPr>
            </w:pPr>
            <w:r w:rsidRPr="00E72303">
              <w:rPr>
                <w:rFonts w:cs="Times New Roman"/>
                <w:sz w:val="22"/>
              </w:rPr>
              <w:t>0.12</w:t>
            </w:r>
          </w:p>
        </w:tc>
      </w:tr>
      <w:tr w:rsidR="00E72303" w:rsidRPr="00E72303" w14:paraId="66970861" w14:textId="77777777" w:rsidTr="00931AF3">
        <w:trPr>
          <w:trHeight w:val="20"/>
        </w:trPr>
        <w:tc>
          <w:tcPr>
            <w:tcW w:w="2159" w:type="dxa"/>
            <w:vAlign w:val="center"/>
            <w:hideMark/>
          </w:tcPr>
          <w:p w14:paraId="794D1C78" w14:textId="77777777" w:rsidR="000E5800" w:rsidRPr="00E72303" w:rsidRDefault="000E5800" w:rsidP="007B178E">
            <w:pPr>
              <w:pStyle w:val="1stParagraph"/>
              <w:jc w:val="left"/>
              <w:rPr>
                <w:rFonts w:cs="Times New Roman"/>
                <w:sz w:val="22"/>
              </w:rPr>
            </w:pPr>
            <w:r w:rsidRPr="00E72303">
              <w:rPr>
                <w:rFonts w:cs="Times New Roman"/>
                <w:sz w:val="22"/>
              </w:rPr>
              <w:t>Medium income household</w:t>
            </w:r>
          </w:p>
        </w:tc>
        <w:tc>
          <w:tcPr>
            <w:tcW w:w="3787" w:type="dxa"/>
            <w:vAlign w:val="center"/>
          </w:tcPr>
          <w:p w14:paraId="1E4A1E48" w14:textId="77777777" w:rsidR="000E5800" w:rsidRPr="00E72303" w:rsidRDefault="000E5800" w:rsidP="007B178E">
            <w:pPr>
              <w:pStyle w:val="1stParagraph"/>
              <w:jc w:val="left"/>
              <w:rPr>
                <w:rFonts w:cs="Times New Roman"/>
                <w:sz w:val="22"/>
              </w:rPr>
            </w:pPr>
            <w:r w:rsidRPr="00E72303">
              <w:rPr>
                <w:rFonts w:cs="Times New Roman"/>
                <w:sz w:val="22"/>
              </w:rPr>
              <w:t>Household income in between 50K and 100K</w:t>
            </w:r>
          </w:p>
        </w:tc>
        <w:tc>
          <w:tcPr>
            <w:tcW w:w="1160" w:type="dxa"/>
            <w:vAlign w:val="center"/>
            <w:hideMark/>
          </w:tcPr>
          <w:p w14:paraId="1C787F35" w14:textId="15BD078C"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55B4DFEE" w14:textId="4DB6F5D0"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16FF98D6" w14:textId="64A1B7A0" w:rsidR="000E5800" w:rsidRPr="00E72303" w:rsidRDefault="000E5800" w:rsidP="007B178E">
            <w:pPr>
              <w:pStyle w:val="1stParagraph"/>
              <w:jc w:val="center"/>
              <w:rPr>
                <w:rFonts w:cs="Times New Roman"/>
                <w:sz w:val="22"/>
              </w:rPr>
            </w:pPr>
            <w:r w:rsidRPr="00E72303">
              <w:rPr>
                <w:rFonts w:cs="Times New Roman"/>
                <w:sz w:val="22"/>
              </w:rPr>
              <w:t>0.30</w:t>
            </w:r>
          </w:p>
        </w:tc>
      </w:tr>
      <w:tr w:rsidR="00E72303" w:rsidRPr="00E72303" w14:paraId="2F7B19BB" w14:textId="77777777" w:rsidTr="00931AF3">
        <w:trPr>
          <w:trHeight w:val="20"/>
        </w:trPr>
        <w:tc>
          <w:tcPr>
            <w:tcW w:w="2159" w:type="dxa"/>
            <w:vAlign w:val="center"/>
            <w:hideMark/>
          </w:tcPr>
          <w:p w14:paraId="4B296BBF" w14:textId="77777777" w:rsidR="000E5800" w:rsidRPr="00E72303" w:rsidRDefault="000E5800" w:rsidP="007B178E">
            <w:pPr>
              <w:pStyle w:val="1stParagraph"/>
              <w:jc w:val="left"/>
              <w:rPr>
                <w:rFonts w:cs="Times New Roman"/>
                <w:sz w:val="22"/>
              </w:rPr>
            </w:pPr>
            <w:r w:rsidRPr="00E72303">
              <w:rPr>
                <w:rFonts w:cs="Times New Roman"/>
                <w:sz w:val="22"/>
              </w:rPr>
              <w:t>High income household</w:t>
            </w:r>
          </w:p>
        </w:tc>
        <w:tc>
          <w:tcPr>
            <w:tcW w:w="3787" w:type="dxa"/>
            <w:vAlign w:val="center"/>
          </w:tcPr>
          <w:p w14:paraId="0F17578E" w14:textId="77777777" w:rsidR="000E5800" w:rsidRPr="00E72303" w:rsidRDefault="000E5800" w:rsidP="007B178E">
            <w:pPr>
              <w:pStyle w:val="1stParagraph"/>
              <w:jc w:val="left"/>
              <w:rPr>
                <w:rFonts w:cs="Times New Roman"/>
                <w:sz w:val="22"/>
              </w:rPr>
            </w:pPr>
            <w:r w:rsidRPr="00E72303">
              <w:rPr>
                <w:rFonts w:cs="Times New Roman"/>
                <w:sz w:val="22"/>
              </w:rPr>
              <w:t>Household income more than 100K</w:t>
            </w:r>
          </w:p>
        </w:tc>
        <w:tc>
          <w:tcPr>
            <w:tcW w:w="1160" w:type="dxa"/>
            <w:vAlign w:val="center"/>
            <w:hideMark/>
          </w:tcPr>
          <w:p w14:paraId="0D869BE9" w14:textId="09657A2C"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0017EB67" w14:textId="1D978559"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30AE72E9" w14:textId="71DEE78F" w:rsidR="000E5800" w:rsidRPr="00E72303" w:rsidRDefault="000E5800" w:rsidP="007B178E">
            <w:pPr>
              <w:pStyle w:val="1stParagraph"/>
              <w:jc w:val="center"/>
              <w:rPr>
                <w:rFonts w:cs="Times New Roman"/>
                <w:sz w:val="22"/>
              </w:rPr>
            </w:pPr>
            <w:r w:rsidRPr="00E72303">
              <w:rPr>
                <w:rFonts w:cs="Times New Roman"/>
                <w:sz w:val="22"/>
              </w:rPr>
              <w:t>0.58</w:t>
            </w:r>
          </w:p>
        </w:tc>
      </w:tr>
      <w:tr w:rsidR="00E72303" w:rsidRPr="00E72303" w14:paraId="264AF88B" w14:textId="77777777" w:rsidTr="00931AF3">
        <w:trPr>
          <w:trHeight w:val="20"/>
        </w:trPr>
        <w:tc>
          <w:tcPr>
            <w:tcW w:w="2159" w:type="dxa"/>
            <w:vAlign w:val="center"/>
            <w:hideMark/>
          </w:tcPr>
          <w:p w14:paraId="2096EE2E" w14:textId="77777777" w:rsidR="000E5800" w:rsidRPr="00E72303" w:rsidRDefault="000E5800" w:rsidP="007B178E">
            <w:pPr>
              <w:pStyle w:val="1stParagraph"/>
              <w:jc w:val="left"/>
              <w:rPr>
                <w:rFonts w:cs="Times New Roman"/>
                <w:sz w:val="22"/>
              </w:rPr>
            </w:pPr>
            <w:r w:rsidRPr="00E72303">
              <w:rPr>
                <w:rFonts w:cs="Times New Roman"/>
                <w:sz w:val="22"/>
              </w:rPr>
              <w:t>Less than 17 years old</w:t>
            </w:r>
          </w:p>
        </w:tc>
        <w:tc>
          <w:tcPr>
            <w:tcW w:w="3787" w:type="dxa"/>
            <w:vAlign w:val="center"/>
          </w:tcPr>
          <w:p w14:paraId="593C2CFB" w14:textId="77777777" w:rsidR="000E5800" w:rsidRPr="00E72303" w:rsidRDefault="000E5800" w:rsidP="007B178E">
            <w:pPr>
              <w:pStyle w:val="1stParagraph"/>
              <w:jc w:val="left"/>
              <w:rPr>
                <w:rFonts w:cs="Times New Roman"/>
                <w:sz w:val="22"/>
              </w:rPr>
            </w:pPr>
            <w:r w:rsidRPr="00E72303">
              <w:rPr>
                <w:rFonts w:cs="Times New Roman"/>
                <w:sz w:val="22"/>
              </w:rPr>
              <w:t>Age category: less than 17 years</w:t>
            </w:r>
          </w:p>
        </w:tc>
        <w:tc>
          <w:tcPr>
            <w:tcW w:w="1160" w:type="dxa"/>
            <w:vAlign w:val="center"/>
            <w:hideMark/>
          </w:tcPr>
          <w:p w14:paraId="749683F4" w14:textId="1CC56949"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4D5121A0" w14:textId="2420520C"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3C83C5E0" w14:textId="366C944B" w:rsidR="000E5800" w:rsidRPr="00E72303" w:rsidRDefault="000E5800" w:rsidP="007B178E">
            <w:pPr>
              <w:pStyle w:val="1stParagraph"/>
              <w:jc w:val="center"/>
              <w:rPr>
                <w:rFonts w:cs="Times New Roman"/>
                <w:sz w:val="22"/>
              </w:rPr>
            </w:pPr>
            <w:r w:rsidRPr="00E72303">
              <w:rPr>
                <w:rFonts w:cs="Times New Roman"/>
                <w:sz w:val="22"/>
              </w:rPr>
              <w:t>0.01</w:t>
            </w:r>
          </w:p>
        </w:tc>
      </w:tr>
      <w:tr w:rsidR="00E72303" w:rsidRPr="00E72303" w14:paraId="23B251CB" w14:textId="77777777" w:rsidTr="00931AF3">
        <w:trPr>
          <w:trHeight w:val="20"/>
        </w:trPr>
        <w:tc>
          <w:tcPr>
            <w:tcW w:w="2159" w:type="dxa"/>
            <w:vAlign w:val="center"/>
            <w:hideMark/>
          </w:tcPr>
          <w:p w14:paraId="252DC1FE" w14:textId="77777777" w:rsidR="000E5800" w:rsidRPr="00E72303" w:rsidRDefault="000E5800" w:rsidP="007B178E">
            <w:pPr>
              <w:pStyle w:val="1stParagraph"/>
              <w:jc w:val="left"/>
              <w:rPr>
                <w:rFonts w:cs="Times New Roman"/>
                <w:sz w:val="22"/>
              </w:rPr>
            </w:pPr>
            <w:r w:rsidRPr="00E72303">
              <w:rPr>
                <w:rFonts w:cs="Times New Roman"/>
                <w:sz w:val="22"/>
              </w:rPr>
              <w:t>17 to 35 years old</w:t>
            </w:r>
          </w:p>
        </w:tc>
        <w:tc>
          <w:tcPr>
            <w:tcW w:w="3787" w:type="dxa"/>
            <w:vAlign w:val="center"/>
          </w:tcPr>
          <w:p w14:paraId="6777EA6A" w14:textId="77777777" w:rsidR="000E5800" w:rsidRPr="00E72303" w:rsidRDefault="000E5800" w:rsidP="007B178E">
            <w:pPr>
              <w:pStyle w:val="1stParagraph"/>
              <w:jc w:val="left"/>
              <w:rPr>
                <w:rFonts w:cs="Times New Roman"/>
                <w:sz w:val="22"/>
              </w:rPr>
            </w:pPr>
            <w:r w:rsidRPr="00E72303">
              <w:rPr>
                <w:rFonts w:cs="Times New Roman"/>
                <w:sz w:val="22"/>
              </w:rPr>
              <w:t>Age category: less than 17 to 35 years</w:t>
            </w:r>
          </w:p>
        </w:tc>
        <w:tc>
          <w:tcPr>
            <w:tcW w:w="1160" w:type="dxa"/>
            <w:vAlign w:val="center"/>
            <w:hideMark/>
          </w:tcPr>
          <w:p w14:paraId="7E68C6BC" w14:textId="5402944D"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149D1F86" w14:textId="5982F990"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6ACF09A8" w14:textId="55C69E7E" w:rsidR="000E5800" w:rsidRPr="00E72303" w:rsidRDefault="000E5800" w:rsidP="007B178E">
            <w:pPr>
              <w:pStyle w:val="1stParagraph"/>
              <w:jc w:val="center"/>
              <w:rPr>
                <w:rFonts w:cs="Times New Roman"/>
                <w:sz w:val="22"/>
              </w:rPr>
            </w:pPr>
            <w:r w:rsidRPr="00E72303">
              <w:rPr>
                <w:rFonts w:cs="Times New Roman"/>
                <w:sz w:val="22"/>
              </w:rPr>
              <w:t>0.11</w:t>
            </w:r>
          </w:p>
        </w:tc>
      </w:tr>
      <w:tr w:rsidR="00E72303" w:rsidRPr="00E72303" w14:paraId="1F36DCEE" w14:textId="77777777" w:rsidTr="00931AF3">
        <w:trPr>
          <w:trHeight w:val="20"/>
        </w:trPr>
        <w:tc>
          <w:tcPr>
            <w:tcW w:w="2159" w:type="dxa"/>
            <w:vAlign w:val="center"/>
            <w:hideMark/>
          </w:tcPr>
          <w:p w14:paraId="0AF8919F" w14:textId="77777777" w:rsidR="000E5800" w:rsidRPr="00E72303" w:rsidRDefault="000E5800" w:rsidP="007B178E">
            <w:pPr>
              <w:pStyle w:val="1stParagraph"/>
              <w:jc w:val="left"/>
              <w:rPr>
                <w:rFonts w:cs="Times New Roman"/>
                <w:sz w:val="22"/>
              </w:rPr>
            </w:pPr>
            <w:r w:rsidRPr="00E72303">
              <w:rPr>
                <w:rFonts w:cs="Times New Roman"/>
                <w:sz w:val="22"/>
              </w:rPr>
              <w:t>36 to 50 years old</w:t>
            </w:r>
          </w:p>
        </w:tc>
        <w:tc>
          <w:tcPr>
            <w:tcW w:w="3787" w:type="dxa"/>
            <w:vAlign w:val="center"/>
          </w:tcPr>
          <w:p w14:paraId="7CF72F10" w14:textId="77777777" w:rsidR="000E5800" w:rsidRPr="00E72303" w:rsidRDefault="000E5800" w:rsidP="007B178E">
            <w:pPr>
              <w:pStyle w:val="1stParagraph"/>
              <w:jc w:val="left"/>
              <w:rPr>
                <w:rFonts w:cs="Times New Roman"/>
                <w:sz w:val="22"/>
              </w:rPr>
            </w:pPr>
            <w:r w:rsidRPr="00E72303">
              <w:rPr>
                <w:rFonts w:cs="Times New Roman"/>
                <w:sz w:val="22"/>
              </w:rPr>
              <w:t>Age category: less than 36 to 50 years</w:t>
            </w:r>
          </w:p>
        </w:tc>
        <w:tc>
          <w:tcPr>
            <w:tcW w:w="1160" w:type="dxa"/>
            <w:vAlign w:val="center"/>
            <w:hideMark/>
          </w:tcPr>
          <w:p w14:paraId="31D582C2" w14:textId="0417C764"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67060F63" w14:textId="4E93B974"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6E892AAB" w14:textId="3D32FFD1" w:rsidR="000E5800" w:rsidRPr="00E72303" w:rsidRDefault="000E5800" w:rsidP="007B178E">
            <w:pPr>
              <w:pStyle w:val="1stParagraph"/>
              <w:jc w:val="center"/>
              <w:rPr>
                <w:rFonts w:cs="Times New Roman"/>
                <w:sz w:val="22"/>
              </w:rPr>
            </w:pPr>
            <w:r w:rsidRPr="00E72303">
              <w:rPr>
                <w:rFonts w:cs="Times New Roman"/>
                <w:sz w:val="22"/>
              </w:rPr>
              <w:t>0.22</w:t>
            </w:r>
          </w:p>
        </w:tc>
      </w:tr>
      <w:tr w:rsidR="00E72303" w:rsidRPr="00E72303" w14:paraId="33C1CA23" w14:textId="77777777" w:rsidTr="00931AF3">
        <w:trPr>
          <w:trHeight w:val="20"/>
        </w:trPr>
        <w:tc>
          <w:tcPr>
            <w:tcW w:w="2159" w:type="dxa"/>
            <w:vAlign w:val="center"/>
            <w:hideMark/>
          </w:tcPr>
          <w:p w14:paraId="16C66537" w14:textId="77777777" w:rsidR="000E5800" w:rsidRPr="00E72303" w:rsidRDefault="000E5800" w:rsidP="007B178E">
            <w:pPr>
              <w:pStyle w:val="1stParagraph"/>
              <w:jc w:val="left"/>
              <w:rPr>
                <w:rFonts w:cs="Times New Roman"/>
                <w:sz w:val="22"/>
              </w:rPr>
            </w:pPr>
            <w:r w:rsidRPr="00E72303">
              <w:rPr>
                <w:rFonts w:cs="Times New Roman"/>
                <w:sz w:val="22"/>
              </w:rPr>
              <w:t>51 to 65 years old</w:t>
            </w:r>
          </w:p>
        </w:tc>
        <w:tc>
          <w:tcPr>
            <w:tcW w:w="3787" w:type="dxa"/>
            <w:vAlign w:val="center"/>
          </w:tcPr>
          <w:p w14:paraId="54259EC9" w14:textId="77777777" w:rsidR="000E5800" w:rsidRPr="00E72303" w:rsidRDefault="000E5800" w:rsidP="007B178E">
            <w:pPr>
              <w:pStyle w:val="1stParagraph"/>
              <w:jc w:val="left"/>
              <w:rPr>
                <w:rFonts w:cs="Times New Roman"/>
                <w:sz w:val="22"/>
              </w:rPr>
            </w:pPr>
            <w:r w:rsidRPr="00E72303">
              <w:rPr>
                <w:rFonts w:cs="Times New Roman"/>
                <w:sz w:val="22"/>
              </w:rPr>
              <w:t>Age category: less than 51 to 65 years</w:t>
            </w:r>
          </w:p>
        </w:tc>
        <w:tc>
          <w:tcPr>
            <w:tcW w:w="1160" w:type="dxa"/>
            <w:vAlign w:val="center"/>
            <w:hideMark/>
          </w:tcPr>
          <w:p w14:paraId="42495A83" w14:textId="03A30049"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13223719" w14:textId="25F66AD2"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22A875F4" w14:textId="5C7AC588" w:rsidR="000E5800" w:rsidRPr="00E72303" w:rsidRDefault="000E5800" w:rsidP="007B178E">
            <w:pPr>
              <w:pStyle w:val="1stParagraph"/>
              <w:jc w:val="center"/>
              <w:rPr>
                <w:rFonts w:cs="Times New Roman"/>
                <w:sz w:val="22"/>
              </w:rPr>
            </w:pPr>
            <w:r w:rsidRPr="00E72303">
              <w:rPr>
                <w:rFonts w:cs="Times New Roman"/>
                <w:sz w:val="22"/>
              </w:rPr>
              <w:t>0.36</w:t>
            </w:r>
          </w:p>
        </w:tc>
      </w:tr>
      <w:tr w:rsidR="00E72303" w:rsidRPr="00E72303" w14:paraId="30F1B244" w14:textId="77777777" w:rsidTr="00931AF3">
        <w:trPr>
          <w:trHeight w:val="20"/>
        </w:trPr>
        <w:tc>
          <w:tcPr>
            <w:tcW w:w="2159" w:type="dxa"/>
            <w:vAlign w:val="center"/>
            <w:hideMark/>
          </w:tcPr>
          <w:p w14:paraId="2C7478E8" w14:textId="77777777" w:rsidR="000E5800" w:rsidRPr="00E72303" w:rsidRDefault="000E5800" w:rsidP="007B178E">
            <w:pPr>
              <w:pStyle w:val="1stParagraph"/>
              <w:jc w:val="left"/>
              <w:rPr>
                <w:rFonts w:cs="Times New Roman"/>
                <w:sz w:val="22"/>
              </w:rPr>
            </w:pPr>
            <w:r w:rsidRPr="00E72303">
              <w:rPr>
                <w:rFonts w:cs="Times New Roman"/>
                <w:sz w:val="22"/>
              </w:rPr>
              <w:t>More than 65 years old</w:t>
            </w:r>
          </w:p>
        </w:tc>
        <w:tc>
          <w:tcPr>
            <w:tcW w:w="3787" w:type="dxa"/>
            <w:vAlign w:val="center"/>
          </w:tcPr>
          <w:p w14:paraId="0B4F2E1B" w14:textId="77777777" w:rsidR="000E5800" w:rsidRPr="00E72303" w:rsidRDefault="000E5800" w:rsidP="007B178E">
            <w:pPr>
              <w:pStyle w:val="1stParagraph"/>
              <w:jc w:val="left"/>
              <w:rPr>
                <w:rFonts w:cs="Times New Roman"/>
                <w:sz w:val="22"/>
              </w:rPr>
            </w:pPr>
            <w:r w:rsidRPr="00E72303">
              <w:rPr>
                <w:rFonts w:cs="Times New Roman"/>
                <w:sz w:val="22"/>
              </w:rPr>
              <w:t>Age category: more than 65 years</w:t>
            </w:r>
          </w:p>
        </w:tc>
        <w:tc>
          <w:tcPr>
            <w:tcW w:w="1160" w:type="dxa"/>
            <w:vAlign w:val="center"/>
            <w:hideMark/>
          </w:tcPr>
          <w:p w14:paraId="77A882C5" w14:textId="2F9A830A" w:rsidR="000E5800" w:rsidRPr="00E72303" w:rsidRDefault="000E5800" w:rsidP="007B178E">
            <w:pPr>
              <w:pStyle w:val="1stParagraph"/>
              <w:jc w:val="center"/>
              <w:rPr>
                <w:rFonts w:cs="Times New Roman"/>
                <w:sz w:val="22"/>
              </w:rPr>
            </w:pPr>
            <w:r w:rsidRPr="00E72303">
              <w:rPr>
                <w:rFonts w:cs="Times New Roman"/>
                <w:sz w:val="22"/>
              </w:rPr>
              <w:t>0.00</w:t>
            </w:r>
          </w:p>
        </w:tc>
        <w:tc>
          <w:tcPr>
            <w:tcW w:w="1196" w:type="dxa"/>
            <w:vAlign w:val="center"/>
            <w:hideMark/>
          </w:tcPr>
          <w:p w14:paraId="16ADABEA" w14:textId="404866FE" w:rsidR="000E5800" w:rsidRPr="00E72303" w:rsidRDefault="000E5800" w:rsidP="007B178E">
            <w:pPr>
              <w:pStyle w:val="1stParagraph"/>
              <w:jc w:val="center"/>
              <w:rPr>
                <w:rFonts w:cs="Times New Roman"/>
                <w:sz w:val="22"/>
              </w:rPr>
            </w:pPr>
            <w:r w:rsidRPr="00E72303">
              <w:rPr>
                <w:rFonts w:cs="Times New Roman"/>
                <w:sz w:val="22"/>
              </w:rPr>
              <w:t>1.00</w:t>
            </w:r>
          </w:p>
        </w:tc>
        <w:tc>
          <w:tcPr>
            <w:tcW w:w="1064" w:type="dxa"/>
            <w:vAlign w:val="center"/>
            <w:hideMark/>
          </w:tcPr>
          <w:p w14:paraId="1FA8FCA9" w14:textId="103050B2" w:rsidR="000E5800" w:rsidRPr="00E72303" w:rsidRDefault="000E5800" w:rsidP="007B178E">
            <w:pPr>
              <w:pStyle w:val="1stParagraph"/>
              <w:jc w:val="center"/>
              <w:rPr>
                <w:rFonts w:cs="Times New Roman"/>
                <w:sz w:val="22"/>
              </w:rPr>
            </w:pPr>
            <w:r w:rsidRPr="00E72303">
              <w:rPr>
                <w:rFonts w:cs="Times New Roman"/>
                <w:sz w:val="22"/>
              </w:rPr>
              <w:t>0.31</w:t>
            </w:r>
          </w:p>
        </w:tc>
      </w:tr>
      <w:tr w:rsidR="00E72303" w:rsidRPr="00E72303" w14:paraId="08B0B359" w14:textId="77777777" w:rsidTr="00931AF3">
        <w:trPr>
          <w:trHeight w:val="20"/>
        </w:trPr>
        <w:tc>
          <w:tcPr>
            <w:tcW w:w="2159" w:type="dxa"/>
            <w:vAlign w:val="center"/>
          </w:tcPr>
          <w:p w14:paraId="5755C853" w14:textId="2F8BCC23" w:rsidR="00931AF3" w:rsidRPr="00E72303" w:rsidRDefault="00931AF3" w:rsidP="007B178E">
            <w:pPr>
              <w:pStyle w:val="1stParagraph"/>
              <w:jc w:val="left"/>
              <w:rPr>
                <w:rFonts w:cs="Times New Roman"/>
                <w:sz w:val="22"/>
              </w:rPr>
            </w:pPr>
            <w:r w:rsidRPr="00E72303">
              <w:rPr>
                <w:rFonts w:cs="Times New Roman"/>
                <w:sz w:val="22"/>
              </w:rPr>
              <w:t>Location: Urban</w:t>
            </w:r>
          </w:p>
        </w:tc>
        <w:tc>
          <w:tcPr>
            <w:tcW w:w="3787" w:type="dxa"/>
            <w:vAlign w:val="center"/>
          </w:tcPr>
          <w:p w14:paraId="10F2ECF9" w14:textId="73C47DC4" w:rsidR="00931AF3" w:rsidRPr="00E72303" w:rsidRDefault="00931AF3" w:rsidP="007B178E">
            <w:pPr>
              <w:pStyle w:val="1stParagraph"/>
              <w:jc w:val="left"/>
              <w:rPr>
                <w:rFonts w:cs="Times New Roman"/>
                <w:sz w:val="22"/>
              </w:rPr>
            </w:pPr>
            <w:r w:rsidRPr="00E72303">
              <w:rPr>
                <w:rFonts w:cs="Times New Roman"/>
                <w:sz w:val="22"/>
              </w:rPr>
              <w:t>Urban = 1/ Rural = 0</w:t>
            </w:r>
          </w:p>
        </w:tc>
        <w:tc>
          <w:tcPr>
            <w:tcW w:w="1160" w:type="dxa"/>
            <w:vAlign w:val="center"/>
          </w:tcPr>
          <w:p w14:paraId="5279D79C" w14:textId="4A664E7A" w:rsidR="00931AF3" w:rsidRPr="00E72303" w:rsidRDefault="00931AF3" w:rsidP="007B178E">
            <w:pPr>
              <w:pStyle w:val="1stParagraph"/>
              <w:jc w:val="center"/>
              <w:rPr>
                <w:rFonts w:cs="Times New Roman"/>
                <w:sz w:val="22"/>
              </w:rPr>
            </w:pPr>
            <w:r w:rsidRPr="00E72303">
              <w:rPr>
                <w:rFonts w:cs="Times New Roman"/>
                <w:sz w:val="22"/>
              </w:rPr>
              <w:t>0.00</w:t>
            </w:r>
          </w:p>
        </w:tc>
        <w:tc>
          <w:tcPr>
            <w:tcW w:w="1196" w:type="dxa"/>
            <w:vAlign w:val="center"/>
          </w:tcPr>
          <w:p w14:paraId="27515CA2" w14:textId="51DD69B3" w:rsidR="00931AF3" w:rsidRPr="00E72303" w:rsidRDefault="00931AF3" w:rsidP="007B178E">
            <w:pPr>
              <w:pStyle w:val="1stParagraph"/>
              <w:jc w:val="center"/>
              <w:rPr>
                <w:rFonts w:cs="Times New Roman"/>
                <w:sz w:val="22"/>
              </w:rPr>
            </w:pPr>
            <w:r w:rsidRPr="00E72303">
              <w:rPr>
                <w:rFonts w:cs="Times New Roman"/>
                <w:sz w:val="22"/>
              </w:rPr>
              <w:t>1.00</w:t>
            </w:r>
          </w:p>
        </w:tc>
        <w:tc>
          <w:tcPr>
            <w:tcW w:w="1064" w:type="dxa"/>
            <w:vAlign w:val="center"/>
          </w:tcPr>
          <w:p w14:paraId="775B67F9" w14:textId="362CC787" w:rsidR="00931AF3" w:rsidRPr="00E72303" w:rsidRDefault="00931AF3" w:rsidP="007B178E">
            <w:pPr>
              <w:pStyle w:val="1stParagraph"/>
              <w:jc w:val="center"/>
              <w:rPr>
                <w:rFonts w:cs="Times New Roman"/>
                <w:sz w:val="22"/>
              </w:rPr>
            </w:pPr>
            <w:r w:rsidRPr="00E72303">
              <w:rPr>
                <w:rFonts w:cs="Times New Roman"/>
                <w:sz w:val="22"/>
              </w:rPr>
              <w:t>0.86</w:t>
            </w:r>
          </w:p>
        </w:tc>
      </w:tr>
      <w:tr w:rsidR="00E72303" w:rsidRPr="00E72303" w14:paraId="2E73D8E1" w14:textId="77777777" w:rsidTr="00931AF3">
        <w:trPr>
          <w:trHeight w:val="20"/>
        </w:trPr>
        <w:tc>
          <w:tcPr>
            <w:tcW w:w="2159" w:type="dxa"/>
            <w:vAlign w:val="center"/>
          </w:tcPr>
          <w:p w14:paraId="2BB2A2EC" w14:textId="62B929F0" w:rsidR="002E31C9" w:rsidRPr="00E72303" w:rsidRDefault="002E31C9" w:rsidP="007B178E">
            <w:pPr>
              <w:pStyle w:val="1stParagraph"/>
              <w:jc w:val="left"/>
              <w:rPr>
                <w:rFonts w:cs="Times New Roman"/>
                <w:sz w:val="22"/>
              </w:rPr>
            </w:pPr>
            <w:r w:rsidRPr="00E72303">
              <w:rPr>
                <w:rFonts w:cs="Times New Roman"/>
                <w:sz w:val="22"/>
              </w:rPr>
              <w:t>Location: Rural</w:t>
            </w:r>
          </w:p>
        </w:tc>
        <w:tc>
          <w:tcPr>
            <w:tcW w:w="3787" w:type="dxa"/>
            <w:vAlign w:val="center"/>
          </w:tcPr>
          <w:p w14:paraId="7F210C8D" w14:textId="0F63946F" w:rsidR="002E31C9" w:rsidRPr="00E72303" w:rsidRDefault="002E31C9" w:rsidP="007B178E">
            <w:pPr>
              <w:pStyle w:val="1stParagraph"/>
              <w:jc w:val="left"/>
              <w:rPr>
                <w:rFonts w:cs="Times New Roman"/>
                <w:sz w:val="22"/>
              </w:rPr>
            </w:pPr>
            <w:r w:rsidRPr="00E72303">
              <w:rPr>
                <w:rFonts w:cs="Times New Roman"/>
                <w:sz w:val="22"/>
              </w:rPr>
              <w:t>Urban = 0/ Rural = 1</w:t>
            </w:r>
          </w:p>
        </w:tc>
        <w:tc>
          <w:tcPr>
            <w:tcW w:w="1160" w:type="dxa"/>
            <w:vAlign w:val="center"/>
          </w:tcPr>
          <w:p w14:paraId="31EB6EBD" w14:textId="296C8EB5" w:rsidR="002E31C9" w:rsidRPr="00E72303" w:rsidRDefault="002E31C9" w:rsidP="007B178E">
            <w:pPr>
              <w:pStyle w:val="1stParagraph"/>
              <w:jc w:val="center"/>
              <w:rPr>
                <w:rFonts w:cs="Times New Roman"/>
                <w:sz w:val="22"/>
              </w:rPr>
            </w:pPr>
            <w:r w:rsidRPr="00E72303">
              <w:rPr>
                <w:rFonts w:cs="Times New Roman"/>
                <w:sz w:val="22"/>
              </w:rPr>
              <w:t>0.00</w:t>
            </w:r>
          </w:p>
        </w:tc>
        <w:tc>
          <w:tcPr>
            <w:tcW w:w="1196" w:type="dxa"/>
            <w:vAlign w:val="center"/>
          </w:tcPr>
          <w:p w14:paraId="300429B2" w14:textId="44AB6DCD" w:rsidR="002E31C9" w:rsidRPr="00E72303" w:rsidRDefault="002E31C9" w:rsidP="007B178E">
            <w:pPr>
              <w:pStyle w:val="1stParagraph"/>
              <w:jc w:val="center"/>
              <w:rPr>
                <w:rFonts w:cs="Times New Roman"/>
                <w:sz w:val="22"/>
              </w:rPr>
            </w:pPr>
            <w:r w:rsidRPr="00E72303">
              <w:rPr>
                <w:rFonts w:cs="Times New Roman"/>
                <w:sz w:val="22"/>
              </w:rPr>
              <w:t>1.00</w:t>
            </w:r>
          </w:p>
        </w:tc>
        <w:tc>
          <w:tcPr>
            <w:tcW w:w="1064" w:type="dxa"/>
            <w:vAlign w:val="center"/>
          </w:tcPr>
          <w:p w14:paraId="2AC04DC2" w14:textId="274C23C2" w:rsidR="002E31C9" w:rsidRPr="00E72303" w:rsidRDefault="002E31C9" w:rsidP="007B178E">
            <w:pPr>
              <w:pStyle w:val="1stParagraph"/>
              <w:jc w:val="center"/>
              <w:rPr>
                <w:rFonts w:cs="Times New Roman"/>
                <w:sz w:val="22"/>
              </w:rPr>
            </w:pPr>
            <w:r w:rsidRPr="00E72303">
              <w:rPr>
                <w:rFonts w:cs="Times New Roman"/>
                <w:sz w:val="22"/>
              </w:rPr>
              <w:t>0.14</w:t>
            </w:r>
          </w:p>
        </w:tc>
      </w:tr>
      <w:tr w:rsidR="00E72303" w:rsidRPr="00E72303" w14:paraId="692D50CA" w14:textId="77777777" w:rsidTr="00931AF3">
        <w:trPr>
          <w:trHeight w:val="20"/>
        </w:trPr>
        <w:tc>
          <w:tcPr>
            <w:tcW w:w="2159" w:type="dxa"/>
            <w:vAlign w:val="center"/>
          </w:tcPr>
          <w:p w14:paraId="503FB2F3" w14:textId="200422C9" w:rsidR="004D75DA" w:rsidRPr="00E72303" w:rsidRDefault="004D75DA" w:rsidP="007B178E">
            <w:pPr>
              <w:pStyle w:val="1stParagraph"/>
              <w:jc w:val="left"/>
              <w:rPr>
                <w:rFonts w:cs="Times New Roman"/>
                <w:sz w:val="22"/>
              </w:rPr>
            </w:pPr>
            <w:r w:rsidRPr="00E72303">
              <w:rPr>
                <w:rFonts w:cs="Times New Roman"/>
                <w:sz w:val="22"/>
              </w:rPr>
              <w:t>Northeast</w:t>
            </w:r>
          </w:p>
        </w:tc>
        <w:tc>
          <w:tcPr>
            <w:tcW w:w="3787" w:type="dxa"/>
            <w:vAlign w:val="center"/>
          </w:tcPr>
          <w:p w14:paraId="36C0E37A" w14:textId="0B345D79" w:rsidR="004D75DA" w:rsidRPr="00E72303" w:rsidRDefault="004D75DA" w:rsidP="007B178E">
            <w:pPr>
              <w:pStyle w:val="1stParagraph"/>
              <w:jc w:val="left"/>
              <w:rPr>
                <w:rFonts w:cs="Times New Roman"/>
                <w:sz w:val="22"/>
              </w:rPr>
            </w:pPr>
            <w:r w:rsidRPr="00E72303">
              <w:rPr>
                <w:rFonts w:cs="Times New Roman"/>
                <w:sz w:val="22"/>
              </w:rPr>
              <w:t>Included states: Connecticut, Massachusetts, Maine, New Hampshire, New Jersey, New York, Pennsylvania, Rhode Island, and Vermont</w:t>
            </w:r>
          </w:p>
        </w:tc>
        <w:tc>
          <w:tcPr>
            <w:tcW w:w="1160" w:type="dxa"/>
            <w:vAlign w:val="center"/>
          </w:tcPr>
          <w:p w14:paraId="20E398F0" w14:textId="666DF543"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566EEBF4" w14:textId="2366F4FE"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785ED564" w14:textId="2AB0D8CF" w:rsidR="004D75DA" w:rsidRPr="00E72303" w:rsidRDefault="004D75DA" w:rsidP="007B178E">
            <w:pPr>
              <w:pStyle w:val="1stParagraph"/>
              <w:jc w:val="center"/>
              <w:rPr>
                <w:rFonts w:cs="Times New Roman"/>
                <w:sz w:val="22"/>
              </w:rPr>
            </w:pPr>
            <w:r w:rsidRPr="00E72303">
              <w:rPr>
                <w:rFonts w:cs="Times New Roman"/>
                <w:sz w:val="22"/>
              </w:rPr>
              <w:t>0.20</w:t>
            </w:r>
          </w:p>
        </w:tc>
      </w:tr>
      <w:tr w:rsidR="00E72303" w:rsidRPr="00E72303" w14:paraId="2E51309E" w14:textId="77777777" w:rsidTr="00931AF3">
        <w:trPr>
          <w:trHeight w:val="20"/>
        </w:trPr>
        <w:tc>
          <w:tcPr>
            <w:tcW w:w="2159" w:type="dxa"/>
            <w:vAlign w:val="center"/>
          </w:tcPr>
          <w:p w14:paraId="0299745E" w14:textId="1313A278" w:rsidR="004D75DA" w:rsidRPr="00E72303" w:rsidRDefault="004D75DA" w:rsidP="007B178E">
            <w:pPr>
              <w:pStyle w:val="1stParagraph"/>
              <w:jc w:val="left"/>
              <w:rPr>
                <w:rFonts w:cs="Times New Roman"/>
                <w:sz w:val="22"/>
              </w:rPr>
            </w:pPr>
            <w:r w:rsidRPr="00E72303">
              <w:rPr>
                <w:rFonts w:cs="Times New Roman"/>
                <w:sz w:val="22"/>
              </w:rPr>
              <w:t>Midwest</w:t>
            </w:r>
          </w:p>
        </w:tc>
        <w:tc>
          <w:tcPr>
            <w:tcW w:w="3787" w:type="dxa"/>
            <w:vAlign w:val="center"/>
          </w:tcPr>
          <w:p w14:paraId="5411E921" w14:textId="56DE230E" w:rsidR="004D75DA" w:rsidRPr="00E72303" w:rsidRDefault="00773A21" w:rsidP="007B178E">
            <w:pPr>
              <w:pStyle w:val="1stParagraph"/>
              <w:jc w:val="left"/>
              <w:rPr>
                <w:rFonts w:cs="Times New Roman"/>
                <w:sz w:val="22"/>
              </w:rPr>
            </w:pPr>
            <w:r w:rsidRPr="00E72303">
              <w:rPr>
                <w:rFonts w:cs="Times New Roman"/>
                <w:sz w:val="22"/>
              </w:rPr>
              <w:t xml:space="preserve">Included states: </w:t>
            </w:r>
            <w:r w:rsidR="004D75DA" w:rsidRPr="00E72303">
              <w:rPr>
                <w:rFonts w:cs="Times New Roman"/>
                <w:sz w:val="22"/>
              </w:rPr>
              <w:t>Iowa, Illinois, Indiana, Kansas, Michigan, Minnesota</w:t>
            </w:r>
            <w:r w:rsidRPr="00E72303">
              <w:rPr>
                <w:rFonts w:cs="Times New Roman"/>
                <w:sz w:val="22"/>
              </w:rPr>
              <w:t xml:space="preserve">, </w:t>
            </w:r>
            <w:r w:rsidR="004D75DA" w:rsidRPr="00E72303">
              <w:rPr>
                <w:rFonts w:cs="Times New Roman"/>
                <w:sz w:val="22"/>
              </w:rPr>
              <w:t>Missouri</w:t>
            </w:r>
            <w:r w:rsidRPr="00E72303">
              <w:rPr>
                <w:rFonts w:cs="Times New Roman"/>
                <w:sz w:val="22"/>
              </w:rPr>
              <w:t xml:space="preserve">, </w:t>
            </w:r>
            <w:r w:rsidR="004D75DA" w:rsidRPr="00E72303">
              <w:rPr>
                <w:rFonts w:cs="Times New Roman"/>
                <w:sz w:val="22"/>
              </w:rPr>
              <w:t>North Dakota</w:t>
            </w:r>
            <w:r w:rsidRPr="00E72303">
              <w:rPr>
                <w:rFonts w:cs="Times New Roman"/>
                <w:sz w:val="22"/>
              </w:rPr>
              <w:t xml:space="preserve">, </w:t>
            </w:r>
            <w:r w:rsidR="004D75DA" w:rsidRPr="00E72303">
              <w:rPr>
                <w:rFonts w:cs="Times New Roman"/>
                <w:sz w:val="22"/>
              </w:rPr>
              <w:t>Nebraska</w:t>
            </w:r>
            <w:r w:rsidRPr="00E72303">
              <w:rPr>
                <w:rFonts w:cs="Times New Roman"/>
                <w:sz w:val="22"/>
              </w:rPr>
              <w:t xml:space="preserve">, </w:t>
            </w:r>
            <w:r w:rsidR="004D75DA" w:rsidRPr="00E72303">
              <w:rPr>
                <w:rFonts w:cs="Times New Roman"/>
                <w:sz w:val="22"/>
              </w:rPr>
              <w:t>Ohio</w:t>
            </w:r>
            <w:r w:rsidRPr="00E72303">
              <w:rPr>
                <w:rFonts w:cs="Times New Roman"/>
                <w:sz w:val="22"/>
              </w:rPr>
              <w:t xml:space="preserve">, </w:t>
            </w:r>
            <w:r w:rsidR="004D75DA" w:rsidRPr="00E72303">
              <w:rPr>
                <w:rFonts w:cs="Times New Roman"/>
                <w:sz w:val="22"/>
              </w:rPr>
              <w:t>South Dakota</w:t>
            </w:r>
            <w:r w:rsidRPr="00E72303">
              <w:rPr>
                <w:rFonts w:cs="Times New Roman"/>
                <w:sz w:val="22"/>
              </w:rPr>
              <w:t xml:space="preserve">, and </w:t>
            </w:r>
            <w:r w:rsidR="004D75DA" w:rsidRPr="00E72303">
              <w:rPr>
                <w:rFonts w:cs="Times New Roman"/>
                <w:sz w:val="22"/>
              </w:rPr>
              <w:t>Wisconsin</w:t>
            </w:r>
          </w:p>
        </w:tc>
        <w:tc>
          <w:tcPr>
            <w:tcW w:w="1160" w:type="dxa"/>
            <w:vAlign w:val="center"/>
          </w:tcPr>
          <w:p w14:paraId="4E296C8F" w14:textId="3FD16C18"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26368510" w14:textId="602CBAEB"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149B8BDC" w14:textId="451EE6E6" w:rsidR="004D75DA" w:rsidRPr="00E72303" w:rsidRDefault="004D75DA" w:rsidP="007B178E">
            <w:pPr>
              <w:pStyle w:val="1stParagraph"/>
              <w:jc w:val="center"/>
              <w:rPr>
                <w:rFonts w:cs="Times New Roman"/>
                <w:sz w:val="22"/>
              </w:rPr>
            </w:pPr>
            <w:r w:rsidRPr="00E72303">
              <w:rPr>
                <w:rFonts w:cs="Times New Roman"/>
                <w:sz w:val="22"/>
              </w:rPr>
              <w:t>0.24</w:t>
            </w:r>
          </w:p>
        </w:tc>
      </w:tr>
      <w:tr w:rsidR="00E72303" w:rsidRPr="00E72303" w14:paraId="19DDB94C" w14:textId="77777777" w:rsidTr="00931AF3">
        <w:trPr>
          <w:trHeight w:val="20"/>
        </w:trPr>
        <w:tc>
          <w:tcPr>
            <w:tcW w:w="2159" w:type="dxa"/>
            <w:vAlign w:val="center"/>
          </w:tcPr>
          <w:p w14:paraId="6AD1AC2F" w14:textId="1E473304" w:rsidR="004D75DA" w:rsidRPr="00E72303" w:rsidRDefault="004D75DA" w:rsidP="007B178E">
            <w:pPr>
              <w:pStyle w:val="1stParagraph"/>
              <w:jc w:val="left"/>
              <w:rPr>
                <w:rFonts w:cs="Times New Roman"/>
                <w:sz w:val="22"/>
              </w:rPr>
            </w:pPr>
            <w:r w:rsidRPr="00E72303">
              <w:rPr>
                <w:rFonts w:cs="Times New Roman"/>
                <w:sz w:val="22"/>
              </w:rPr>
              <w:t>South</w:t>
            </w:r>
          </w:p>
        </w:tc>
        <w:tc>
          <w:tcPr>
            <w:tcW w:w="3787" w:type="dxa"/>
            <w:vAlign w:val="center"/>
          </w:tcPr>
          <w:p w14:paraId="08C7882E" w14:textId="6045ADDA" w:rsidR="004D75DA" w:rsidRPr="00E72303" w:rsidRDefault="00773A21" w:rsidP="007B178E">
            <w:pPr>
              <w:pStyle w:val="1stParagraph"/>
              <w:jc w:val="left"/>
              <w:rPr>
                <w:rFonts w:cs="Times New Roman"/>
                <w:sz w:val="22"/>
              </w:rPr>
            </w:pPr>
            <w:r w:rsidRPr="00E72303">
              <w:rPr>
                <w:rFonts w:cs="Times New Roman"/>
                <w:sz w:val="22"/>
              </w:rPr>
              <w:t>Included states: Alabama, Arkansas, District of Columbia, Delaware, Florida, Georgia, Kentucky, Louisiana, Maryland, Mississippi, Oklahoma, South Carolina, North Carolina, Tennessee, Texas, Virginia, and West Virginia</w:t>
            </w:r>
          </w:p>
        </w:tc>
        <w:tc>
          <w:tcPr>
            <w:tcW w:w="1160" w:type="dxa"/>
            <w:vAlign w:val="center"/>
          </w:tcPr>
          <w:p w14:paraId="69BFFEFC" w14:textId="2F0BC049"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05A6052F" w14:textId="70DC6E1C"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4D21844F" w14:textId="26C51E2C" w:rsidR="004D75DA" w:rsidRPr="00E72303" w:rsidRDefault="004D75DA" w:rsidP="007B178E">
            <w:pPr>
              <w:pStyle w:val="1stParagraph"/>
              <w:jc w:val="center"/>
              <w:rPr>
                <w:rFonts w:cs="Times New Roman"/>
                <w:sz w:val="22"/>
              </w:rPr>
            </w:pPr>
            <w:r w:rsidRPr="00E72303">
              <w:rPr>
                <w:rFonts w:cs="Times New Roman"/>
                <w:sz w:val="22"/>
              </w:rPr>
              <w:t>0.34</w:t>
            </w:r>
          </w:p>
        </w:tc>
      </w:tr>
      <w:tr w:rsidR="00E72303" w:rsidRPr="00E72303" w14:paraId="201743B8" w14:textId="77777777" w:rsidTr="00931AF3">
        <w:trPr>
          <w:trHeight w:val="20"/>
        </w:trPr>
        <w:tc>
          <w:tcPr>
            <w:tcW w:w="2159" w:type="dxa"/>
            <w:vAlign w:val="center"/>
          </w:tcPr>
          <w:p w14:paraId="72D2272D" w14:textId="3EC621E7" w:rsidR="004D75DA" w:rsidRPr="00E72303" w:rsidRDefault="004D75DA" w:rsidP="007B178E">
            <w:pPr>
              <w:pStyle w:val="1stParagraph"/>
              <w:jc w:val="left"/>
              <w:rPr>
                <w:rFonts w:cs="Times New Roman"/>
                <w:sz w:val="22"/>
              </w:rPr>
            </w:pPr>
            <w:r w:rsidRPr="00E72303">
              <w:rPr>
                <w:rFonts w:cs="Times New Roman"/>
                <w:sz w:val="22"/>
              </w:rPr>
              <w:lastRenderedPageBreak/>
              <w:t>West</w:t>
            </w:r>
          </w:p>
        </w:tc>
        <w:tc>
          <w:tcPr>
            <w:tcW w:w="3787" w:type="dxa"/>
            <w:vAlign w:val="center"/>
          </w:tcPr>
          <w:p w14:paraId="0335D6C0" w14:textId="2DC3F5B7" w:rsidR="004D75DA" w:rsidRPr="00E72303" w:rsidRDefault="00DB741D" w:rsidP="007B178E">
            <w:pPr>
              <w:pStyle w:val="1stParagraph"/>
              <w:jc w:val="left"/>
              <w:rPr>
                <w:rFonts w:cs="Times New Roman"/>
                <w:sz w:val="22"/>
              </w:rPr>
            </w:pPr>
            <w:r w:rsidRPr="00E72303">
              <w:rPr>
                <w:rFonts w:cs="Times New Roman"/>
                <w:sz w:val="22"/>
              </w:rPr>
              <w:t xml:space="preserve">Included states: </w:t>
            </w:r>
            <w:r w:rsidR="00A1649C" w:rsidRPr="00E72303">
              <w:rPr>
                <w:rFonts w:cs="Times New Roman"/>
                <w:sz w:val="22"/>
              </w:rPr>
              <w:t>Alaska</w:t>
            </w:r>
            <w:r w:rsidRPr="00E72303">
              <w:rPr>
                <w:rFonts w:cs="Times New Roman"/>
                <w:sz w:val="22"/>
              </w:rPr>
              <w:t xml:space="preserve">, </w:t>
            </w:r>
            <w:r w:rsidR="00A1649C" w:rsidRPr="00E72303">
              <w:rPr>
                <w:rFonts w:cs="Times New Roman"/>
                <w:sz w:val="22"/>
              </w:rPr>
              <w:t>Arizona</w:t>
            </w:r>
            <w:r w:rsidRPr="00E72303">
              <w:rPr>
                <w:rFonts w:cs="Times New Roman"/>
                <w:sz w:val="22"/>
              </w:rPr>
              <w:t xml:space="preserve">, </w:t>
            </w:r>
            <w:r w:rsidR="00A1649C" w:rsidRPr="00E72303">
              <w:rPr>
                <w:rFonts w:cs="Times New Roman"/>
                <w:sz w:val="22"/>
              </w:rPr>
              <w:t>California</w:t>
            </w:r>
            <w:r w:rsidRPr="00E72303">
              <w:rPr>
                <w:rFonts w:cs="Times New Roman"/>
                <w:sz w:val="22"/>
              </w:rPr>
              <w:t xml:space="preserve">, </w:t>
            </w:r>
            <w:r w:rsidR="00A1649C" w:rsidRPr="00E72303">
              <w:rPr>
                <w:rFonts w:cs="Times New Roman"/>
                <w:sz w:val="22"/>
              </w:rPr>
              <w:t xml:space="preserve">Colorado, Hawaii, Idaho, Montana, New Mexico, Nevada, Oregon, Utah, </w:t>
            </w:r>
            <w:r w:rsidR="007E204D" w:rsidRPr="00E72303">
              <w:rPr>
                <w:rFonts w:cs="Times New Roman"/>
                <w:sz w:val="22"/>
              </w:rPr>
              <w:t>Washington, and</w:t>
            </w:r>
            <w:r w:rsidRPr="00E72303">
              <w:rPr>
                <w:rFonts w:cs="Times New Roman"/>
                <w:sz w:val="22"/>
              </w:rPr>
              <w:t xml:space="preserve"> </w:t>
            </w:r>
            <w:r w:rsidR="00A1649C" w:rsidRPr="00E72303">
              <w:rPr>
                <w:rFonts w:cs="Times New Roman"/>
                <w:sz w:val="22"/>
              </w:rPr>
              <w:t>Wyoming</w:t>
            </w:r>
          </w:p>
        </w:tc>
        <w:tc>
          <w:tcPr>
            <w:tcW w:w="1160" w:type="dxa"/>
            <w:vAlign w:val="center"/>
          </w:tcPr>
          <w:p w14:paraId="437C23E5" w14:textId="53790DD9"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0C79DF1D" w14:textId="66152A67"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3A711AA0" w14:textId="7CDFA729" w:rsidR="004D75DA" w:rsidRPr="00E72303" w:rsidRDefault="004D75DA" w:rsidP="007B178E">
            <w:pPr>
              <w:pStyle w:val="1stParagraph"/>
              <w:jc w:val="center"/>
              <w:rPr>
                <w:rFonts w:cs="Times New Roman"/>
                <w:sz w:val="22"/>
              </w:rPr>
            </w:pPr>
            <w:r w:rsidRPr="00E72303">
              <w:rPr>
                <w:rFonts w:cs="Times New Roman"/>
                <w:sz w:val="22"/>
              </w:rPr>
              <w:t>0.22</w:t>
            </w:r>
          </w:p>
        </w:tc>
      </w:tr>
      <w:tr w:rsidR="00E72303" w:rsidRPr="00E72303" w14:paraId="098FD128" w14:textId="77777777" w:rsidTr="0003194E">
        <w:trPr>
          <w:trHeight w:val="20"/>
        </w:trPr>
        <w:tc>
          <w:tcPr>
            <w:tcW w:w="9366" w:type="dxa"/>
            <w:gridSpan w:val="5"/>
            <w:vAlign w:val="center"/>
            <w:hideMark/>
          </w:tcPr>
          <w:p w14:paraId="4350B07F" w14:textId="197631C4" w:rsidR="004D75DA" w:rsidRPr="00E72303" w:rsidRDefault="004D75DA" w:rsidP="007B178E">
            <w:pPr>
              <w:pStyle w:val="1stParagraph"/>
              <w:jc w:val="center"/>
              <w:rPr>
                <w:rFonts w:cs="Times New Roman"/>
                <w:b/>
                <w:bCs/>
                <w:i/>
                <w:iCs/>
                <w:sz w:val="22"/>
              </w:rPr>
            </w:pPr>
            <w:r w:rsidRPr="00E72303">
              <w:rPr>
                <w:rFonts w:cs="Times New Roman"/>
                <w:b/>
                <w:bCs/>
                <w:i/>
                <w:iCs/>
                <w:sz w:val="22"/>
              </w:rPr>
              <w:t xml:space="preserve">NHTS Data (N = </w:t>
            </w:r>
            <w:r w:rsidR="003E6601" w:rsidRPr="00E72303">
              <w:rPr>
                <w:rFonts w:cs="Times New Roman"/>
                <w:b/>
                <w:bCs/>
                <w:i/>
                <w:iCs/>
                <w:sz w:val="22"/>
              </w:rPr>
              <w:t>25,000</w:t>
            </w:r>
            <w:r w:rsidRPr="00E72303">
              <w:rPr>
                <w:rFonts w:cs="Times New Roman"/>
                <w:b/>
                <w:bCs/>
                <w:i/>
                <w:iCs/>
                <w:sz w:val="22"/>
              </w:rPr>
              <w:t>; household level data for vehicle purchase model)</w:t>
            </w:r>
          </w:p>
        </w:tc>
      </w:tr>
      <w:tr w:rsidR="00E72303" w:rsidRPr="00E72303" w14:paraId="0110085F" w14:textId="77777777" w:rsidTr="00127EAF">
        <w:trPr>
          <w:trHeight w:val="20"/>
        </w:trPr>
        <w:tc>
          <w:tcPr>
            <w:tcW w:w="2159" w:type="dxa"/>
            <w:vAlign w:val="center"/>
            <w:hideMark/>
          </w:tcPr>
          <w:p w14:paraId="6D5796EA" w14:textId="77777777" w:rsidR="004D75DA" w:rsidRPr="00E72303" w:rsidRDefault="004D75DA" w:rsidP="007B178E">
            <w:pPr>
              <w:pStyle w:val="1stParagraph"/>
              <w:jc w:val="left"/>
              <w:rPr>
                <w:rFonts w:cs="Times New Roman"/>
                <w:sz w:val="22"/>
              </w:rPr>
            </w:pPr>
            <w:r w:rsidRPr="00E72303">
              <w:rPr>
                <w:rFonts w:cs="Times New Roman"/>
                <w:sz w:val="22"/>
              </w:rPr>
              <w:t>Low density area</w:t>
            </w:r>
          </w:p>
        </w:tc>
        <w:tc>
          <w:tcPr>
            <w:tcW w:w="3787" w:type="dxa"/>
            <w:vAlign w:val="center"/>
          </w:tcPr>
          <w:p w14:paraId="54456F5D" w14:textId="77777777" w:rsidR="004D75DA" w:rsidRPr="00E72303" w:rsidRDefault="004D75DA" w:rsidP="007B178E">
            <w:pPr>
              <w:pStyle w:val="1stParagraph"/>
              <w:jc w:val="left"/>
              <w:rPr>
                <w:rFonts w:cs="Times New Roman"/>
                <w:sz w:val="22"/>
              </w:rPr>
            </w:pPr>
            <w:r w:rsidRPr="00E72303">
              <w:rPr>
                <w:rFonts w:cs="Times New Roman"/>
                <w:sz w:val="22"/>
              </w:rPr>
              <w:t xml:space="preserve">Population density: 0-499 persons per square mile </w:t>
            </w:r>
          </w:p>
        </w:tc>
        <w:tc>
          <w:tcPr>
            <w:tcW w:w="1160" w:type="dxa"/>
            <w:vAlign w:val="center"/>
            <w:hideMark/>
          </w:tcPr>
          <w:p w14:paraId="06CE3368" w14:textId="52F49FB1"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2F96D07C" w14:textId="2E028304"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47C8E543" w14:textId="26270C23" w:rsidR="004D75DA" w:rsidRPr="00E72303" w:rsidRDefault="004D75DA" w:rsidP="007B178E">
            <w:pPr>
              <w:pStyle w:val="1stParagraph"/>
              <w:jc w:val="center"/>
              <w:rPr>
                <w:rFonts w:cs="Times New Roman"/>
                <w:sz w:val="22"/>
              </w:rPr>
            </w:pPr>
            <w:r w:rsidRPr="00E72303">
              <w:rPr>
                <w:rFonts w:cs="Times New Roman"/>
                <w:sz w:val="22"/>
              </w:rPr>
              <w:t>0.32</w:t>
            </w:r>
          </w:p>
        </w:tc>
      </w:tr>
      <w:tr w:rsidR="00E72303" w:rsidRPr="00E72303" w14:paraId="42400E59" w14:textId="77777777" w:rsidTr="00127EAF">
        <w:trPr>
          <w:trHeight w:val="20"/>
        </w:trPr>
        <w:tc>
          <w:tcPr>
            <w:tcW w:w="2159" w:type="dxa"/>
            <w:vAlign w:val="center"/>
            <w:hideMark/>
          </w:tcPr>
          <w:p w14:paraId="5F1DCD7F" w14:textId="77777777" w:rsidR="004D75DA" w:rsidRPr="00E72303" w:rsidRDefault="004D75DA" w:rsidP="007B178E">
            <w:pPr>
              <w:pStyle w:val="1stParagraph"/>
              <w:jc w:val="left"/>
              <w:rPr>
                <w:rFonts w:cs="Times New Roman"/>
                <w:sz w:val="22"/>
              </w:rPr>
            </w:pPr>
            <w:r w:rsidRPr="00E72303">
              <w:rPr>
                <w:rFonts w:cs="Times New Roman"/>
                <w:sz w:val="22"/>
              </w:rPr>
              <w:t>Medium density area</w:t>
            </w:r>
          </w:p>
        </w:tc>
        <w:tc>
          <w:tcPr>
            <w:tcW w:w="3787" w:type="dxa"/>
            <w:vAlign w:val="center"/>
          </w:tcPr>
          <w:p w14:paraId="156168B1" w14:textId="77777777" w:rsidR="004D75DA" w:rsidRPr="00E72303" w:rsidRDefault="004D75DA" w:rsidP="007B178E">
            <w:pPr>
              <w:pStyle w:val="1stParagraph"/>
              <w:jc w:val="left"/>
              <w:rPr>
                <w:rFonts w:cs="Times New Roman"/>
                <w:sz w:val="22"/>
              </w:rPr>
            </w:pPr>
            <w:r w:rsidRPr="00E72303">
              <w:rPr>
                <w:rFonts w:cs="Times New Roman"/>
                <w:sz w:val="22"/>
              </w:rPr>
              <w:t xml:space="preserve">Population density: 500-3999 persons per square mile </w:t>
            </w:r>
          </w:p>
        </w:tc>
        <w:tc>
          <w:tcPr>
            <w:tcW w:w="1160" w:type="dxa"/>
            <w:vAlign w:val="center"/>
            <w:hideMark/>
          </w:tcPr>
          <w:p w14:paraId="54FA0E4A" w14:textId="571D9E91"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18030B5F" w14:textId="3FEB3BFA"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47D7F0DC" w14:textId="537F28B6" w:rsidR="004D75DA" w:rsidRPr="00E72303" w:rsidRDefault="004D75DA" w:rsidP="007B178E">
            <w:pPr>
              <w:pStyle w:val="1stParagraph"/>
              <w:jc w:val="center"/>
              <w:rPr>
                <w:rFonts w:cs="Times New Roman"/>
                <w:sz w:val="22"/>
              </w:rPr>
            </w:pPr>
            <w:r w:rsidRPr="00E72303">
              <w:rPr>
                <w:rFonts w:cs="Times New Roman"/>
                <w:sz w:val="22"/>
              </w:rPr>
              <w:t>0.42</w:t>
            </w:r>
          </w:p>
        </w:tc>
      </w:tr>
      <w:tr w:rsidR="00E72303" w:rsidRPr="00E72303" w14:paraId="396EBE3D" w14:textId="77777777" w:rsidTr="00127EAF">
        <w:trPr>
          <w:trHeight w:val="20"/>
        </w:trPr>
        <w:tc>
          <w:tcPr>
            <w:tcW w:w="2159" w:type="dxa"/>
            <w:vAlign w:val="center"/>
            <w:hideMark/>
          </w:tcPr>
          <w:p w14:paraId="2E7351C9" w14:textId="77777777" w:rsidR="004D75DA" w:rsidRPr="00E72303" w:rsidRDefault="004D75DA" w:rsidP="007B178E">
            <w:pPr>
              <w:pStyle w:val="1stParagraph"/>
              <w:jc w:val="left"/>
              <w:rPr>
                <w:rFonts w:cs="Times New Roman"/>
                <w:sz w:val="22"/>
              </w:rPr>
            </w:pPr>
            <w:r w:rsidRPr="00E72303">
              <w:rPr>
                <w:rFonts w:cs="Times New Roman"/>
                <w:sz w:val="22"/>
              </w:rPr>
              <w:t>High density area</w:t>
            </w:r>
          </w:p>
        </w:tc>
        <w:tc>
          <w:tcPr>
            <w:tcW w:w="3787" w:type="dxa"/>
            <w:vAlign w:val="center"/>
          </w:tcPr>
          <w:p w14:paraId="1915639D" w14:textId="77777777" w:rsidR="004D75DA" w:rsidRPr="00E72303" w:rsidRDefault="004D75DA" w:rsidP="007B178E">
            <w:pPr>
              <w:pStyle w:val="1stParagraph"/>
              <w:jc w:val="left"/>
              <w:rPr>
                <w:rFonts w:cs="Times New Roman"/>
                <w:sz w:val="22"/>
              </w:rPr>
            </w:pPr>
            <w:r w:rsidRPr="00E72303">
              <w:rPr>
                <w:rFonts w:cs="Times New Roman"/>
                <w:sz w:val="22"/>
              </w:rPr>
              <w:t xml:space="preserve">Population density: 4000 or more persons per square mile </w:t>
            </w:r>
          </w:p>
        </w:tc>
        <w:tc>
          <w:tcPr>
            <w:tcW w:w="1160" w:type="dxa"/>
            <w:vAlign w:val="center"/>
            <w:hideMark/>
          </w:tcPr>
          <w:p w14:paraId="649B3E79" w14:textId="37C270E3"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32B889E4" w14:textId="54F431EE"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6C8EB2D0" w14:textId="39DEACA8" w:rsidR="004D75DA" w:rsidRPr="00E72303" w:rsidRDefault="004D75DA" w:rsidP="007B178E">
            <w:pPr>
              <w:pStyle w:val="1stParagraph"/>
              <w:jc w:val="center"/>
              <w:rPr>
                <w:rFonts w:cs="Times New Roman"/>
                <w:sz w:val="22"/>
              </w:rPr>
            </w:pPr>
            <w:r w:rsidRPr="00E72303">
              <w:rPr>
                <w:rFonts w:cs="Times New Roman"/>
                <w:sz w:val="22"/>
              </w:rPr>
              <w:t>0.26</w:t>
            </w:r>
          </w:p>
        </w:tc>
      </w:tr>
      <w:tr w:rsidR="00E72303" w:rsidRPr="00E72303" w14:paraId="651BBADE" w14:textId="77777777" w:rsidTr="00127EAF">
        <w:trPr>
          <w:trHeight w:val="20"/>
        </w:trPr>
        <w:tc>
          <w:tcPr>
            <w:tcW w:w="2159" w:type="dxa"/>
            <w:vAlign w:val="center"/>
          </w:tcPr>
          <w:p w14:paraId="6884FA8E" w14:textId="77777777" w:rsidR="004D75DA" w:rsidRPr="00E72303" w:rsidRDefault="004D75DA" w:rsidP="007B178E">
            <w:pPr>
              <w:pStyle w:val="1stParagraph"/>
              <w:jc w:val="left"/>
              <w:rPr>
                <w:rFonts w:cs="Times New Roman"/>
                <w:sz w:val="22"/>
              </w:rPr>
            </w:pPr>
            <w:r w:rsidRPr="00E72303">
              <w:rPr>
                <w:rFonts w:cs="Times New Roman"/>
                <w:sz w:val="22"/>
              </w:rPr>
              <w:t>Household size</w:t>
            </w:r>
          </w:p>
        </w:tc>
        <w:tc>
          <w:tcPr>
            <w:tcW w:w="3787" w:type="dxa"/>
            <w:vAlign w:val="center"/>
          </w:tcPr>
          <w:p w14:paraId="508D15F7" w14:textId="77777777" w:rsidR="004D75DA" w:rsidRPr="00E72303" w:rsidRDefault="004D75DA" w:rsidP="007B178E">
            <w:pPr>
              <w:pStyle w:val="1stParagraph"/>
              <w:jc w:val="left"/>
              <w:rPr>
                <w:rFonts w:cs="Times New Roman"/>
                <w:sz w:val="22"/>
              </w:rPr>
            </w:pPr>
            <w:r w:rsidRPr="00E72303">
              <w:rPr>
                <w:rFonts w:cs="Times New Roman"/>
                <w:sz w:val="22"/>
              </w:rPr>
              <w:t>Count of household members</w:t>
            </w:r>
          </w:p>
        </w:tc>
        <w:tc>
          <w:tcPr>
            <w:tcW w:w="1160" w:type="dxa"/>
            <w:vAlign w:val="center"/>
          </w:tcPr>
          <w:p w14:paraId="4F9092A6" w14:textId="63C09CDD" w:rsidR="004D75DA" w:rsidRPr="00E72303" w:rsidRDefault="004D75DA" w:rsidP="007B178E">
            <w:pPr>
              <w:pStyle w:val="1stParagraph"/>
              <w:jc w:val="center"/>
              <w:rPr>
                <w:rFonts w:cs="Times New Roman"/>
                <w:sz w:val="22"/>
              </w:rPr>
            </w:pPr>
            <w:r w:rsidRPr="00E72303">
              <w:rPr>
                <w:rFonts w:cs="Times New Roman"/>
                <w:sz w:val="22"/>
              </w:rPr>
              <w:t>1.00</w:t>
            </w:r>
          </w:p>
        </w:tc>
        <w:tc>
          <w:tcPr>
            <w:tcW w:w="1196" w:type="dxa"/>
            <w:vAlign w:val="center"/>
          </w:tcPr>
          <w:p w14:paraId="7856D60C" w14:textId="7AB68951" w:rsidR="004D75DA" w:rsidRPr="00E72303" w:rsidRDefault="004D75DA" w:rsidP="007B178E">
            <w:pPr>
              <w:pStyle w:val="1stParagraph"/>
              <w:jc w:val="center"/>
              <w:rPr>
                <w:rFonts w:cs="Times New Roman"/>
                <w:sz w:val="22"/>
              </w:rPr>
            </w:pPr>
            <w:r w:rsidRPr="00E72303">
              <w:rPr>
                <w:rFonts w:cs="Times New Roman"/>
                <w:sz w:val="22"/>
              </w:rPr>
              <w:t>1</w:t>
            </w:r>
            <w:r w:rsidR="00EE6DEF" w:rsidRPr="00E72303">
              <w:rPr>
                <w:rFonts w:cs="Times New Roman"/>
                <w:sz w:val="22"/>
              </w:rPr>
              <w:t>1</w:t>
            </w:r>
            <w:r w:rsidRPr="00E72303">
              <w:rPr>
                <w:rFonts w:cs="Times New Roman"/>
                <w:sz w:val="22"/>
              </w:rPr>
              <w:t>.00</w:t>
            </w:r>
          </w:p>
        </w:tc>
        <w:tc>
          <w:tcPr>
            <w:tcW w:w="1064" w:type="dxa"/>
            <w:vAlign w:val="center"/>
          </w:tcPr>
          <w:p w14:paraId="365E9235" w14:textId="556A40C7" w:rsidR="004D75DA" w:rsidRPr="00E72303" w:rsidRDefault="004D75DA" w:rsidP="007B178E">
            <w:pPr>
              <w:pStyle w:val="1stParagraph"/>
              <w:jc w:val="center"/>
              <w:rPr>
                <w:rFonts w:cs="Times New Roman"/>
                <w:sz w:val="22"/>
              </w:rPr>
            </w:pPr>
            <w:r w:rsidRPr="00E72303">
              <w:rPr>
                <w:rFonts w:cs="Times New Roman"/>
                <w:sz w:val="22"/>
              </w:rPr>
              <w:t>2.17</w:t>
            </w:r>
          </w:p>
        </w:tc>
      </w:tr>
      <w:tr w:rsidR="00E72303" w:rsidRPr="00E72303" w14:paraId="295A5BA0" w14:textId="77777777" w:rsidTr="00127EAF">
        <w:trPr>
          <w:trHeight w:val="20"/>
        </w:trPr>
        <w:tc>
          <w:tcPr>
            <w:tcW w:w="2159" w:type="dxa"/>
            <w:vAlign w:val="center"/>
            <w:hideMark/>
          </w:tcPr>
          <w:p w14:paraId="73DCB8A7" w14:textId="77777777" w:rsidR="004D75DA" w:rsidRPr="00E72303" w:rsidRDefault="004D75DA" w:rsidP="007B178E">
            <w:pPr>
              <w:pStyle w:val="1stParagraph"/>
              <w:jc w:val="left"/>
              <w:rPr>
                <w:rFonts w:cs="Times New Roman"/>
                <w:sz w:val="22"/>
              </w:rPr>
            </w:pPr>
            <w:r w:rsidRPr="00E72303">
              <w:rPr>
                <w:rFonts w:cs="Times New Roman"/>
                <w:sz w:val="22"/>
              </w:rPr>
              <w:t xml:space="preserve">Number of workers </w:t>
            </w:r>
          </w:p>
        </w:tc>
        <w:tc>
          <w:tcPr>
            <w:tcW w:w="3787" w:type="dxa"/>
            <w:vAlign w:val="center"/>
          </w:tcPr>
          <w:p w14:paraId="75A4CEFC" w14:textId="77777777" w:rsidR="004D75DA" w:rsidRPr="00E72303" w:rsidRDefault="004D75DA" w:rsidP="007B178E">
            <w:pPr>
              <w:pStyle w:val="1stParagraph"/>
              <w:jc w:val="left"/>
              <w:rPr>
                <w:rFonts w:cs="Times New Roman"/>
                <w:sz w:val="22"/>
              </w:rPr>
            </w:pPr>
            <w:r w:rsidRPr="00E72303">
              <w:rPr>
                <w:rFonts w:cs="Times New Roman"/>
                <w:sz w:val="22"/>
              </w:rPr>
              <w:t>Count of household workers</w:t>
            </w:r>
          </w:p>
        </w:tc>
        <w:tc>
          <w:tcPr>
            <w:tcW w:w="1160" w:type="dxa"/>
            <w:vAlign w:val="center"/>
            <w:hideMark/>
          </w:tcPr>
          <w:p w14:paraId="4EA57E2D" w14:textId="4DA9FFC2"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3DE65C17" w14:textId="710651DA" w:rsidR="004D75DA" w:rsidRPr="00E72303" w:rsidRDefault="004D75DA" w:rsidP="007B178E">
            <w:pPr>
              <w:pStyle w:val="1stParagraph"/>
              <w:jc w:val="center"/>
              <w:rPr>
                <w:rFonts w:cs="Times New Roman"/>
                <w:sz w:val="22"/>
              </w:rPr>
            </w:pPr>
            <w:r w:rsidRPr="00E72303">
              <w:rPr>
                <w:rFonts w:cs="Times New Roman"/>
                <w:sz w:val="22"/>
              </w:rPr>
              <w:t>7.00</w:t>
            </w:r>
          </w:p>
        </w:tc>
        <w:tc>
          <w:tcPr>
            <w:tcW w:w="1064" w:type="dxa"/>
            <w:vAlign w:val="center"/>
            <w:hideMark/>
          </w:tcPr>
          <w:p w14:paraId="4967ACBB" w14:textId="0BF749A1" w:rsidR="004D75DA" w:rsidRPr="00E72303" w:rsidRDefault="004D75DA" w:rsidP="007B178E">
            <w:pPr>
              <w:pStyle w:val="1stParagraph"/>
              <w:jc w:val="center"/>
              <w:rPr>
                <w:rFonts w:cs="Times New Roman"/>
                <w:sz w:val="22"/>
              </w:rPr>
            </w:pPr>
            <w:r w:rsidRPr="00E72303">
              <w:rPr>
                <w:rFonts w:cs="Times New Roman"/>
                <w:sz w:val="22"/>
              </w:rPr>
              <w:t>1.0</w:t>
            </w:r>
            <w:r w:rsidR="00EE6DEF" w:rsidRPr="00E72303">
              <w:rPr>
                <w:rFonts w:cs="Times New Roman"/>
                <w:sz w:val="22"/>
              </w:rPr>
              <w:t>4</w:t>
            </w:r>
          </w:p>
        </w:tc>
      </w:tr>
      <w:tr w:rsidR="00E72303" w:rsidRPr="00E72303" w14:paraId="7C78320D" w14:textId="77777777" w:rsidTr="00127EAF">
        <w:trPr>
          <w:trHeight w:val="20"/>
        </w:trPr>
        <w:tc>
          <w:tcPr>
            <w:tcW w:w="2159" w:type="dxa"/>
            <w:vAlign w:val="center"/>
          </w:tcPr>
          <w:p w14:paraId="0A79CCDD" w14:textId="77777777" w:rsidR="004D75DA" w:rsidRPr="00E72303" w:rsidRDefault="004D75DA" w:rsidP="007B178E">
            <w:pPr>
              <w:pStyle w:val="1stParagraph"/>
              <w:jc w:val="left"/>
              <w:rPr>
                <w:rFonts w:cs="Times New Roman"/>
                <w:sz w:val="22"/>
              </w:rPr>
            </w:pPr>
            <w:r w:rsidRPr="00E72303">
              <w:rPr>
                <w:rFonts w:cs="Times New Roman"/>
                <w:sz w:val="22"/>
              </w:rPr>
              <w:t>Number of adults</w:t>
            </w:r>
          </w:p>
        </w:tc>
        <w:tc>
          <w:tcPr>
            <w:tcW w:w="3787" w:type="dxa"/>
            <w:vAlign w:val="center"/>
          </w:tcPr>
          <w:p w14:paraId="7DB4F58D" w14:textId="77777777" w:rsidR="004D75DA" w:rsidRPr="00E72303" w:rsidRDefault="004D75DA" w:rsidP="007B178E">
            <w:pPr>
              <w:pStyle w:val="1stParagraph"/>
              <w:jc w:val="left"/>
              <w:rPr>
                <w:rFonts w:cs="Times New Roman"/>
                <w:sz w:val="22"/>
              </w:rPr>
            </w:pPr>
            <w:r w:rsidRPr="00E72303">
              <w:rPr>
                <w:rFonts w:cs="Times New Roman"/>
                <w:sz w:val="22"/>
              </w:rPr>
              <w:t>Count of household members of at least 18 years old</w:t>
            </w:r>
          </w:p>
        </w:tc>
        <w:tc>
          <w:tcPr>
            <w:tcW w:w="1160" w:type="dxa"/>
            <w:vAlign w:val="center"/>
          </w:tcPr>
          <w:p w14:paraId="223D1610" w14:textId="4EC33FA0" w:rsidR="004D75DA" w:rsidRPr="00E72303" w:rsidRDefault="004D75DA" w:rsidP="007B178E">
            <w:pPr>
              <w:pStyle w:val="1stParagraph"/>
              <w:jc w:val="center"/>
              <w:rPr>
                <w:rFonts w:cs="Times New Roman"/>
                <w:sz w:val="22"/>
              </w:rPr>
            </w:pPr>
            <w:r w:rsidRPr="00E72303">
              <w:rPr>
                <w:rFonts w:cs="Times New Roman"/>
                <w:sz w:val="22"/>
              </w:rPr>
              <w:t>1.00</w:t>
            </w:r>
          </w:p>
        </w:tc>
        <w:tc>
          <w:tcPr>
            <w:tcW w:w="1196" w:type="dxa"/>
            <w:vAlign w:val="center"/>
          </w:tcPr>
          <w:p w14:paraId="1C8436C3" w14:textId="604EEF1A" w:rsidR="004D75DA" w:rsidRPr="00E72303" w:rsidRDefault="00602C7D" w:rsidP="007B178E">
            <w:pPr>
              <w:pStyle w:val="1stParagraph"/>
              <w:jc w:val="center"/>
              <w:rPr>
                <w:rFonts w:cs="Times New Roman"/>
                <w:sz w:val="22"/>
              </w:rPr>
            </w:pPr>
            <w:r w:rsidRPr="00E72303">
              <w:rPr>
                <w:rFonts w:cs="Times New Roman"/>
                <w:sz w:val="22"/>
              </w:rPr>
              <w:t>8</w:t>
            </w:r>
            <w:r w:rsidR="004D75DA" w:rsidRPr="00E72303">
              <w:rPr>
                <w:rFonts w:cs="Times New Roman"/>
                <w:sz w:val="22"/>
              </w:rPr>
              <w:t>.00</w:t>
            </w:r>
          </w:p>
        </w:tc>
        <w:tc>
          <w:tcPr>
            <w:tcW w:w="1064" w:type="dxa"/>
            <w:vAlign w:val="center"/>
          </w:tcPr>
          <w:p w14:paraId="17358D3E" w14:textId="73ADFB16" w:rsidR="004D75DA" w:rsidRPr="00E72303" w:rsidRDefault="004D75DA" w:rsidP="007B178E">
            <w:pPr>
              <w:pStyle w:val="1stParagraph"/>
              <w:jc w:val="center"/>
              <w:rPr>
                <w:rFonts w:cs="Times New Roman"/>
                <w:sz w:val="22"/>
              </w:rPr>
            </w:pPr>
            <w:r w:rsidRPr="00E72303">
              <w:rPr>
                <w:rFonts w:cs="Times New Roman"/>
                <w:sz w:val="22"/>
              </w:rPr>
              <w:t>1.81</w:t>
            </w:r>
          </w:p>
        </w:tc>
      </w:tr>
      <w:tr w:rsidR="00E72303" w:rsidRPr="00E72303" w14:paraId="3473B0D5" w14:textId="77777777" w:rsidTr="00127EAF">
        <w:trPr>
          <w:trHeight w:val="20"/>
        </w:trPr>
        <w:tc>
          <w:tcPr>
            <w:tcW w:w="2159" w:type="dxa"/>
            <w:vAlign w:val="center"/>
          </w:tcPr>
          <w:p w14:paraId="2A251536" w14:textId="77777777" w:rsidR="004D75DA" w:rsidRPr="00E72303" w:rsidRDefault="004D75DA" w:rsidP="007B178E">
            <w:pPr>
              <w:pStyle w:val="1stParagraph"/>
              <w:jc w:val="left"/>
              <w:rPr>
                <w:rFonts w:cs="Times New Roman"/>
                <w:sz w:val="22"/>
              </w:rPr>
            </w:pPr>
            <w:r w:rsidRPr="00E72303">
              <w:rPr>
                <w:rFonts w:cs="Times New Roman"/>
                <w:sz w:val="22"/>
              </w:rPr>
              <w:t>Number of children</w:t>
            </w:r>
          </w:p>
        </w:tc>
        <w:tc>
          <w:tcPr>
            <w:tcW w:w="3787" w:type="dxa"/>
            <w:vAlign w:val="center"/>
          </w:tcPr>
          <w:p w14:paraId="6BAB6F16" w14:textId="77777777" w:rsidR="004D75DA" w:rsidRPr="00E72303" w:rsidRDefault="004D75DA" w:rsidP="007B178E">
            <w:pPr>
              <w:pStyle w:val="1stParagraph"/>
              <w:jc w:val="left"/>
              <w:rPr>
                <w:rFonts w:cs="Times New Roman"/>
                <w:sz w:val="22"/>
              </w:rPr>
            </w:pPr>
            <w:r w:rsidRPr="00E72303">
              <w:rPr>
                <w:rFonts w:cs="Times New Roman"/>
                <w:sz w:val="22"/>
              </w:rPr>
              <w:t>Count of household members of more than 18 years old</w:t>
            </w:r>
          </w:p>
        </w:tc>
        <w:tc>
          <w:tcPr>
            <w:tcW w:w="1160" w:type="dxa"/>
            <w:vAlign w:val="center"/>
          </w:tcPr>
          <w:p w14:paraId="2AD1A138" w14:textId="6370BEAB"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4722AF7E" w14:textId="43C9A58D" w:rsidR="004D75DA" w:rsidRPr="00E72303" w:rsidRDefault="004D75DA" w:rsidP="007B178E">
            <w:pPr>
              <w:pStyle w:val="1stParagraph"/>
              <w:jc w:val="center"/>
              <w:rPr>
                <w:rFonts w:cs="Times New Roman"/>
                <w:sz w:val="22"/>
              </w:rPr>
            </w:pPr>
            <w:r w:rsidRPr="00E72303">
              <w:rPr>
                <w:rFonts w:cs="Times New Roman"/>
                <w:sz w:val="22"/>
              </w:rPr>
              <w:t>8.00</w:t>
            </w:r>
          </w:p>
        </w:tc>
        <w:tc>
          <w:tcPr>
            <w:tcW w:w="1064" w:type="dxa"/>
            <w:vAlign w:val="center"/>
          </w:tcPr>
          <w:p w14:paraId="18B35FEC" w14:textId="350670E6" w:rsidR="004D75DA" w:rsidRPr="00E72303" w:rsidRDefault="004D75DA" w:rsidP="007B178E">
            <w:pPr>
              <w:pStyle w:val="1stParagraph"/>
              <w:jc w:val="center"/>
              <w:rPr>
                <w:rFonts w:cs="Times New Roman"/>
                <w:sz w:val="22"/>
              </w:rPr>
            </w:pPr>
            <w:r w:rsidRPr="00E72303">
              <w:rPr>
                <w:rFonts w:cs="Times New Roman"/>
                <w:sz w:val="22"/>
              </w:rPr>
              <w:t>0.36</w:t>
            </w:r>
          </w:p>
        </w:tc>
      </w:tr>
      <w:tr w:rsidR="00E72303" w:rsidRPr="00E72303" w14:paraId="648D1C85" w14:textId="77777777" w:rsidTr="00127EAF">
        <w:trPr>
          <w:trHeight w:val="20"/>
        </w:trPr>
        <w:tc>
          <w:tcPr>
            <w:tcW w:w="2159" w:type="dxa"/>
            <w:vAlign w:val="center"/>
            <w:hideMark/>
          </w:tcPr>
          <w:p w14:paraId="5553BBE3" w14:textId="77777777" w:rsidR="004D75DA" w:rsidRPr="00E72303" w:rsidRDefault="004D75DA" w:rsidP="007B178E">
            <w:pPr>
              <w:pStyle w:val="1stParagraph"/>
              <w:jc w:val="left"/>
              <w:rPr>
                <w:rFonts w:cs="Times New Roman"/>
                <w:sz w:val="22"/>
              </w:rPr>
            </w:pPr>
            <w:r w:rsidRPr="00E72303">
              <w:rPr>
                <w:rFonts w:cs="Times New Roman"/>
                <w:sz w:val="22"/>
              </w:rPr>
              <w:t>Owned house</w:t>
            </w:r>
          </w:p>
        </w:tc>
        <w:tc>
          <w:tcPr>
            <w:tcW w:w="3787" w:type="dxa"/>
            <w:vAlign w:val="center"/>
          </w:tcPr>
          <w:p w14:paraId="085BCB82" w14:textId="77777777" w:rsidR="004D75DA" w:rsidRPr="00E72303" w:rsidRDefault="004D75DA" w:rsidP="007B178E">
            <w:pPr>
              <w:pStyle w:val="1stParagraph"/>
              <w:jc w:val="left"/>
              <w:rPr>
                <w:rFonts w:cs="Times New Roman"/>
                <w:sz w:val="22"/>
              </w:rPr>
            </w:pPr>
            <w:r w:rsidRPr="00E72303">
              <w:rPr>
                <w:rFonts w:cs="Times New Roman"/>
                <w:sz w:val="22"/>
              </w:rPr>
              <w:t>Household ownership: Own a house</w:t>
            </w:r>
          </w:p>
        </w:tc>
        <w:tc>
          <w:tcPr>
            <w:tcW w:w="1160" w:type="dxa"/>
            <w:vAlign w:val="center"/>
            <w:hideMark/>
          </w:tcPr>
          <w:p w14:paraId="449AFE1D" w14:textId="74FAC313"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091367BE" w14:textId="3FAF66E7"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487FA942" w14:textId="2161C647" w:rsidR="004D75DA" w:rsidRPr="00E72303" w:rsidRDefault="004D75DA" w:rsidP="007B178E">
            <w:pPr>
              <w:pStyle w:val="1stParagraph"/>
              <w:jc w:val="center"/>
              <w:rPr>
                <w:rFonts w:cs="Times New Roman"/>
                <w:sz w:val="22"/>
              </w:rPr>
            </w:pPr>
            <w:r w:rsidRPr="00E72303">
              <w:rPr>
                <w:rFonts w:cs="Times New Roman"/>
                <w:sz w:val="22"/>
              </w:rPr>
              <w:t>0.79</w:t>
            </w:r>
          </w:p>
        </w:tc>
      </w:tr>
      <w:tr w:rsidR="00E72303" w:rsidRPr="00E72303" w14:paraId="69AE118D" w14:textId="77777777" w:rsidTr="00127EAF">
        <w:trPr>
          <w:trHeight w:val="20"/>
        </w:trPr>
        <w:tc>
          <w:tcPr>
            <w:tcW w:w="2159" w:type="dxa"/>
            <w:vAlign w:val="center"/>
            <w:hideMark/>
          </w:tcPr>
          <w:p w14:paraId="148C0877" w14:textId="77777777" w:rsidR="004D75DA" w:rsidRPr="00E72303" w:rsidRDefault="004D75DA" w:rsidP="007B178E">
            <w:pPr>
              <w:pStyle w:val="1stParagraph"/>
              <w:jc w:val="left"/>
              <w:rPr>
                <w:rFonts w:cs="Times New Roman"/>
                <w:sz w:val="22"/>
              </w:rPr>
            </w:pPr>
            <w:r w:rsidRPr="00E72303">
              <w:rPr>
                <w:rFonts w:cs="Times New Roman"/>
                <w:sz w:val="22"/>
              </w:rPr>
              <w:t>Rented house</w:t>
            </w:r>
          </w:p>
        </w:tc>
        <w:tc>
          <w:tcPr>
            <w:tcW w:w="3787" w:type="dxa"/>
            <w:vAlign w:val="center"/>
          </w:tcPr>
          <w:p w14:paraId="5B2D7128" w14:textId="77777777" w:rsidR="004D75DA" w:rsidRPr="00E72303" w:rsidRDefault="004D75DA" w:rsidP="007B178E">
            <w:pPr>
              <w:pStyle w:val="1stParagraph"/>
              <w:jc w:val="left"/>
              <w:rPr>
                <w:rFonts w:cs="Times New Roman"/>
                <w:sz w:val="22"/>
              </w:rPr>
            </w:pPr>
            <w:r w:rsidRPr="00E72303">
              <w:rPr>
                <w:rFonts w:cs="Times New Roman"/>
                <w:sz w:val="22"/>
              </w:rPr>
              <w:t>Household ownership: Do not own house</w:t>
            </w:r>
          </w:p>
        </w:tc>
        <w:tc>
          <w:tcPr>
            <w:tcW w:w="1160" w:type="dxa"/>
            <w:vAlign w:val="center"/>
            <w:hideMark/>
          </w:tcPr>
          <w:p w14:paraId="795AE0A6" w14:textId="0C146FB6"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2E692755" w14:textId="4B0D4FD9"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1316B86E" w14:textId="6733B27A" w:rsidR="004D75DA" w:rsidRPr="00E72303" w:rsidRDefault="004D75DA" w:rsidP="007B178E">
            <w:pPr>
              <w:pStyle w:val="1stParagraph"/>
              <w:jc w:val="center"/>
              <w:rPr>
                <w:rFonts w:cs="Times New Roman"/>
                <w:sz w:val="22"/>
              </w:rPr>
            </w:pPr>
            <w:r w:rsidRPr="00E72303">
              <w:rPr>
                <w:rFonts w:cs="Times New Roman"/>
                <w:sz w:val="22"/>
              </w:rPr>
              <w:t>0.21</w:t>
            </w:r>
          </w:p>
        </w:tc>
      </w:tr>
      <w:tr w:rsidR="00E72303" w:rsidRPr="00E72303" w14:paraId="6903D6C6" w14:textId="77777777" w:rsidTr="00127EAF">
        <w:trPr>
          <w:trHeight w:val="20"/>
        </w:trPr>
        <w:tc>
          <w:tcPr>
            <w:tcW w:w="2159" w:type="dxa"/>
            <w:vAlign w:val="center"/>
            <w:hideMark/>
          </w:tcPr>
          <w:p w14:paraId="55E433E6" w14:textId="77777777" w:rsidR="004D75DA" w:rsidRPr="00E72303" w:rsidRDefault="004D75DA" w:rsidP="007B178E">
            <w:pPr>
              <w:pStyle w:val="1stParagraph"/>
              <w:jc w:val="left"/>
              <w:rPr>
                <w:rFonts w:cs="Times New Roman"/>
                <w:sz w:val="22"/>
              </w:rPr>
            </w:pPr>
            <w:r w:rsidRPr="00E72303">
              <w:rPr>
                <w:rFonts w:cs="Times New Roman"/>
                <w:sz w:val="22"/>
              </w:rPr>
              <w:t>Proportion of male</w:t>
            </w:r>
          </w:p>
        </w:tc>
        <w:tc>
          <w:tcPr>
            <w:tcW w:w="3787" w:type="dxa"/>
            <w:vAlign w:val="center"/>
          </w:tcPr>
          <w:p w14:paraId="2EA7EB0D" w14:textId="77777777" w:rsidR="004D75DA" w:rsidRPr="00E72303" w:rsidRDefault="004D75DA" w:rsidP="007B178E">
            <w:pPr>
              <w:pStyle w:val="1stParagraph"/>
              <w:jc w:val="left"/>
              <w:rPr>
                <w:rFonts w:cs="Times New Roman"/>
                <w:sz w:val="22"/>
              </w:rPr>
            </w:pPr>
            <w:r w:rsidRPr="00E72303">
              <w:rPr>
                <w:rFonts w:cs="Times New Roman"/>
                <w:sz w:val="22"/>
              </w:rPr>
              <w:t>Count of male members/ Household size</w:t>
            </w:r>
          </w:p>
        </w:tc>
        <w:tc>
          <w:tcPr>
            <w:tcW w:w="1160" w:type="dxa"/>
            <w:vAlign w:val="center"/>
            <w:hideMark/>
          </w:tcPr>
          <w:p w14:paraId="7AF12C28" w14:textId="27984090"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113803F4" w14:textId="4D828491"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2CFC6037" w14:textId="2E1C7BB4" w:rsidR="004D75DA" w:rsidRPr="00E72303" w:rsidRDefault="004D75DA" w:rsidP="007B178E">
            <w:pPr>
              <w:pStyle w:val="1stParagraph"/>
              <w:jc w:val="center"/>
              <w:rPr>
                <w:rFonts w:cs="Times New Roman"/>
                <w:sz w:val="22"/>
              </w:rPr>
            </w:pPr>
            <w:r w:rsidRPr="00E72303">
              <w:rPr>
                <w:rFonts w:cs="Times New Roman"/>
                <w:sz w:val="22"/>
              </w:rPr>
              <w:t>0.4</w:t>
            </w:r>
            <w:r w:rsidR="0029564B" w:rsidRPr="00E72303">
              <w:rPr>
                <w:rFonts w:cs="Times New Roman"/>
                <w:sz w:val="22"/>
              </w:rPr>
              <w:t>5</w:t>
            </w:r>
          </w:p>
        </w:tc>
      </w:tr>
      <w:tr w:rsidR="00E72303" w:rsidRPr="00E72303" w14:paraId="37EBD7A3" w14:textId="77777777" w:rsidTr="00127EAF">
        <w:trPr>
          <w:trHeight w:val="20"/>
        </w:trPr>
        <w:tc>
          <w:tcPr>
            <w:tcW w:w="2159" w:type="dxa"/>
            <w:vAlign w:val="center"/>
            <w:hideMark/>
          </w:tcPr>
          <w:p w14:paraId="53535DFE" w14:textId="77777777" w:rsidR="004D75DA" w:rsidRPr="00E72303" w:rsidRDefault="004D75DA" w:rsidP="007B178E">
            <w:pPr>
              <w:pStyle w:val="1stParagraph"/>
              <w:jc w:val="left"/>
              <w:rPr>
                <w:rFonts w:cs="Times New Roman"/>
                <w:sz w:val="22"/>
              </w:rPr>
            </w:pPr>
            <w:r w:rsidRPr="00E72303">
              <w:rPr>
                <w:rFonts w:cs="Times New Roman"/>
                <w:sz w:val="22"/>
              </w:rPr>
              <w:t>Proportion of female</w:t>
            </w:r>
          </w:p>
        </w:tc>
        <w:tc>
          <w:tcPr>
            <w:tcW w:w="3787" w:type="dxa"/>
            <w:vAlign w:val="center"/>
          </w:tcPr>
          <w:p w14:paraId="4049C0F9" w14:textId="77777777" w:rsidR="004D75DA" w:rsidRPr="00E72303" w:rsidRDefault="004D75DA" w:rsidP="007B178E">
            <w:pPr>
              <w:pStyle w:val="1stParagraph"/>
              <w:jc w:val="left"/>
              <w:rPr>
                <w:rFonts w:cs="Times New Roman"/>
                <w:sz w:val="22"/>
              </w:rPr>
            </w:pPr>
            <w:r w:rsidRPr="00E72303">
              <w:rPr>
                <w:rFonts w:cs="Times New Roman"/>
                <w:sz w:val="22"/>
              </w:rPr>
              <w:t>Count of female members/ Household size</w:t>
            </w:r>
          </w:p>
        </w:tc>
        <w:tc>
          <w:tcPr>
            <w:tcW w:w="1160" w:type="dxa"/>
            <w:vAlign w:val="center"/>
            <w:hideMark/>
          </w:tcPr>
          <w:p w14:paraId="687CF948" w14:textId="0B0E99AF"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1D741D6B" w14:textId="5D9DA971"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0A9958AF" w14:textId="0B42079A" w:rsidR="004D75DA" w:rsidRPr="00E72303" w:rsidRDefault="004D75DA" w:rsidP="007B178E">
            <w:pPr>
              <w:pStyle w:val="1stParagraph"/>
              <w:jc w:val="center"/>
              <w:rPr>
                <w:rFonts w:cs="Times New Roman"/>
                <w:sz w:val="22"/>
              </w:rPr>
            </w:pPr>
            <w:r w:rsidRPr="00E72303">
              <w:rPr>
                <w:rFonts w:cs="Times New Roman"/>
                <w:sz w:val="22"/>
              </w:rPr>
              <w:t>0.5</w:t>
            </w:r>
            <w:r w:rsidR="003D203E" w:rsidRPr="00E72303">
              <w:rPr>
                <w:rFonts w:cs="Times New Roman"/>
                <w:sz w:val="22"/>
              </w:rPr>
              <w:t>5</w:t>
            </w:r>
          </w:p>
        </w:tc>
      </w:tr>
      <w:tr w:rsidR="00E72303" w:rsidRPr="00E72303" w14:paraId="0D14A551" w14:textId="77777777" w:rsidTr="00127EAF">
        <w:trPr>
          <w:trHeight w:val="20"/>
        </w:trPr>
        <w:tc>
          <w:tcPr>
            <w:tcW w:w="2159" w:type="dxa"/>
            <w:vAlign w:val="center"/>
            <w:hideMark/>
          </w:tcPr>
          <w:p w14:paraId="6DBC6C8B" w14:textId="77777777" w:rsidR="004D75DA" w:rsidRPr="00E72303" w:rsidRDefault="004D75DA" w:rsidP="007B178E">
            <w:pPr>
              <w:pStyle w:val="1stParagraph"/>
              <w:jc w:val="left"/>
              <w:rPr>
                <w:rFonts w:cs="Times New Roman"/>
                <w:sz w:val="22"/>
              </w:rPr>
            </w:pPr>
            <w:r w:rsidRPr="00E72303">
              <w:rPr>
                <w:rFonts w:cs="Times New Roman"/>
                <w:sz w:val="22"/>
              </w:rPr>
              <w:t>Proportion of Caucasian-American</w:t>
            </w:r>
          </w:p>
        </w:tc>
        <w:tc>
          <w:tcPr>
            <w:tcW w:w="3787" w:type="dxa"/>
            <w:vAlign w:val="center"/>
          </w:tcPr>
          <w:p w14:paraId="709CF2A6" w14:textId="77777777" w:rsidR="004D75DA" w:rsidRPr="00E72303" w:rsidRDefault="004D75DA" w:rsidP="007B178E">
            <w:pPr>
              <w:pStyle w:val="1stParagraph"/>
              <w:jc w:val="left"/>
              <w:rPr>
                <w:rFonts w:cs="Times New Roman"/>
                <w:sz w:val="22"/>
              </w:rPr>
            </w:pPr>
            <w:r w:rsidRPr="00E72303">
              <w:rPr>
                <w:rFonts w:cs="Times New Roman"/>
                <w:sz w:val="22"/>
              </w:rPr>
              <w:t>Count of Caucasian-American members/ Household size</w:t>
            </w:r>
          </w:p>
        </w:tc>
        <w:tc>
          <w:tcPr>
            <w:tcW w:w="1160" w:type="dxa"/>
            <w:vAlign w:val="center"/>
            <w:hideMark/>
          </w:tcPr>
          <w:p w14:paraId="5015C8B5" w14:textId="705C7ED8"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6EC1B213" w14:textId="3AA22793"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17D97971" w14:textId="4C5325DD" w:rsidR="004D75DA" w:rsidRPr="00E72303" w:rsidRDefault="004D75DA" w:rsidP="007B178E">
            <w:pPr>
              <w:pStyle w:val="1stParagraph"/>
              <w:jc w:val="center"/>
              <w:rPr>
                <w:rFonts w:cs="Times New Roman"/>
                <w:sz w:val="22"/>
              </w:rPr>
            </w:pPr>
            <w:r w:rsidRPr="00E72303">
              <w:rPr>
                <w:rFonts w:cs="Times New Roman"/>
                <w:sz w:val="22"/>
              </w:rPr>
              <w:t>0.8</w:t>
            </w:r>
            <w:r w:rsidR="003D203E" w:rsidRPr="00E72303">
              <w:rPr>
                <w:rFonts w:cs="Times New Roman"/>
                <w:sz w:val="22"/>
              </w:rPr>
              <w:t>4</w:t>
            </w:r>
          </w:p>
        </w:tc>
      </w:tr>
      <w:tr w:rsidR="00E72303" w:rsidRPr="00E72303" w14:paraId="754CF10D" w14:textId="77777777" w:rsidTr="00127EAF">
        <w:trPr>
          <w:trHeight w:val="20"/>
        </w:trPr>
        <w:tc>
          <w:tcPr>
            <w:tcW w:w="2159" w:type="dxa"/>
            <w:vAlign w:val="center"/>
            <w:hideMark/>
          </w:tcPr>
          <w:p w14:paraId="6C16CFEB" w14:textId="77777777" w:rsidR="004D75DA" w:rsidRPr="00E72303" w:rsidRDefault="004D75DA" w:rsidP="007B178E">
            <w:pPr>
              <w:pStyle w:val="1stParagraph"/>
              <w:jc w:val="left"/>
              <w:rPr>
                <w:rFonts w:cs="Times New Roman"/>
                <w:sz w:val="22"/>
              </w:rPr>
            </w:pPr>
            <w:r w:rsidRPr="00E72303">
              <w:rPr>
                <w:rFonts w:cs="Times New Roman"/>
                <w:sz w:val="22"/>
              </w:rPr>
              <w:t>Proportion of African American</w:t>
            </w:r>
          </w:p>
        </w:tc>
        <w:tc>
          <w:tcPr>
            <w:tcW w:w="3787" w:type="dxa"/>
            <w:vAlign w:val="center"/>
          </w:tcPr>
          <w:p w14:paraId="42334CC1" w14:textId="77777777" w:rsidR="004D75DA" w:rsidRPr="00E72303" w:rsidRDefault="004D75DA" w:rsidP="007B178E">
            <w:pPr>
              <w:pStyle w:val="1stParagraph"/>
              <w:jc w:val="left"/>
              <w:rPr>
                <w:rFonts w:cs="Times New Roman"/>
                <w:sz w:val="22"/>
              </w:rPr>
            </w:pPr>
            <w:r w:rsidRPr="00E72303">
              <w:rPr>
                <w:rFonts w:cs="Times New Roman"/>
                <w:sz w:val="22"/>
              </w:rPr>
              <w:t>Count of African American members/ Household size</w:t>
            </w:r>
          </w:p>
        </w:tc>
        <w:tc>
          <w:tcPr>
            <w:tcW w:w="1160" w:type="dxa"/>
            <w:vAlign w:val="center"/>
            <w:hideMark/>
          </w:tcPr>
          <w:p w14:paraId="45144E9F" w14:textId="27385830"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371900AE" w14:textId="74370EFE"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553BE1A9" w14:textId="65B61DFF" w:rsidR="004D75DA" w:rsidRPr="00E72303" w:rsidRDefault="004D75DA" w:rsidP="007B178E">
            <w:pPr>
              <w:pStyle w:val="1stParagraph"/>
              <w:jc w:val="center"/>
              <w:rPr>
                <w:rFonts w:cs="Times New Roman"/>
                <w:sz w:val="22"/>
              </w:rPr>
            </w:pPr>
            <w:r w:rsidRPr="00E72303">
              <w:rPr>
                <w:rFonts w:cs="Times New Roman"/>
                <w:sz w:val="22"/>
              </w:rPr>
              <w:t>0.07</w:t>
            </w:r>
          </w:p>
        </w:tc>
      </w:tr>
      <w:tr w:rsidR="00E72303" w:rsidRPr="00E72303" w14:paraId="66D3CD87" w14:textId="77777777" w:rsidTr="00127EAF">
        <w:trPr>
          <w:trHeight w:val="20"/>
        </w:trPr>
        <w:tc>
          <w:tcPr>
            <w:tcW w:w="2159" w:type="dxa"/>
            <w:vAlign w:val="center"/>
            <w:hideMark/>
          </w:tcPr>
          <w:p w14:paraId="23C865B4" w14:textId="77777777" w:rsidR="004D75DA" w:rsidRPr="00E72303" w:rsidRDefault="004D75DA" w:rsidP="007B178E">
            <w:pPr>
              <w:pStyle w:val="1stParagraph"/>
              <w:jc w:val="left"/>
              <w:rPr>
                <w:rFonts w:cs="Times New Roman"/>
                <w:sz w:val="22"/>
              </w:rPr>
            </w:pPr>
            <w:r w:rsidRPr="00E72303">
              <w:rPr>
                <w:rFonts w:cs="Times New Roman"/>
                <w:sz w:val="22"/>
              </w:rPr>
              <w:t>Proportion of Asian American</w:t>
            </w:r>
          </w:p>
        </w:tc>
        <w:tc>
          <w:tcPr>
            <w:tcW w:w="3787" w:type="dxa"/>
            <w:vAlign w:val="center"/>
          </w:tcPr>
          <w:p w14:paraId="59F2661B" w14:textId="77777777" w:rsidR="004D75DA" w:rsidRPr="00E72303" w:rsidRDefault="004D75DA" w:rsidP="007B178E">
            <w:pPr>
              <w:pStyle w:val="1stParagraph"/>
              <w:jc w:val="left"/>
              <w:rPr>
                <w:rFonts w:cs="Times New Roman"/>
                <w:sz w:val="22"/>
              </w:rPr>
            </w:pPr>
            <w:r w:rsidRPr="00E72303">
              <w:rPr>
                <w:rFonts w:cs="Times New Roman"/>
                <w:sz w:val="22"/>
              </w:rPr>
              <w:t>Count of Asian-American members/ Household size</w:t>
            </w:r>
          </w:p>
        </w:tc>
        <w:tc>
          <w:tcPr>
            <w:tcW w:w="1160" w:type="dxa"/>
            <w:vAlign w:val="center"/>
            <w:hideMark/>
          </w:tcPr>
          <w:p w14:paraId="43441118" w14:textId="065D0D5F"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2550A627" w14:textId="5873FFB3"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2202F73E" w14:textId="37DC96A0" w:rsidR="004D75DA" w:rsidRPr="00E72303" w:rsidRDefault="004D75DA" w:rsidP="007B178E">
            <w:pPr>
              <w:pStyle w:val="1stParagraph"/>
              <w:jc w:val="center"/>
              <w:rPr>
                <w:rFonts w:cs="Times New Roman"/>
                <w:sz w:val="22"/>
              </w:rPr>
            </w:pPr>
            <w:r w:rsidRPr="00E72303">
              <w:rPr>
                <w:rFonts w:cs="Times New Roman"/>
                <w:sz w:val="22"/>
              </w:rPr>
              <w:t>0.04</w:t>
            </w:r>
          </w:p>
        </w:tc>
      </w:tr>
      <w:tr w:rsidR="00E72303" w:rsidRPr="00E72303" w14:paraId="7292977F" w14:textId="77777777" w:rsidTr="00127EAF">
        <w:trPr>
          <w:trHeight w:val="20"/>
        </w:trPr>
        <w:tc>
          <w:tcPr>
            <w:tcW w:w="2159" w:type="dxa"/>
            <w:vAlign w:val="center"/>
            <w:hideMark/>
          </w:tcPr>
          <w:p w14:paraId="6680A33C" w14:textId="77777777" w:rsidR="004D75DA" w:rsidRPr="00E72303" w:rsidRDefault="004D75DA" w:rsidP="007B178E">
            <w:pPr>
              <w:pStyle w:val="1stParagraph"/>
              <w:jc w:val="left"/>
              <w:rPr>
                <w:rFonts w:cs="Times New Roman"/>
                <w:sz w:val="22"/>
              </w:rPr>
            </w:pPr>
            <w:r w:rsidRPr="00E72303">
              <w:rPr>
                <w:rFonts w:cs="Times New Roman"/>
                <w:sz w:val="22"/>
              </w:rPr>
              <w:t>Proportion of other races</w:t>
            </w:r>
          </w:p>
        </w:tc>
        <w:tc>
          <w:tcPr>
            <w:tcW w:w="3787" w:type="dxa"/>
            <w:vAlign w:val="center"/>
          </w:tcPr>
          <w:p w14:paraId="700323EA" w14:textId="77777777" w:rsidR="004D75DA" w:rsidRPr="00E72303" w:rsidRDefault="004D75DA" w:rsidP="007B178E">
            <w:pPr>
              <w:pStyle w:val="1stParagraph"/>
              <w:jc w:val="left"/>
              <w:rPr>
                <w:rFonts w:cs="Times New Roman"/>
                <w:sz w:val="22"/>
              </w:rPr>
            </w:pPr>
            <w:r w:rsidRPr="00E72303">
              <w:rPr>
                <w:rFonts w:cs="Times New Roman"/>
                <w:sz w:val="22"/>
              </w:rPr>
              <w:t>Count of other races/ Household size</w:t>
            </w:r>
          </w:p>
        </w:tc>
        <w:tc>
          <w:tcPr>
            <w:tcW w:w="1160" w:type="dxa"/>
            <w:vAlign w:val="center"/>
            <w:hideMark/>
          </w:tcPr>
          <w:p w14:paraId="4385B029" w14:textId="0F27CA2A"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7AC3DAF3" w14:textId="41A10142"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46B3961C" w14:textId="032AA8E1" w:rsidR="004D75DA" w:rsidRPr="00E72303" w:rsidRDefault="004D75DA" w:rsidP="007B178E">
            <w:pPr>
              <w:pStyle w:val="1stParagraph"/>
              <w:jc w:val="center"/>
              <w:rPr>
                <w:rFonts w:cs="Times New Roman"/>
                <w:sz w:val="22"/>
              </w:rPr>
            </w:pPr>
            <w:r w:rsidRPr="00E72303">
              <w:rPr>
                <w:rFonts w:cs="Times New Roman"/>
                <w:sz w:val="22"/>
              </w:rPr>
              <w:t>0.0</w:t>
            </w:r>
            <w:r w:rsidR="003261A6" w:rsidRPr="00E72303">
              <w:rPr>
                <w:rFonts w:cs="Times New Roman"/>
                <w:sz w:val="22"/>
              </w:rPr>
              <w:t>5</w:t>
            </w:r>
          </w:p>
        </w:tc>
      </w:tr>
      <w:tr w:rsidR="00E72303" w:rsidRPr="00E72303" w14:paraId="1EF90D49" w14:textId="77777777" w:rsidTr="00127EAF">
        <w:trPr>
          <w:trHeight w:val="20"/>
        </w:trPr>
        <w:tc>
          <w:tcPr>
            <w:tcW w:w="2159" w:type="dxa"/>
            <w:vAlign w:val="center"/>
            <w:hideMark/>
          </w:tcPr>
          <w:p w14:paraId="7CCACF7B" w14:textId="77777777" w:rsidR="004D75DA" w:rsidRPr="00E72303" w:rsidRDefault="004D75DA" w:rsidP="007B178E">
            <w:pPr>
              <w:pStyle w:val="1stParagraph"/>
              <w:jc w:val="left"/>
              <w:rPr>
                <w:rFonts w:cs="Times New Roman"/>
                <w:sz w:val="22"/>
              </w:rPr>
            </w:pPr>
            <w:r w:rsidRPr="00E72303">
              <w:rPr>
                <w:rFonts w:cs="Times New Roman"/>
                <w:sz w:val="22"/>
              </w:rPr>
              <w:t>Proportion of people aged less than 17 years old</w:t>
            </w:r>
          </w:p>
        </w:tc>
        <w:tc>
          <w:tcPr>
            <w:tcW w:w="3787" w:type="dxa"/>
            <w:vAlign w:val="center"/>
          </w:tcPr>
          <w:p w14:paraId="0B8694B4" w14:textId="77777777" w:rsidR="004D75DA" w:rsidRPr="00E72303" w:rsidRDefault="004D75DA" w:rsidP="007B178E">
            <w:pPr>
              <w:pStyle w:val="1stParagraph"/>
              <w:jc w:val="left"/>
              <w:rPr>
                <w:rFonts w:cs="Times New Roman"/>
                <w:sz w:val="22"/>
              </w:rPr>
            </w:pPr>
            <w:r w:rsidRPr="00E72303">
              <w:rPr>
                <w:rFonts w:cs="Times New Roman"/>
                <w:sz w:val="22"/>
              </w:rPr>
              <w:t>Count of members aged less than 17 years/ Household size</w:t>
            </w:r>
          </w:p>
        </w:tc>
        <w:tc>
          <w:tcPr>
            <w:tcW w:w="1160" w:type="dxa"/>
            <w:vAlign w:val="center"/>
            <w:hideMark/>
          </w:tcPr>
          <w:p w14:paraId="450369F9" w14:textId="2948D710"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2F055238" w14:textId="484F7FE1"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7A30033C" w14:textId="58946915" w:rsidR="004D75DA" w:rsidRPr="00E72303" w:rsidRDefault="004D75DA" w:rsidP="007B178E">
            <w:pPr>
              <w:pStyle w:val="1stParagraph"/>
              <w:jc w:val="center"/>
              <w:rPr>
                <w:rFonts w:cs="Times New Roman"/>
                <w:sz w:val="22"/>
              </w:rPr>
            </w:pPr>
            <w:r w:rsidRPr="00E72303">
              <w:rPr>
                <w:rFonts w:cs="Times New Roman"/>
                <w:sz w:val="22"/>
              </w:rPr>
              <w:t>0.0</w:t>
            </w:r>
            <w:r w:rsidR="00143E8A" w:rsidRPr="00E72303">
              <w:rPr>
                <w:rFonts w:cs="Times New Roman"/>
                <w:sz w:val="22"/>
              </w:rPr>
              <w:t>1</w:t>
            </w:r>
          </w:p>
        </w:tc>
      </w:tr>
      <w:tr w:rsidR="00E72303" w:rsidRPr="00E72303" w14:paraId="76DCC555" w14:textId="77777777" w:rsidTr="00127EAF">
        <w:trPr>
          <w:trHeight w:val="20"/>
        </w:trPr>
        <w:tc>
          <w:tcPr>
            <w:tcW w:w="2159" w:type="dxa"/>
            <w:vAlign w:val="center"/>
            <w:hideMark/>
          </w:tcPr>
          <w:p w14:paraId="537F5FFE" w14:textId="77777777" w:rsidR="004D75DA" w:rsidRPr="00E72303" w:rsidRDefault="004D75DA" w:rsidP="007B178E">
            <w:pPr>
              <w:pStyle w:val="1stParagraph"/>
              <w:jc w:val="left"/>
              <w:rPr>
                <w:rFonts w:cs="Times New Roman"/>
                <w:sz w:val="22"/>
              </w:rPr>
            </w:pPr>
            <w:r w:rsidRPr="00E72303">
              <w:rPr>
                <w:rFonts w:cs="Times New Roman"/>
                <w:sz w:val="22"/>
              </w:rPr>
              <w:t>Proportion of people aged 17 to 35 years</w:t>
            </w:r>
          </w:p>
        </w:tc>
        <w:tc>
          <w:tcPr>
            <w:tcW w:w="3787" w:type="dxa"/>
            <w:vAlign w:val="center"/>
          </w:tcPr>
          <w:p w14:paraId="58926F22" w14:textId="77777777" w:rsidR="004D75DA" w:rsidRPr="00E72303" w:rsidRDefault="004D75DA" w:rsidP="007B178E">
            <w:pPr>
              <w:pStyle w:val="1stParagraph"/>
              <w:jc w:val="left"/>
              <w:rPr>
                <w:rFonts w:cs="Times New Roman"/>
                <w:sz w:val="22"/>
              </w:rPr>
            </w:pPr>
            <w:r w:rsidRPr="00E72303">
              <w:rPr>
                <w:rFonts w:cs="Times New Roman"/>
                <w:sz w:val="22"/>
              </w:rPr>
              <w:t>Count of members aged 17 to 35 years/ Household size</w:t>
            </w:r>
          </w:p>
        </w:tc>
        <w:tc>
          <w:tcPr>
            <w:tcW w:w="1160" w:type="dxa"/>
            <w:vAlign w:val="center"/>
            <w:hideMark/>
          </w:tcPr>
          <w:p w14:paraId="04BE5FB8" w14:textId="1C275259"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166ACCB2" w14:textId="21327FF1"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1A3B7AA5" w14:textId="20667E53" w:rsidR="004D75DA" w:rsidRPr="00E72303" w:rsidRDefault="004D75DA" w:rsidP="007B178E">
            <w:pPr>
              <w:pStyle w:val="1stParagraph"/>
              <w:jc w:val="center"/>
              <w:rPr>
                <w:rFonts w:cs="Times New Roman"/>
                <w:sz w:val="22"/>
              </w:rPr>
            </w:pPr>
            <w:r w:rsidRPr="00E72303">
              <w:rPr>
                <w:rFonts w:cs="Times New Roman"/>
                <w:sz w:val="22"/>
              </w:rPr>
              <w:t>0.1</w:t>
            </w:r>
            <w:r w:rsidR="00143E8A" w:rsidRPr="00E72303">
              <w:rPr>
                <w:rFonts w:cs="Times New Roman"/>
                <w:sz w:val="22"/>
              </w:rPr>
              <w:t>8</w:t>
            </w:r>
          </w:p>
        </w:tc>
      </w:tr>
      <w:tr w:rsidR="00E72303" w:rsidRPr="00E72303" w14:paraId="5B8AAD23" w14:textId="77777777" w:rsidTr="00127EAF">
        <w:trPr>
          <w:trHeight w:val="20"/>
        </w:trPr>
        <w:tc>
          <w:tcPr>
            <w:tcW w:w="2159" w:type="dxa"/>
            <w:vAlign w:val="center"/>
            <w:hideMark/>
          </w:tcPr>
          <w:p w14:paraId="0E8B5354" w14:textId="77777777" w:rsidR="004D75DA" w:rsidRPr="00E72303" w:rsidRDefault="004D75DA" w:rsidP="007B178E">
            <w:pPr>
              <w:pStyle w:val="1stParagraph"/>
              <w:jc w:val="left"/>
              <w:rPr>
                <w:rFonts w:cs="Times New Roman"/>
                <w:sz w:val="22"/>
              </w:rPr>
            </w:pPr>
            <w:r w:rsidRPr="00E72303">
              <w:rPr>
                <w:rFonts w:cs="Times New Roman"/>
                <w:sz w:val="22"/>
              </w:rPr>
              <w:t>Proportion of people aged 35 to 50 years</w:t>
            </w:r>
          </w:p>
        </w:tc>
        <w:tc>
          <w:tcPr>
            <w:tcW w:w="3787" w:type="dxa"/>
            <w:vAlign w:val="center"/>
          </w:tcPr>
          <w:p w14:paraId="12088453" w14:textId="77777777" w:rsidR="004D75DA" w:rsidRPr="00E72303" w:rsidRDefault="004D75DA" w:rsidP="007B178E">
            <w:pPr>
              <w:pStyle w:val="1stParagraph"/>
              <w:jc w:val="left"/>
              <w:rPr>
                <w:rFonts w:cs="Times New Roman"/>
                <w:sz w:val="22"/>
              </w:rPr>
            </w:pPr>
            <w:r w:rsidRPr="00E72303">
              <w:rPr>
                <w:rFonts w:cs="Times New Roman"/>
                <w:sz w:val="22"/>
              </w:rPr>
              <w:t>Count of members aged 35 to 50 years/ Household size</w:t>
            </w:r>
          </w:p>
        </w:tc>
        <w:tc>
          <w:tcPr>
            <w:tcW w:w="1160" w:type="dxa"/>
            <w:vAlign w:val="center"/>
            <w:hideMark/>
          </w:tcPr>
          <w:p w14:paraId="6BC93094" w14:textId="136FE124"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20598219" w14:textId="5D899F9D"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24E0B4F4" w14:textId="3AEA69E6" w:rsidR="004D75DA" w:rsidRPr="00E72303" w:rsidRDefault="004D75DA" w:rsidP="007B178E">
            <w:pPr>
              <w:pStyle w:val="1stParagraph"/>
              <w:jc w:val="center"/>
              <w:rPr>
                <w:rFonts w:cs="Times New Roman"/>
                <w:sz w:val="22"/>
              </w:rPr>
            </w:pPr>
            <w:r w:rsidRPr="00E72303">
              <w:rPr>
                <w:rFonts w:cs="Times New Roman"/>
                <w:sz w:val="22"/>
              </w:rPr>
              <w:t>0.1</w:t>
            </w:r>
            <w:r w:rsidR="00272634" w:rsidRPr="00E72303">
              <w:rPr>
                <w:rFonts w:cs="Times New Roman"/>
                <w:sz w:val="22"/>
              </w:rPr>
              <w:t>9</w:t>
            </w:r>
          </w:p>
        </w:tc>
      </w:tr>
      <w:tr w:rsidR="00E72303" w:rsidRPr="00E72303" w14:paraId="2940876B" w14:textId="77777777" w:rsidTr="00127EAF">
        <w:trPr>
          <w:trHeight w:val="20"/>
        </w:trPr>
        <w:tc>
          <w:tcPr>
            <w:tcW w:w="2159" w:type="dxa"/>
            <w:vAlign w:val="center"/>
            <w:hideMark/>
          </w:tcPr>
          <w:p w14:paraId="7220EFE7" w14:textId="77777777" w:rsidR="004D75DA" w:rsidRPr="00E72303" w:rsidRDefault="004D75DA" w:rsidP="007B178E">
            <w:pPr>
              <w:pStyle w:val="1stParagraph"/>
              <w:jc w:val="left"/>
              <w:rPr>
                <w:rFonts w:cs="Times New Roman"/>
                <w:sz w:val="22"/>
              </w:rPr>
            </w:pPr>
            <w:r w:rsidRPr="00E72303">
              <w:rPr>
                <w:rFonts w:cs="Times New Roman"/>
                <w:sz w:val="22"/>
              </w:rPr>
              <w:t>Proportion of people aged 51 to 65 years</w:t>
            </w:r>
          </w:p>
        </w:tc>
        <w:tc>
          <w:tcPr>
            <w:tcW w:w="3787" w:type="dxa"/>
            <w:vAlign w:val="center"/>
          </w:tcPr>
          <w:p w14:paraId="74A0691A" w14:textId="77777777" w:rsidR="004D75DA" w:rsidRPr="00E72303" w:rsidRDefault="004D75DA" w:rsidP="007B178E">
            <w:pPr>
              <w:pStyle w:val="1stParagraph"/>
              <w:jc w:val="left"/>
              <w:rPr>
                <w:rFonts w:cs="Times New Roman"/>
                <w:sz w:val="22"/>
              </w:rPr>
            </w:pPr>
            <w:r w:rsidRPr="00E72303">
              <w:rPr>
                <w:rFonts w:cs="Times New Roman"/>
                <w:sz w:val="22"/>
              </w:rPr>
              <w:t>Count of members aged 51 to 65 years/ Household size</w:t>
            </w:r>
          </w:p>
        </w:tc>
        <w:tc>
          <w:tcPr>
            <w:tcW w:w="1160" w:type="dxa"/>
            <w:vAlign w:val="center"/>
            <w:hideMark/>
          </w:tcPr>
          <w:p w14:paraId="48ECF1C5" w14:textId="69AFC831"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4503FEFD" w14:textId="6BD1AA36"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455A0361" w14:textId="5DA1A856" w:rsidR="004D75DA" w:rsidRPr="00E72303" w:rsidRDefault="004D75DA" w:rsidP="007B178E">
            <w:pPr>
              <w:pStyle w:val="1stParagraph"/>
              <w:jc w:val="center"/>
              <w:rPr>
                <w:rFonts w:cs="Times New Roman"/>
                <w:sz w:val="22"/>
              </w:rPr>
            </w:pPr>
            <w:r w:rsidRPr="00E72303">
              <w:rPr>
                <w:rFonts w:cs="Times New Roman"/>
                <w:sz w:val="22"/>
              </w:rPr>
              <w:t>0.3</w:t>
            </w:r>
            <w:r w:rsidR="00272634" w:rsidRPr="00E72303">
              <w:rPr>
                <w:rFonts w:cs="Times New Roman"/>
                <w:sz w:val="22"/>
              </w:rPr>
              <w:t>2</w:t>
            </w:r>
          </w:p>
        </w:tc>
      </w:tr>
      <w:tr w:rsidR="00E72303" w:rsidRPr="00E72303" w14:paraId="63ADA379" w14:textId="77777777" w:rsidTr="00127EAF">
        <w:trPr>
          <w:trHeight w:val="20"/>
        </w:trPr>
        <w:tc>
          <w:tcPr>
            <w:tcW w:w="2159" w:type="dxa"/>
            <w:vAlign w:val="center"/>
            <w:hideMark/>
          </w:tcPr>
          <w:p w14:paraId="2B97CBEB" w14:textId="77777777" w:rsidR="004D75DA" w:rsidRPr="00E72303" w:rsidRDefault="004D75DA" w:rsidP="007B178E">
            <w:pPr>
              <w:pStyle w:val="1stParagraph"/>
              <w:jc w:val="left"/>
              <w:rPr>
                <w:rFonts w:cs="Times New Roman"/>
                <w:sz w:val="22"/>
              </w:rPr>
            </w:pPr>
            <w:r w:rsidRPr="00E72303">
              <w:rPr>
                <w:rFonts w:cs="Times New Roman"/>
                <w:sz w:val="22"/>
              </w:rPr>
              <w:t>Proportion of people aged more than 65 years old</w:t>
            </w:r>
          </w:p>
        </w:tc>
        <w:tc>
          <w:tcPr>
            <w:tcW w:w="3787" w:type="dxa"/>
            <w:vAlign w:val="center"/>
          </w:tcPr>
          <w:p w14:paraId="7976CB1D" w14:textId="77777777" w:rsidR="004D75DA" w:rsidRPr="00E72303" w:rsidRDefault="004D75DA" w:rsidP="007B178E">
            <w:pPr>
              <w:pStyle w:val="1stParagraph"/>
              <w:jc w:val="left"/>
              <w:rPr>
                <w:rFonts w:cs="Times New Roman"/>
                <w:sz w:val="22"/>
              </w:rPr>
            </w:pPr>
            <w:r w:rsidRPr="00E72303">
              <w:rPr>
                <w:rFonts w:cs="Times New Roman"/>
                <w:sz w:val="22"/>
              </w:rPr>
              <w:t>Count of members aged more than 65 years/ Household size</w:t>
            </w:r>
          </w:p>
        </w:tc>
        <w:tc>
          <w:tcPr>
            <w:tcW w:w="1160" w:type="dxa"/>
            <w:vAlign w:val="center"/>
            <w:hideMark/>
          </w:tcPr>
          <w:p w14:paraId="5D5B0215" w14:textId="3173B420"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076BC4DC" w14:textId="166F3DB2"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4C6BEE9C" w14:textId="12FCC4DD" w:rsidR="004D75DA" w:rsidRPr="00E72303" w:rsidRDefault="004D75DA" w:rsidP="007B178E">
            <w:pPr>
              <w:pStyle w:val="1stParagraph"/>
              <w:jc w:val="center"/>
              <w:rPr>
                <w:rFonts w:cs="Times New Roman"/>
                <w:sz w:val="22"/>
              </w:rPr>
            </w:pPr>
            <w:r w:rsidRPr="00E72303">
              <w:rPr>
                <w:rFonts w:cs="Times New Roman"/>
                <w:sz w:val="22"/>
              </w:rPr>
              <w:t>0.31</w:t>
            </w:r>
          </w:p>
        </w:tc>
      </w:tr>
      <w:tr w:rsidR="00E72303" w:rsidRPr="00E72303" w14:paraId="77281A29" w14:textId="77777777" w:rsidTr="00127EAF">
        <w:trPr>
          <w:trHeight w:val="20"/>
        </w:trPr>
        <w:tc>
          <w:tcPr>
            <w:tcW w:w="2159" w:type="dxa"/>
            <w:vAlign w:val="center"/>
            <w:hideMark/>
          </w:tcPr>
          <w:p w14:paraId="176539C4" w14:textId="77777777" w:rsidR="004D75DA" w:rsidRPr="00E72303" w:rsidRDefault="004D75DA" w:rsidP="007B178E">
            <w:pPr>
              <w:pStyle w:val="1stParagraph"/>
              <w:jc w:val="left"/>
              <w:rPr>
                <w:rFonts w:cs="Times New Roman"/>
                <w:sz w:val="22"/>
              </w:rPr>
            </w:pPr>
            <w:r w:rsidRPr="00E72303">
              <w:rPr>
                <w:rFonts w:cs="Times New Roman"/>
                <w:sz w:val="22"/>
              </w:rPr>
              <w:t>Urban area</w:t>
            </w:r>
          </w:p>
        </w:tc>
        <w:tc>
          <w:tcPr>
            <w:tcW w:w="3787" w:type="dxa"/>
            <w:vAlign w:val="center"/>
          </w:tcPr>
          <w:p w14:paraId="2165E1C2" w14:textId="77777777" w:rsidR="004D75DA" w:rsidRPr="00E72303" w:rsidRDefault="004D75DA" w:rsidP="007B178E">
            <w:pPr>
              <w:pStyle w:val="1stParagraph"/>
              <w:jc w:val="left"/>
              <w:rPr>
                <w:rFonts w:cs="Times New Roman"/>
                <w:sz w:val="22"/>
              </w:rPr>
            </w:pPr>
            <w:r w:rsidRPr="00E72303">
              <w:rPr>
                <w:rFonts w:cs="Times New Roman"/>
                <w:sz w:val="22"/>
              </w:rPr>
              <w:t>Household located in urban area</w:t>
            </w:r>
          </w:p>
        </w:tc>
        <w:tc>
          <w:tcPr>
            <w:tcW w:w="1160" w:type="dxa"/>
            <w:vAlign w:val="center"/>
            <w:hideMark/>
          </w:tcPr>
          <w:p w14:paraId="5C9282E0" w14:textId="2D602966"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7BB3BC70" w14:textId="577ACAE3"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39511890" w14:textId="7F977FBC" w:rsidR="004D75DA" w:rsidRPr="00E72303" w:rsidRDefault="004D75DA" w:rsidP="007B178E">
            <w:pPr>
              <w:pStyle w:val="1stParagraph"/>
              <w:jc w:val="center"/>
              <w:rPr>
                <w:rFonts w:cs="Times New Roman"/>
                <w:sz w:val="22"/>
              </w:rPr>
            </w:pPr>
            <w:r w:rsidRPr="00E72303">
              <w:rPr>
                <w:rFonts w:cs="Times New Roman"/>
                <w:sz w:val="22"/>
              </w:rPr>
              <w:t>0.77</w:t>
            </w:r>
          </w:p>
        </w:tc>
      </w:tr>
      <w:tr w:rsidR="00E72303" w:rsidRPr="00E72303" w14:paraId="744B0813" w14:textId="77777777" w:rsidTr="00127EAF">
        <w:trPr>
          <w:trHeight w:val="20"/>
        </w:trPr>
        <w:tc>
          <w:tcPr>
            <w:tcW w:w="2159" w:type="dxa"/>
            <w:vAlign w:val="center"/>
            <w:hideMark/>
          </w:tcPr>
          <w:p w14:paraId="58808C88" w14:textId="77777777" w:rsidR="004D75DA" w:rsidRPr="00E72303" w:rsidRDefault="004D75DA" w:rsidP="007B178E">
            <w:pPr>
              <w:pStyle w:val="1stParagraph"/>
              <w:jc w:val="left"/>
              <w:rPr>
                <w:rFonts w:cs="Times New Roman"/>
                <w:sz w:val="22"/>
              </w:rPr>
            </w:pPr>
            <w:r w:rsidRPr="00E72303">
              <w:rPr>
                <w:rFonts w:cs="Times New Roman"/>
                <w:sz w:val="22"/>
              </w:rPr>
              <w:t>Rural area</w:t>
            </w:r>
          </w:p>
        </w:tc>
        <w:tc>
          <w:tcPr>
            <w:tcW w:w="3787" w:type="dxa"/>
            <w:vAlign w:val="center"/>
          </w:tcPr>
          <w:p w14:paraId="569C1E23" w14:textId="77777777" w:rsidR="004D75DA" w:rsidRPr="00E72303" w:rsidRDefault="004D75DA" w:rsidP="007B178E">
            <w:pPr>
              <w:pStyle w:val="1stParagraph"/>
              <w:jc w:val="left"/>
              <w:rPr>
                <w:rFonts w:cs="Times New Roman"/>
                <w:sz w:val="22"/>
              </w:rPr>
            </w:pPr>
            <w:r w:rsidRPr="00E72303">
              <w:rPr>
                <w:rFonts w:cs="Times New Roman"/>
                <w:sz w:val="22"/>
              </w:rPr>
              <w:t>Household located in rural area</w:t>
            </w:r>
          </w:p>
        </w:tc>
        <w:tc>
          <w:tcPr>
            <w:tcW w:w="1160" w:type="dxa"/>
            <w:vAlign w:val="center"/>
            <w:hideMark/>
          </w:tcPr>
          <w:p w14:paraId="3E3D11A9" w14:textId="5A927301"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47DB5E48" w14:textId="698DBB12"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45BCBA7C" w14:textId="4CD3855E" w:rsidR="004D75DA" w:rsidRPr="00E72303" w:rsidRDefault="004D75DA" w:rsidP="007B178E">
            <w:pPr>
              <w:pStyle w:val="1stParagraph"/>
              <w:jc w:val="center"/>
              <w:rPr>
                <w:rFonts w:cs="Times New Roman"/>
                <w:sz w:val="22"/>
              </w:rPr>
            </w:pPr>
            <w:r w:rsidRPr="00E72303">
              <w:rPr>
                <w:rFonts w:cs="Times New Roman"/>
                <w:sz w:val="22"/>
              </w:rPr>
              <w:t>0.23</w:t>
            </w:r>
          </w:p>
        </w:tc>
      </w:tr>
      <w:tr w:rsidR="00E72303" w:rsidRPr="00E72303" w14:paraId="77248BC1" w14:textId="77777777" w:rsidTr="00087DBA">
        <w:trPr>
          <w:trHeight w:val="20"/>
        </w:trPr>
        <w:tc>
          <w:tcPr>
            <w:tcW w:w="9366" w:type="dxa"/>
            <w:gridSpan w:val="5"/>
            <w:vAlign w:val="center"/>
            <w:hideMark/>
          </w:tcPr>
          <w:p w14:paraId="7D81C9B8" w14:textId="41392187" w:rsidR="004D75DA" w:rsidRPr="00E72303" w:rsidRDefault="004D75DA" w:rsidP="007B178E">
            <w:pPr>
              <w:pStyle w:val="1stParagraph"/>
              <w:jc w:val="center"/>
              <w:rPr>
                <w:rFonts w:cs="Times New Roman"/>
                <w:b/>
                <w:bCs/>
                <w:i/>
                <w:iCs/>
                <w:sz w:val="22"/>
              </w:rPr>
            </w:pPr>
            <w:r w:rsidRPr="00E72303">
              <w:rPr>
                <w:rFonts w:cs="Times New Roman"/>
                <w:b/>
                <w:bCs/>
                <w:i/>
                <w:iCs/>
                <w:sz w:val="22"/>
              </w:rPr>
              <w:t>NHTS Data (N = 28,995; person level data for fusion model- considering new vehicles only)</w:t>
            </w:r>
          </w:p>
        </w:tc>
      </w:tr>
      <w:tr w:rsidR="00E72303" w:rsidRPr="00E72303" w14:paraId="6A775616" w14:textId="77777777" w:rsidTr="0072479C">
        <w:trPr>
          <w:trHeight w:val="20"/>
        </w:trPr>
        <w:tc>
          <w:tcPr>
            <w:tcW w:w="2159" w:type="dxa"/>
            <w:vAlign w:val="center"/>
            <w:hideMark/>
          </w:tcPr>
          <w:p w14:paraId="50126B51" w14:textId="77777777" w:rsidR="004D75DA" w:rsidRPr="00E72303" w:rsidRDefault="004D75DA" w:rsidP="007B178E">
            <w:pPr>
              <w:pStyle w:val="1stParagraph"/>
              <w:jc w:val="left"/>
              <w:rPr>
                <w:rFonts w:cs="Times New Roman"/>
                <w:sz w:val="22"/>
              </w:rPr>
            </w:pPr>
            <w:r w:rsidRPr="00E72303">
              <w:rPr>
                <w:rFonts w:cs="Times New Roman"/>
                <w:sz w:val="22"/>
              </w:rPr>
              <w:t>Owned house</w:t>
            </w:r>
          </w:p>
        </w:tc>
        <w:tc>
          <w:tcPr>
            <w:tcW w:w="3787" w:type="dxa"/>
            <w:vAlign w:val="center"/>
          </w:tcPr>
          <w:p w14:paraId="6DABD42C" w14:textId="77777777" w:rsidR="004D75DA" w:rsidRPr="00E72303" w:rsidRDefault="004D75DA" w:rsidP="007B178E">
            <w:pPr>
              <w:pStyle w:val="1stParagraph"/>
              <w:jc w:val="left"/>
              <w:rPr>
                <w:rFonts w:cs="Times New Roman"/>
                <w:sz w:val="22"/>
              </w:rPr>
            </w:pPr>
            <w:r w:rsidRPr="00E72303">
              <w:rPr>
                <w:rFonts w:cs="Times New Roman"/>
                <w:sz w:val="22"/>
              </w:rPr>
              <w:t>Household ownership: Own a house</w:t>
            </w:r>
          </w:p>
        </w:tc>
        <w:tc>
          <w:tcPr>
            <w:tcW w:w="1160" w:type="dxa"/>
            <w:vAlign w:val="center"/>
            <w:hideMark/>
          </w:tcPr>
          <w:p w14:paraId="73F77C57" w14:textId="4B6D0FC0"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786A0638" w14:textId="16928561"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167D92D9" w14:textId="238EA4D9" w:rsidR="004D75DA" w:rsidRPr="00E72303" w:rsidRDefault="004D75DA" w:rsidP="007B178E">
            <w:pPr>
              <w:pStyle w:val="1stParagraph"/>
              <w:jc w:val="center"/>
              <w:rPr>
                <w:rFonts w:cs="Times New Roman"/>
                <w:sz w:val="22"/>
              </w:rPr>
            </w:pPr>
            <w:r w:rsidRPr="00E72303">
              <w:rPr>
                <w:rFonts w:cs="Times New Roman"/>
                <w:sz w:val="22"/>
              </w:rPr>
              <w:t>0.87</w:t>
            </w:r>
          </w:p>
        </w:tc>
      </w:tr>
      <w:tr w:rsidR="00E72303" w:rsidRPr="00E72303" w14:paraId="4F162AF0" w14:textId="77777777" w:rsidTr="0072479C">
        <w:trPr>
          <w:trHeight w:val="20"/>
        </w:trPr>
        <w:tc>
          <w:tcPr>
            <w:tcW w:w="2159" w:type="dxa"/>
            <w:vAlign w:val="center"/>
            <w:hideMark/>
          </w:tcPr>
          <w:p w14:paraId="7F2E803A" w14:textId="77777777" w:rsidR="004D75DA" w:rsidRPr="00E72303" w:rsidRDefault="004D75DA" w:rsidP="007B178E">
            <w:pPr>
              <w:pStyle w:val="1stParagraph"/>
              <w:jc w:val="left"/>
              <w:rPr>
                <w:rFonts w:cs="Times New Roman"/>
                <w:sz w:val="22"/>
              </w:rPr>
            </w:pPr>
            <w:r w:rsidRPr="00E72303">
              <w:rPr>
                <w:rFonts w:cs="Times New Roman"/>
                <w:sz w:val="22"/>
              </w:rPr>
              <w:lastRenderedPageBreak/>
              <w:t>Rented house</w:t>
            </w:r>
          </w:p>
        </w:tc>
        <w:tc>
          <w:tcPr>
            <w:tcW w:w="3787" w:type="dxa"/>
            <w:vAlign w:val="center"/>
          </w:tcPr>
          <w:p w14:paraId="35FA230A" w14:textId="77777777" w:rsidR="004D75DA" w:rsidRPr="00E72303" w:rsidRDefault="004D75DA" w:rsidP="007B178E">
            <w:pPr>
              <w:pStyle w:val="1stParagraph"/>
              <w:jc w:val="left"/>
              <w:rPr>
                <w:rFonts w:cs="Times New Roman"/>
                <w:sz w:val="22"/>
              </w:rPr>
            </w:pPr>
            <w:r w:rsidRPr="00E72303">
              <w:rPr>
                <w:rFonts w:cs="Times New Roman"/>
                <w:sz w:val="22"/>
              </w:rPr>
              <w:t>Household ownership: Do not own house</w:t>
            </w:r>
          </w:p>
        </w:tc>
        <w:tc>
          <w:tcPr>
            <w:tcW w:w="1160" w:type="dxa"/>
            <w:vAlign w:val="center"/>
            <w:hideMark/>
          </w:tcPr>
          <w:p w14:paraId="581EF4BF" w14:textId="63D351A9"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36A0337B" w14:textId="75B5BD54"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3AE3C555" w14:textId="585D2556" w:rsidR="004D75DA" w:rsidRPr="00E72303" w:rsidRDefault="004D75DA" w:rsidP="007B178E">
            <w:pPr>
              <w:pStyle w:val="1stParagraph"/>
              <w:jc w:val="center"/>
              <w:rPr>
                <w:rFonts w:cs="Times New Roman"/>
                <w:sz w:val="22"/>
              </w:rPr>
            </w:pPr>
            <w:r w:rsidRPr="00E72303">
              <w:rPr>
                <w:rFonts w:cs="Times New Roman"/>
                <w:sz w:val="22"/>
              </w:rPr>
              <w:t>0.13</w:t>
            </w:r>
          </w:p>
        </w:tc>
      </w:tr>
      <w:tr w:rsidR="00E72303" w:rsidRPr="00E72303" w14:paraId="5456AFDB" w14:textId="77777777" w:rsidTr="0072479C">
        <w:trPr>
          <w:trHeight w:val="20"/>
        </w:trPr>
        <w:tc>
          <w:tcPr>
            <w:tcW w:w="2159" w:type="dxa"/>
            <w:vAlign w:val="center"/>
            <w:hideMark/>
          </w:tcPr>
          <w:p w14:paraId="207A29F5" w14:textId="77777777" w:rsidR="004D75DA" w:rsidRPr="00E72303" w:rsidRDefault="004D75DA" w:rsidP="007B178E">
            <w:pPr>
              <w:pStyle w:val="1stParagraph"/>
              <w:jc w:val="left"/>
              <w:rPr>
                <w:rFonts w:cs="Times New Roman"/>
                <w:sz w:val="22"/>
              </w:rPr>
            </w:pPr>
            <w:r w:rsidRPr="00E72303">
              <w:rPr>
                <w:rFonts w:cs="Times New Roman"/>
                <w:sz w:val="22"/>
              </w:rPr>
              <w:t>Low density area</w:t>
            </w:r>
          </w:p>
        </w:tc>
        <w:tc>
          <w:tcPr>
            <w:tcW w:w="3787" w:type="dxa"/>
            <w:vAlign w:val="center"/>
          </w:tcPr>
          <w:p w14:paraId="09A85DA5" w14:textId="77777777" w:rsidR="004D75DA" w:rsidRPr="00E72303" w:rsidRDefault="004D75DA" w:rsidP="007B178E">
            <w:pPr>
              <w:pStyle w:val="1stParagraph"/>
              <w:jc w:val="left"/>
              <w:rPr>
                <w:rFonts w:cs="Times New Roman"/>
                <w:sz w:val="22"/>
              </w:rPr>
            </w:pPr>
            <w:r w:rsidRPr="00E72303">
              <w:rPr>
                <w:rFonts w:cs="Times New Roman"/>
                <w:sz w:val="22"/>
              </w:rPr>
              <w:t xml:space="preserve">Population density: 0-499 persons per square mile </w:t>
            </w:r>
          </w:p>
        </w:tc>
        <w:tc>
          <w:tcPr>
            <w:tcW w:w="1160" w:type="dxa"/>
            <w:vAlign w:val="center"/>
            <w:hideMark/>
          </w:tcPr>
          <w:p w14:paraId="1B1D3AEA" w14:textId="4ABB478A"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4B69F0C8" w14:textId="5C1ED243"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3A471753" w14:textId="1E5F0B05" w:rsidR="004D75DA" w:rsidRPr="00E72303" w:rsidRDefault="004D75DA" w:rsidP="007B178E">
            <w:pPr>
              <w:pStyle w:val="1stParagraph"/>
              <w:jc w:val="center"/>
              <w:rPr>
                <w:rFonts w:cs="Times New Roman"/>
                <w:sz w:val="22"/>
              </w:rPr>
            </w:pPr>
            <w:r w:rsidRPr="00E72303">
              <w:rPr>
                <w:rFonts w:cs="Times New Roman"/>
                <w:sz w:val="22"/>
              </w:rPr>
              <w:t>0.32</w:t>
            </w:r>
          </w:p>
        </w:tc>
      </w:tr>
      <w:tr w:rsidR="00E72303" w:rsidRPr="00E72303" w14:paraId="250E5B73" w14:textId="77777777" w:rsidTr="0072479C">
        <w:trPr>
          <w:trHeight w:val="20"/>
        </w:trPr>
        <w:tc>
          <w:tcPr>
            <w:tcW w:w="2159" w:type="dxa"/>
            <w:vAlign w:val="center"/>
            <w:hideMark/>
          </w:tcPr>
          <w:p w14:paraId="1CA54332" w14:textId="77777777" w:rsidR="004D75DA" w:rsidRPr="00E72303" w:rsidRDefault="004D75DA" w:rsidP="007B178E">
            <w:pPr>
              <w:pStyle w:val="1stParagraph"/>
              <w:jc w:val="left"/>
              <w:rPr>
                <w:rFonts w:cs="Times New Roman"/>
                <w:sz w:val="22"/>
              </w:rPr>
            </w:pPr>
            <w:r w:rsidRPr="00E72303">
              <w:rPr>
                <w:rFonts w:cs="Times New Roman"/>
                <w:sz w:val="22"/>
              </w:rPr>
              <w:t>Medium density area</w:t>
            </w:r>
          </w:p>
        </w:tc>
        <w:tc>
          <w:tcPr>
            <w:tcW w:w="3787" w:type="dxa"/>
            <w:vAlign w:val="center"/>
          </w:tcPr>
          <w:p w14:paraId="0B0F9874" w14:textId="77777777" w:rsidR="004D75DA" w:rsidRPr="00E72303" w:rsidRDefault="004D75DA" w:rsidP="007B178E">
            <w:pPr>
              <w:pStyle w:val="1stParagraph"/>
              <w:jc w:val="left"/>
              <w:rPr>
                <w:rFonts w:cs="Times New Roman"/>
                <w:sz w:val="22"/>
              </w:rPr>
            </w:pPr>
            <w:r w:rsidRPr="00E72303">
              <w:rPr>
                <w:rFonts w:cs="Times New Roman"/>
                <w:sz w:val="22"/>
              </w:rPr>
              <w:t xml:space="preserve">Population density: 500-3999 persons per square mile </w:t>
            </w:r>
          </w:p>
        </w:tc>
        <w:tc>
          <w:tcPr>
            <w:tcW w:w="1160" w:type="dxa"/>
            <w:vAlign w:val="center"/>
            <w:hideMark/>
          </w:tcPr>
          <w:p w14:paraId="705851F6" w14:textId="285DE6D0"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074D3093" w14:textId="2114EB74"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374D2196" w14:textId="30996F57" w:rsidR="004D75DA" w:rsidRPr="00E72303" w:rsidRDefault="004D75DA" w:rsidP="007B178E">
            <w:pPr>
              <w:pStyle w:val="1stParagraph"/>
              <w:jc w:val="center"/>
              <w:rPr>
                <w:rFonts w:cs="Times New Roman"/>
                <w:sz w:val="22"/>
              </w:rPr>
            </w:pPr>
            <w:r w:rsidRPr="00E72303">
              <w:rPr>
                <w:rFonts w:cs="Times New Roman"/>
                <w:sz w:val="22"/>
              </w:rPr>
              <w:t>0.44</w:t>
            </w:r>
          </w:p>
        </w:tc>
      </w:tr>
      <w:tr w:rsidR="00E72303" w:rsidRPr="00E72303" w14:paraId="3FAED3D4" w14:textId="77777777" w:rsidTr="0072479C">
        <w:trPr>
          <w:trHeight w:val="20"/>
        </w:trPr>
        <w:tc>
          <w:tcPr>
            <w:tcW w:w="2159" w:type="dxa"/>
            <w:vAlign w:val="center"/>
            <w:hideMark/>
          </w:tcPr>
          <w:p w14:paraId="32D70A18" w14:textId="77777777" w:rsidR="004D75DA" w:rsidRPr="00E72303" w:rsidRDefault="004D75DA" w:rsidP="007B178E">
            <w:pPr>
              <w:pStyle w:val="1stParagraph"/>
              <w:jc w:val="left"/>
              <w:rPr>
                <w:rFonts w:cs="Times New Roman"/>
                <w:sz w:val="22"/>
              </w:rPr>
            </w:pPr>
            <w:r w:rsidRPr="00E72303">
              <w:rPr>
                <w:rFonts w:cs="Times New Roman"/>
                <w:sz w:val="22"/>
              </w:rPr>
              <w:t>High density area</w:t>
            </w:r>
          </w:p>
        </w:tc>
        <w:tc>
          <w:tcPr>
            <w:tcW w:w="3787" w:type="dxa"/>
            <w:vAlign w:val="center"/>
          </w:tcPr>
          <w:p w14:paraId="7EAB00D9" w14:textId="77777777" w:rsidR="004D75DA" w:rsidRPr="00E72303" w:rsidRDefault="004D75DA" w:rsidP="007B178E">
            <w:pPr>
              <w:pStyle w:val="1stParagraph"/>
              <w:jc w:val="left"/>
              <w:rPr>
                <w:rFonts w:cs="Times New Roman"/>
                <w:sz w:val="22"/>
              </w:rPr>
            </w:pPr>
            <w:r w:rsidRPr="00E72303">
              <w:rPr>
                <w:rFonts w:cs="Times New Roman"/>
                <w:sz w:val="22"/>
              </w:rPr>
              <w:t xml:space="preserve">Population density: 4000 or more persons per square mile </w:t>
            </w:r>
          </w:p>
        </w:tc>
        <w:tc>
          <w:tcPr>
            <w:tcW w:w="1160" w:type="dxa"/>
            <w:vAlign w:val="center"/>
            <w:hideMark/>
          </w:tcPr>
          <w:p w14:paraId="014C85A3" w14:textId="0BBF43CC"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6FAF7AFB" w14:textId="503D7DDB"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3A0DD4F0" w14:textId="6901B19B" w:rsidR="004D75DA" w:rsidRPr="00E72303" w:rsidRDefault="004D75DA" w:rsidP="007B178E">
            <w:pPr>
              <w:pStyle w:val="1stParagraph"/>
              <w:jc w:val="center"/>
              <w:rPr>
                <w:rFonts w:cs="Times New Roman"/>
                <w:sz w:val="22"/>
              </w:rPr>
            </w:pPr>
            <w:r w:rsidRPr="00E72303">
              <w:rPr>
                <w:rFonts w:cs="Times New Roman"/>
                <w:sz w:val="22"/>
              </w:rPr>
              <w:t>0.24</w:t>
            </w:r>
          </w:p>
        </w:tc>
      </w:tr>
      <w:tr w:rsidR="00E72303" w:rsidRPr="00E72303" w14:paraId="00528376" w14:textId="77777777" w:rsidTr="0072479C">
        <w:trPr>
          <w:trHeight w:val="20"/>
        </w:trPr>
        <w:tc>
          <w:tcPr>
            <w:tcW w:w="2159" w:type="dxa"/>
            <w:vAlign w:val="center"/>
            <w:hideMark/>
          </w:tcPr>
          <w:p w14:paraId="31014149" w14:textId="77777777" w:rsidR="004D75DA" w:rsidRPr="00E72303" w:rsidRDefault="004D75DA" w:rsidP="007B178E">
            <w:pPr>
              <w:pStyle w:val="1stParagraph"/>
              <w:jc w:val="left"/>
              <w:rPr>
                <w:rFonts w:cs="Times New Roman"/>
                <w:sz w:val="22"/>
              </w:rPr>
            </w:pPr>
            <w:r w:rsidRPr="00E72303">
              <w:rPr>
                <w:rFonts w:cs="Times New Roman"/>
                <w:sz w:val="22"/>
              </w:rPr>
              <w:t>Proportion of male</w:t>
            </w:r>
          </w:p>
        </w:tc>
        <w:tc>
          <w:tcPr>
            <w:tcW w:w="3787" w:type="dxa"/>
            <w:vAlign w:val="center"/>
          </w:tcPr>
          <w:p w14:paraId="18325C1F" w14:textId="77777777" w:rsidR="004D75DA" w:rsidRPr="00E72303" w:rsidRDefault="004D75DA" w:rsidP="007B178E">
            <w:pPr>
              <w:pStyle w:val="1stParagraph"/>
              <w:jc w:val="left"/>
              <w:rPr>
                <w:rFonts w:cs="Times New Roman"/>
                <w:sz w:val="22"/>
              </w:rPr>
            </w:pPr>
            <w:r w:rsidRPr="00E72303">
              <w:rPr>
                <w:rFonts w:cs="Times New Roman"/>
                <w:sz w:val="22"/>
              </w:rPr>
              <w:t>Count of male members/ Household size</w:t>
            </w:r>
          </w:p>
        </w:tc>
        <w:tc>
          <w:tcPr>
            <w:tcW w:w="1160" w:type="dxa"/>
            <w:vAlign w:val="center"/>
            <w:hideMark/>
          </w:tcPr>
          <w:p w14:paraId="5F04D97E" w14:textId="54429DD2"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58189482" w14:textId="06D01B33"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420621FB" w14:textId="19481DDD" w:rsidR="004D75DA" w:rsidRPr="00E72303" w:rsidRDefault="004D75DA" w:rsidP="007B178E">
            <w:pPr>
              <w:pStyle w:val="1stParagraph"/>
              <w:jc w:val="center"/>
              <w:rPr>
                <w:rFonts w:cs="Times New Roman"/>
                <w:sz w:val="22"/>
              </w:rPr>
            </w:pPr>
            <w:r w:rsidRPr="00E72303">
              <w:rPr>
                <w:rFonts w:cs="Times New Roman"/>
                <w:sz w:val="22"/>
              </w:rPr>
              <w:t>0.49</w:t>
            </w:r>
          </w:p>
        </w:tc>
      </w:tr>
      <w:tr w:rsidR="00E72303" w:rsidRPr="00E72303" w14:paraId="487E53DC" w14:textId="77777777" w:rsidTr="0072479C">
        <w:trPr>
          <w:trHeight w:val="20"/>
        </w:trPr>
        <w:tc>
          <w:tcPr>
            <w:tcW w:w="2159" w:type="dxa"/>
            <w:vAlign w:val="center"/>
            <w:hideMark/>
          </w:tcPr>
          <w:p w14:paraId="788A0135" w14:textId="77777777" w:rsidR="004D75DA" w:rsidRPr="00E72303" w:rsidRDefault="004D75DA" w:rsidP="007B178E">
            <w:pPr>
              <w:pStyle w:val="1stParagraph"/>
              <w:jc w:val="left"/>
              <w:rPr>
                <w:rFonts w:cs="Times New Roman"/>
                <w:sz w:val="22"/>
              </w:rPr>
            </w:pPr>
            <w:r w:rsidRPr="00E72303">
              <w:rPr>
                <w:rFonts w:cs="Times New Roman"/>
                <w:sz w:val="22"/>
              </w:rPr>
              <w:t>Proportion of female</w:t>
            </w:r>
          </w:p>
        </w:tc>
        <w:tc>
          <w:tcPr>
            <w:tcW w:w="3787" w:type="dxa"/>
            <w:vAlign w:val="center"/>
          </w:tcPr>
          <w:p w14:paraId="615D4910" w14:textId="77777777" w:rsidR="004D75DA" w:rsidRPr="00E72303" w:rsidRDefault="004D75DA" w:rsidP="007B178E">
            <w:pPr>
              <w:pStyle w:val="1stParagraph"/>
              <w:jc w:val="left"/>
              <w:rPr>
                <w:rFonts w:cs="Times New Roman"/>
                <w:sz w:val="22"/>
              </w:rPr>
            </w:pPr>
            <w:r w:rsidRPr="00E72303">
              <w:rPr>
                <w:rFonts w:cs="Times New Roman"/>
                <w:sz w:val="22"/>
              </w:rPr>
              <w:t>Count of female members/ Household size</w:t>
            </w:r>
          </w:p>
        </w:tc>
        <w:tc>
          <w:tcPr>
            <w:tcW w:w="1160" w:type="dxa"/>
            <w:vAlign w:val="center"/>
            <w:hideMark/>
          </w:tcPr>
          <w:p w14:paraId="52C8C7F3" w14:textId="05DC0E7A"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hideMark/>
          </w:tcPr>
          <w:p w14:paraId="7BAB86A5" w14:textId="0F5BA157"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hideMark/>
          </w:tcPr>
          <w:p w14:paraId="7E59722E" w14:textId="17C4DAA2" w:rsidR="004D75DA" w:rsidRPr="00E72303" w:rsidRDefault="004D75DA" w:rsidP="007B178E">
            <w:pPr>
              <w:pStyle w:val="1stParagraph"/>
              <w:jc w:val="center"/>
              <w:rPr>
                <w:rFonts w:cs="Times New Roman"/>
                <w:sz w:val="22"/>
              </w:rPr>
            </w:pPr>
            <w:r w:rsidRPr="00E72303">
              <w:rPr>
                <w:rFonts w:cs="Times New Roman"/>
                <w:sz w:val="22"/>
              </w:rPr>
              <w:t>0.51</w:t>
            </w:r>
          </w:p>
        </w:tc>
      </w:tr>
      <w:tr w:rsidR="00E72303" w:rsidRPr="00E72303" w14:paraId="77471BBE" w14:textId="77777777" w:rsidTr="0072479C">
        <w:trPr>
          <w:trHeight w:val="20"/>
        </w:trPr>
        <w:tc>
          <w:tcPr>
            <w:tcW w:w="2159" w:type="dxa"/>
            <w:vAlign w:val="center"/>
          </w:tcPr>
          <w:p w14:paraId="75D382D1" w14:textId="328470A2" w:rsidR="004D75DA" w:rsidRPr="00E72303" w:rsidRDefault="004D75DA" w:rsidP="007B178E">
            <w:pPr>
              <w:pStyle w:val="1stParagraph"/>
              <w:jc w:val="left"/>
              <w:rPr>
                <w:rFonts w:cs="Times New Roman"/>
                <w:sz w:val="22"/>
              </w:rPr>
            </w:pPr>
            <w:r w:rsidRPr="00E72303">
              <w:rPr>
                <w:rFonts w:cs="Times New Roman"/>
                <w:sz w:val="22"/>
              </w:rPr>
              <w:t>Low-income household</w:t>
            </w:r>
          </w:p>
        </w:tc>
        <w:tc>
          <w:tcPr>
            <w:tcW w:w="3787" w:type="dxa"/>
            <w:vAlign w:val="center"/>
          </w:tcPr>
          <w:p w14:paraId="4E4E9302" w14:textId="1DE1D830" w:rsidR="004D75DA" w:rsidRPr="00E72303" w:rsidRDefault="004D75DA" w:rsidP="007B178E">
            <w:pPr>
              <w:pStyle w:val="1stParagraph"/>
              <w:jc w:val="left"/>
              <w:rPr>
                <w:rFonts w:cs="Times New Roman"/>
                <w:sz w:val="22"/>
              </w:rPr>
            </w:pPr>
            <w:r w:rsidRPr="00E72303">
              <w:rPr>
                <w:rFonts w:cs="Times New Roman"/>
                <w:sz w:val="22"/>
              </w:rPr>
              <w:t>Household income less than 50K</w:t>
            </w:r>
          </w:p>
        </w:tc>
        <w:tc>
          <w:tcPr>
            <w:tcW w:w="1160" w:type="dxa"/>
            <w:vAlign w:val="center"/>
          </w:tcPr>
          <w:p w14:paraId="376AA0E6" w14:textId="3A72AC6B"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10AB63FC" w14:textId="1F511CA1"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1A277884" w14:textId="4B5F16FB" w:rsidR="004D75DA" w:rsidRPr="00E72303" w:rsidRDefault="004D75DA" w:rsidP="007B178E">
            <w:pPr>
              <w:pStyle w:val="1stParagraph"/>
              <w:jc w:val="center"/>
              <w:rPr>
                <w:rFonts w:cs="Times New Roman"/>
                <w:sz w:val="22"/>
              </w:rPr>
            </w:pPr>
            <w:r w:rsidRPr="00E72303">
              <w:rPr>
                <w:rFonts w:cs="Times New Roman"/>
                <w:sz w:val="22"/>
              </w:rPr>
              <w:t>0.18</w:t>
            </w:r>
          </w:p>
        </w:tc>
      </w:tr>
      <w:tr w:rsidR="00E72303" w:rsidRPr="00E72303" w14:paraId="48037DAC" w14:textId="77777777" w:rsidTr="0072479C">
        <w:trPr>
          <w:trHeight w:val="20"/>
        </w:trPr>
        <w:tc>
          <w:tcPr>
            <w:tcW w:w="2159" w:type="dxa"/>
            <w:vAlign w:val="center"/>
          </w:tcPr>
          <w:p w14:paraId="44E31C72" w14:textId="7C2F5B09" w:rsidR="004D75DA" w:rsidRPr="00E72303" w:rsidRDefault="004D75DA" w:rsidP="007B178E">
            <w:pPr>
              <w:pStyle w:val="1stParagraph"/>
              <w:jc w:val="left"/>
              <w:rPr>
                <w:rFonts w:cs="Times New Roman"/>
                <w:sz w:val="22"/>
              </w:rPr>
            </w:pPr>
            <w:r w:rsidRPr="00E72303">
              <w:rPr>
                <w:rFonts w:cs="Times New Roman"/>
                <w:sz w:val="22"/>
              </w:rPr>
              <w:t>Medium income household</w:t>
            </w:r>
          </w:p>
        </w:tc>
        <w:tc>
          <w:tcPr>
            <w:tcW w:w="3787" w:type="dxa"/>
            <w:vAlign w:val="center"/>
          </w:tcPr>
          <w:p w14:paraId="57C72A76" w14:textId="3FC471EA" w:rsidR="004D75DA" w:rsidRPr="00E72303" w:rsidRDefault="004D75DA" w:rsidP="007B178E">
            <w:pPr>
              <w:pStyle w:val="1stParagraph"/>
              <w:jc w:val="left"/>
              <w:rPr>
                <w:rFonts w:cs="Times New Roman"/>
                <w:sz w:val="22"/>
              </w:rPr>
            </w:pPr>
            <w:r w:rsidRPr="00E72303">
              <w:rPr>
                <w:rFonts w:cs="Times New Roman"/>
                <w:sz w:val="22"/>
              </w:rPr>
              <w:t>Household income in between 50K and 100K</w:t>
            </w:r>
          </w:p>
        </w:tc>
        <w:tc>
          <w:tcPr>
            <w:tcW w:w="1160" w:type="dxa"/>
            <w:vAlign w:val="center"/>
          </w:tcPr>
          <w:p w14:paraId="0EB4E409" w14:textId="43D6A5A8"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4C9CE7B7" w14:textId="711030A4"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3A722508" w14:textId="132DD3D3" w:rsidR="004D75DA" w:rsidRPr="00E72303" w:rsidRDefault="004D75DA" w:rsidP="007B178E">
            <w:pPr>
              <w:pStyle w:val="1stParagraph"/>
              <w:jc w:val="center"/>
              <w:rPr>
                <w:rFonts w:cs="Times New Roman"/>
                <w:sz w:val="22"/>
              </w:rPr>
            </w:pPr>
            <w:r w:rsidRPr="00E72303">
              <w:rPr>
                <w:rFonts w:cs="Times New Roman"/>
                <w:sz w:val="22"/>
              </w:rPr>
              <w:t>0.33</w:t>
            </w:r>
          </w:p>
        </w:tc>
      </w:tr>
      <w:tr w:rsidR="00E72303" w:rsidRPr="00E72303" w14:paraId="2C6E39DC" w14:textId="77777777" w:rsidTr="0072479C">
        <w:trPr>
          <w:trHeight w:val="20"/>
        </w:trPr>
        <w:tc>
          <w:tcPr>
            <w:tcW w:w="2159" w:type="dxa"/>
            <w:vAlign w:val="center"/>
          </w:tcPr>
          <w:p w14:paraId="5F11D534" w14:textId="6E52EB68" w:rsidR="004D75DA" w:rsidRPr="00E72303" w:rsidRDefault="004D75DA" w:rsidP="007B178E">
            <w:pPr>
              <w:pStyle w:val="1stParagraph"/>
              <w:jc w:val="left"/>
              <w:rPr>
                <w:rFonts w:cs="Times New Roman"/>
                <w:sz w:val="22"/>
              </w:rPr>
            </w:pPr>
            <w:r w:rsidRPr="00E72303">
              <w:rPr>
                <w:rFonts w:cs="Times New Roman"/>
                <w:sz w:val="22"/>
              </w:rPr>
              <w:t>High income household</w:t>
            </w:r>
          </w:p>
        </w:tc>
        <w:tc>
          <w:tcPr>
            <w:tcW w:w="3787" w:type="dxa"/>
            <w:vAlign w:val="center"/>
          </w:tcPr>
          <w:p w14:paraId="4A2D0F2C" w14:textId="7E1DE6F8" w:rsidR="004D75DA" w:rsidRPr="00E72303" w:rsidRDefault="004D75DA" w:rsidP="007B178E">
            <w:pPr>
              <w:pStyle w:val="1stParagraph"/>
              <w:jc w:val="left"/>
              <w:rPr>
                <w:rFonts w:cs="Times New Roman"/>
                <w:sz w:val="22"/>
              </w:rPr>
            </w:pPr>
            <w:r w:rsidRPr="00E72303">
              <w:rPr>
                <w:rFonts w:cs="Times New Roman"/>
                <w:sz w:val="22"/>
              </w:rPr>
              <w:t>Household income more than 100K</w:t>
            </w:r>
          </w:p>
        </w:tc>
        <w:tc>
          <w:tcPr>
            <w:tcW w:w="1160" w:type="dxa"/>
            <w:vAlign w:val="center"/>
          </w:tcPr>
          <w:p w14:paraId="3DABD850" w14:textId="2C836B17"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049639ED" w14:textId="48B02101"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1238E9CE" w14:textId="628F9396" w:rsidR="004D75DA" w:rsidRPr="00E72303" w:rsidRDefault="004D75DA" w:rsidP="007B178E">
            <w:pPr>
              <w:pStyle w:val="1stParagraph"/>
              <w:jc w:val="center"/>
              <w:rPr>
                <w:rFonts w:cs="Times New Roman"/>
                <w:sz w:val="22"/>
              </w:rPr>
            </w:pPr>
            <w:r w:rsidRPr="00E72303">
              <w:rPr>
                <w:rFonts w:cs="Times New Roman"/>
                <w:sz w:val="22"/>
              </w:rPr>
              <w:t>0.49</w:t>
            </w:r>
          </w:p>
        </w:tc>
      </w:tr>
      <w:tr w:rsidR="00E72303" w:rsidRPr="00E72303" w14:paraId="77ABAD09" w14:textId="77777777" w:rsidTr="0072479C">
        <w:trPr>
          <w:trHeight w:val="20"/>
        </w:trPr>
        <w:tc>
          <w:tcPr>
            <w:tcW w:w="2159" w:type="dxa"/>
            <w:vAlign w:val="center"/>
          </w:tcPr>
          <w:p w14:paraId="73FCCCCD" w14:textId="35A1FEDC" w:rsidR="004D75DA" w:rsidRPr="00E72303" w:rsidRDefault="004D75DA" w:rsidP="007B178E">
            <w:pPr>
              <w:pStyle w:val="1stParagraph"/>
              <w:jc w:val="left"/>
              <w:rPr>
                <w:rFonts w:cs="Times New Roman"/>
                <w:sz w:val="22"/>
              </w:rPr>
            </w:pPr>
            <w:r w:rsidRPr="00E72303">
              <w:rPr>
                <w:rFonts w:cs="Times New Roman"/>
                <w:sz w:val="22"/>
              </w:rPr>
              <w:t>Less than 17 years old</w:t>
            </w:r>
          </w:p>
        </w:tc>
        <w:tc>
          <w:tcPr>
            <w:tcW w:w="3787" w:type="dxa"/>
            <w:vAlign w:val="center"/>
          </w:tcPr>
          <w:p w14:paraId="4449B9DA" w14:textId="22BB08A1" w:rsidR="004D75DA" w:rsidRPr="00E72303" w:rsidRDefault="004D75DA" w:rsidP="007B178E">
            <w:pPr>
              <w:pStyle w:val="1stParagraph"/>
              <w:jc w:val="left"/>
              <w:rPr>
                <w:rFonts w:cs="Times New Roman"/>
                <w:sz w:val="22"/>
              </w:rPr>
            </w:pPr>
            <w:r w:rsidRPr="00E72303">
              <w:rPr>
                <w:rFonts w:cs="Times New Roman"/>
                <w:sz w:val="22"/>
              </w:rPr>
              <w:t>Age category: less than 17 years</w:t>
            </w:r>
          </w:p>
        </w:tc>
        <w:tc>
          <w:tcPr>
            <w:tcW w:w="1160" w:type="dxa"/>
            <w:vAlign w:val="center"/>
          </w:tcPr>
          <w:p w14:paraId="5B6BB0E4" w14:textId="407C385F"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4D6E0CB8" w14:textId="457D0D06"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11EACC48" w14:textId="487E979D" w:rsidR="004D75DA" w:rsidRPr="00E72303" w:rsidRDefault="004D75DA" w:rsidP="007B178E">
            <w:pPr>
              <w:pStyle w:val="1stParagraph"/>
              <w:jc w:val="center"/>
              <w:rPr>
                <w:rFonts w:cs="Times New Roman"/>
                <w:sz w:val="22"/>
              </w:rPr>
            </w:pPr>
            <w:r w:rsidRPr="00E72303">
              <w:rPr>
                <w:rFonts w:cs="Times New Roman"/>
                <w:sz w:val="22"/>
              </w:rPr>
              <w:t>0.10</w:t>
            </w:r>
          </w:p>
        </w:tc>
      </w:tr>
      <w:tr w:rsidR="00E72303" w:rsidRPr="00E72303" w14:paraId="21778101" w14:textId="77777777" w:rsidTr="0072479C">
        <w:trPr>
          <w:trHeight w:val="20"/>
        </w:trPr>
        <w:tc>
          <w:tcPr>
            <w:tcW w:w="2159" w:type="dxa"/>
            <w:vAlign w:val="center"/>
          </w:tcPr>
          <w:p w14:paraId="41D6284E" w14:textId="7C46BFA2" w:rsidR="004D75DA" w:rsidRPr="00E72303" w:rsidRDefault="004D75DA" w:rsidP="007B178E">
            <w:pPr>
              <w:pStyle w:val="1stParagraph"/>
              <w:jc w:val="left"/>
              <w:rPr>
                <w:rFonts w:cs="Times New Roman"/>
                <w:sz w:val="22"/>
              </w:rPr>
            </w:pPr>
            <w:r w:rsidRPr="00E72303">
              <w:rPr>
                <w:rFonts w:cs="Times New Roman"/>
                <w:sz w:val="22"/>
              </w:rPr>
              <w:t>17 to 35 years old</w:t>
            </w:r>
          </w:p>
        </w:tc>
        <w:tc>
          <w:tcPr>
            <w:tcW w:w="3787" w:type="dxa"/>
            <w:vAlign w:val="center"/>
          </w:tcPr>
          <w:p w14:paraId="4FD5098F" w14:textId="41329E11" w:rsidR="004D75DA" w:rsidRPr="00E72303" w:rsidRDefault="004D75DA" w:rsidP="007B178E">
            <w:pPr>
              <w:pStyle w:val="1stParagraph"/>
              <w:jc w:val="left"/>
              <w:rPr>
                <w:rFonts w:cs="Times New Roman"/>
                <w:sz w:val="22"/>
              </w:rPr>
            </w:pPr>
            <w:r w:rsidRPr="00E72303">
              <w:rPr>
                <w:rFonts w:cs="Times New Roman"/>
                <w:sz w:val="22"/>
              </w:rPr>
              <w:t>Age category: less than 17 to 35 years</w:t>
            </w:r>
          </w:p>
        </w:tc>
        <w:tc>
          <w:tcPr>
            <w:tcW w:w="1160" w:type="dxa"/>
            <w:vAlign w:val="center"/>
          </w:tcPr>
          <w:p w14:paraId="3ADC88E5" w14:textId="43D058BC"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397C79C8" w14:textId="46C39DE3"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7758B728" w14:textId="0ED45E87" w:rsidR="004D75DA" w:rsidRPr="00E72303" w:rsidRDefault="004D75DA" w:rsidP="007B178E">
            <w:pPr>
              <w:pStyle w:val="1stParagraph"/>
              <w:jc w:val="center"/>
              <w:rPr>
                <w:rFonts w:cs="Times New Roman"/>
                <w:sz w:val="22"/>
              </w:rPr>
            </w:pPr>
            <w:r w:rsidRPr="00E72303">
              <w:rPr>
                <w:rFonts w:cs="Times New Roman"/>
                <w:sz w:val="22"/>
              </w:rPr>
              <w:t>0.12</w:t>
            </w:r>
          </w:p>
        </w:tc>
      </w:tr>
      <w:tr w:rsidR="00E72303" w:rsidRPr="00E72303" w14:paraId="412A1023" w14:textId="77777777" w:rsidTr="0072479C">
        <w:trPr>
          <w:trHeight w:val="20"/>
        </w:trPr>
        <w:tc>
          <w:tcPr>
            <w:tcW w:w="2159" w:type="dxa"/>
            <w:vAlign w:val="center"/>
          </w:tcPr>
          <w:p w14:paraId="3B39B6BE" w14:textId="4DE6C186" w:rsidR="004D75DA" w:rsidRPr="00E72303" w:rsidRDefault="004D75DA" w:rsidP="007B178E">
            <w:pPr>
              <w:pStyle w:val="1stParagraph"/>
              <w:jc w:val="left"/>
              <w:rPr>
                <w:rFonts w:cs="Times New Roman"/>
                <w:sz w:val="22"/>
              </w:rPr>
            </w:pPr>
            <w:r w:rsidRPr="00E72303">
              <w:rPr>
                <w:rFonts w:cs="Times New Roman"/>
                <w:sz w:val="22"/>
              </w:rPr>
              <w:t>36 to 50 years old</w:t>
            </w:r>
          </w:p>
        </w:tc>
        <w:tc>
          <w:tcPr>
            <w:tcW w:w="3787" w:type="dxa"/>
            <w:vAlign w:val="center"/>
          </w:tcPr>
          <w:p w14:paraId="30246F24" w14:textId="289B193B" w:rsidR="004D75DA" w:rsidRPr="00E72303" w:rsidRDefault="004D75DA" w:rsidP="007B178E">
            <w:pPr>
              <w:pStyle w:val="1stParagraph"/>
              <w:jc w:val="left"/>
              <w:rPr>
                <w:rFonts w:cs="Times New Roman"/>
                <w:sz w:val="22"/>
              </w:rPr>
            </w:pPr>
            <w:r w:rsidRPr="00E72303">
              <w:rPr>
                <w:rFonts w:cs="Times New Roman"/>
                <w:sz w:val="22"/>
              </w:rPr>
              <w:t>Age category: less than 36 to 50 years</w:t>
            </w:r>
          </w:p>
        </w:tc>
        <w:tc>
          <w:tcPr>
            <w:tcW w:w="1160" w:type="dxa"/>
            <w:vAlign w:val="center"/>
          </w:tcPr>
          <w:p w14:paraId="00C882F0" w14:textId="694FC6D5"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2753CFE9" w14:textId="706CA5BC"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555BE341" w14:textId="29BBE045" w:rsidR="004D75DA" w:rsidRPr="00E72303" w:rsidRDefault="004D75DA" w:rsidP="007B178E">
            <w:pPr>
              <w:pStyle w:val="1stParagraph"/>
              <w:jc w:val="center"/>
              <w:rPr>
                <w:rFonts w:cs="Times New Roman"/>
                <w:sz w:val="22"/>
              </w:rPr>
            </w:pPr>
            <w:r w:rsidRPr="00E72303">
              <w:rPr>
                <w:rFonts w:cs="Times New Roman"/>
                <w:sz w:val="22"/>
              </w:rPr>
              <w:t>0.22</w:t>
            </w:r>
          </w:p>
        </w:tc>
      </w:tr>
      <w:tr w:rsidR="00E72303" w:rsidRPr="00E72303" w14:paraId="0EEAC087" w14:textId="77777777" w:rsidTr="0072479C">
        <w:trPr>
          <w:trHeight w:val="20"/>
        </w:trPr>
        <w:tc>
          <w:tcPr>
            <w:tcW w:w="2159" w:type="dxa"/>
            <w:vAlign w:val="center"/>
          </w:tcPr>
          <w:p w14:paraId="180EE540" w14:textId="6123C752" w:rsidR="004D75DA" w:rsidRPr="00E72303" w:rsidRDefault="004D75DA" w:rsidP="007B178E">
            <w:pPr>
              <w:pStyle w:val="1stParagraph"/>
              <w:jc w:val="left"/>
              <w:rPr>
                <w:rFonts w:cs="Times New Roman"/>
                <w:sz w:val="22"/>
              </w:rPr>
            </w:pPr>
            <w:r w:rsidRPr="00E72303">
              <w:rPr>
                <w:rFonts w:cs="Times New Roman"/>
                <w:sz w:val="22"/>
              </w:rPr>
              <w:t>51 to 65 years old</w:t>
            </w:r>
          </w:p>
        </w:tc>
        <w:tc>
          <w:tcPr>
            <w:tcW w:w="3787" w:type="dxa"/>
            <w:vAlign w:val="center"/>
          </w:tcPr>
          <w:p w14:paraId="0E7D83F9" w14:textId="34A27B4B" w:rsidR="004D75DA" w:rsidRPr="00E72303" w:rsidRDefault="004D75DA" w:rsidP="007B178E">
            <w:pPr>
              <w:pStyle w:val="1stParagraph"/>
              <w:jc w:val="left"/>
              <w:rPr>
                <w:rFonts w:cs="Times New Roman"/>
                <w:sz w:val="22"/>
              </w:rPr>
            </w:pPr>
            <w:r w:rsidRPr="00E72303">
              <w:rPr>
                <w:rFonts w:cs="Times New Roman"/>
                <w:sz w:val="22"/>
              </w:rPr>
              <w:t>Age category: less than 51 to 65 years</w:t>
            </w:r>
          </w:p>
        </w:tc>
        <w:tc>
          <w:tcPr>
            <w:tcW w:w="1160" w:type="dxa"/>
            <w:vAlign w:val="center"/>
          </w:tcPr>
          <w:p w14:paraId="003C9205" w14:textId="788B74E5"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2EBA83E3" w14:textId="275A96AE"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44626C8A" w14:textId="6C537087" w:rsidR="004D75DA" w:rsidRPr="00E72303" w:rsidRDefault="004D75DA" w:rsidP="007B178E">
            <w:pPr>
              <w:pStyle w:val="1stParagraph"/>
              <w:jc w:val="center"/>
              <w:rPr>
                <w:rFonts w:cs="Times New Roman"/>
                <w:sz w:val="22"/>
              </w:rPr>
            </w:pPr>
            <w:r w:rsidRPr="00E72303">
              <w:rPr>
                <w:rFonts w:cs="Times New Roman"/>
                <w:sz w:val="22"/>
              </w:rPr>
              <w:t>0.32</w:t>
            </w:r>
          </w:p>
        </w:tc>
      </w:tr>
      <w:tr w:rsidR="00E72303" w:rsidRPr="00E72303" w14:paraId="675AB321" w14:textId="77777777" w:rsidTr="0072479C">
        <w:trPr>
          <w:trHeight w:val="20"/>
        </w:trPr>
        <w:tc>
          <w:tcPr>
            <w:tcW w:w="2159" w:type="dxa"/>
            <w:vAlign w:val="center"/>
          </w:tcPr>
          <w:p w14:paraId="5AAB4DCC" w14:textId="5860B24E" w:rsidR="004D75DA" w:rsidRPr="00E72303" w:rsidRDefault="004D75DA" w:rsidP="007B178E">
            <w:pPr>
              <w:pStyle w:val="1stParagraph"/>
              <w:jc w:val="left"/>
              <w:rPr>
                <w:rFonts w:cs="Times New Roman"/>
                <w:sz w:val="22"/>
              </w:rPr>
            </w:pPr>
            <w:r w:rsidRPr="00E72303">
              <w:rPr>
                <w:rFonts w:cs="Times New Roman"/>
                <w:sz w:val="22"/>
              </w:rPr>
              <w:t>More than 65 years old</w:t>
            </w:r>
          </w:p>
        </w:tc>
        <w:tc>
          <w:tcPr>
            <w:tcW w:w="3787" w:type="dxa"/>
            <w:vAlign w:val="center"/>
          </w:tcPr>
          <w:p w14:paraId="78D46492" w14:textId="10A52DCF" w:rsidR="004D75DA" w:rsidRPr="00E72303" w:rsidRDefault="004D75DA" w:rsidP="007B178E">
            <w:pPr>
              <w:pStyle w:val="1stParagraph"/>
              <w:jc w:val="left"/>
              <w:rPr>
                <w:rFonts w:cs="Times New Roman"/>
                <w:sz w:val="22"/>
              </w:rPr>
            </w:pPr>
            <w:r w:rsidRPr="00E72303">
              <w:rPr>
                <w:rFonts w:cs="Times New Roman"/>
                <w:sz w:val="22"/>
              </w:rPr>
              <w:t>Age category: more than 65 years</w:t>
            </w:r>
          </w:p>
        </w:tc>
        <w:tc>
          <w:tcPr>
            <w:tcW w:w="1160" w:type="dxa"/>
            <w:vAlign w:val="center"/>
          </w:tcPr>
          <w:p w14:paraId="0723309A" w14:textId="191E2417"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6C0C2549" w14:textId="2EA065B1"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28FF5B34" w14:textId="32F23A4F" w:rsidR="004D75DA" w:rsidRPr="00E72303" w:rsidRDefault="004D75DA" w:rsidP="007B178E">
            <w:pPr>
              <w:pStyle w:val="1stParagraph"/>
              <w:jc w:val="center"/>
              <w:rPr>
                <w:rFonts w:cs="Times New Roman"/>
                <w:sz w:val="22"/>
              </w:rPr>
            </w:pPr>
            <w:r w:rsidRPr="00E72303">
              <w:rPr>
                <w:rFonts w:cs="Times New Roman"/>
                <w:sz w:val="22"/>
              </w:rPr>
              <w:t>0.24</w:t>
            </w:r>
          </w:p>
        </w:tc>
      </w:tr>
      <w:tr w:rsidR="00E72303" w:rsidRPr="00E72303" w14:paraId="224B7145" w14:textId="77777777" w:rsidTr="0072479C">
        <w:trPr>
          <w:trHeight w:val="20"/>
        </w:trPr>
        <w:tc>
          <w:tcPr>
            <w:tcW w:w="2159" w:type="dxa"/>
            <w:vAlign w:val="center"/>
          </w:tcPr>
          <w:p w14:paraId="475EA319" w14:textId="467CDBE0" w:rsidR="004D75DA" w:rsidRPr="00E72303" w:rsidRDefault="004D75DA" w:rsidP="007B178E">
            <w:pPr>
              <w:pStyle w:val="1stParagraph"/>
              <w:jc w:val="left"/>
              <w:rPr>
                <w:rFonts w:cs="Times New Roman"/>
                <w:sz w:val="22"/>
              </w:rPr>
            </w:pPr>
            <w:r w:rsidRPr="00E72303">
              <w:rPr>
                <w:rFonts w:cs="Times New Roman"/>
                <w:sz w:val="22"/>
              </w:rPr>
              <w:t>Location: Urban</w:t>
            </w:r>
          </w:p>
        </w:tc>
        <w:tc>
          <w:tcPr>
            <w:tcW w:w="3787" w:type="dxa"/>
            <w:vAlign w:val="center"/>
          </w:tcPr>
          <w:p w14:paraId="14A3C9E4" w14:textId="3F0C09A6" w:rsidR="004D75DA" w:rsidRPr="00E72303" w:rsidRDefault="004D75DA" w:rsidP="007B178E">
            <w:pPr>
              <w:pStyle w:val="1stParagraph"/>
              <w:jc w:val="left"/>
              <w:rPr>
                <w:rFonts w:cs="Times New Roman"/>
                <w:sz w:val="22"/>
              </w:rPr>
            </w:pPr>
            <w:r w:rsidRPr="00E72303">
              <w:rPr>
                <w:rFonts w:cs="Times New Roman"/>
                <w:sz w:val="22"/>
              </w:rPr>
              <w:t>Urban = 1/ Rural = 0</w:t>
            </w:r>
          </w:p>
        </w:tc>
        <w:tc>
          <w:tcPr>
            <w:tcW w:w="1160" w:type="dxa"/>
            <w:vAlign w:val="center"/>
          </w:tcPr>
          <w:p w14:paraId="6A84FCDA" w14:textId="3BD97203"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0AE52CE9" w14:textId="7EA18993"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14F8A7D6" w14:textId="113FD848" w:rsidR="004D75DA" w:rsidRPr="00E72303" w:rsidRDefault="004D75DA" w:rsidP="007B178E">
            <w:pPr>
              <w:pStyle w:val="1stParagraph"/>
              <w:jc w:val="center"/>
              <w:rPr>
                <w:rFonts w:cs="Times New Roman"/>
                <w:sz w:val="22"/>
              </w:rPr>
            </w:pPr>
            <w:r w:rsidRPr="00E72303">
              <w:rPr>
                <w:rFonts w:cs="Times New Roman"/>
                <w:sz w:val="22"/>
              </w:rPr>
              <w:t>0.76</w:t>
            </w:r>
          </w:p>
        </w:tc>
      </w:tr>
      <w:tr w:rsidR="00E72303" w:rsidRPr="00E72303" w14:paraId="5F4C1B29" w14:textId="77777777" w:rsidTr="0072479C">
        <w:trPr>
          <w:trHeight w:val="20"/>
        </w:trPr>
        <w:tc>
          <w:tcPr>
            <w:tcW w:w="2159" w:type="dxa"/>
            <w:vAlign w:val="center"/>
          </w:tcPr>
          <w:p w14:paraId="6F5075B0" w14:textId="186CEC0E" w:rsidR="004D75DA" w:rsidRPr="00E72303" w:rsidRDefault="004D75DA" w:rsidP="007B178E">
            <w:pPr>
              <w:pStyle w:val="1stParagraph"/>
              <w:jc w:val="left"/>
              <w:rPr>
                <w:rFonts w:cs="Times New Roman"/>
                <w:sz w:val="22"/>
              </w:rPr>
            </w:pPr>
            <w:r w:rsidRPr="00E72303">
              <w:rPr>
                <w:rFonts w:cs="Times New Roman"/>
                <w:sz w:val="22"/>
              </w:rPr>
              <w:t>Location: Rural</w:t>
            </w:r>
          </w:p>
        </w:tc>
        <w:tc>
          <w:tcPr>
            <w:tcW w:w="3787" w:type="dxa"/>
            <w:vAlign w:val="center"/>
          </w:tcPr>
          <w:p w14:paraId="7CBFDD51" w14:textId="151C628E" w:rsidR="004D75DA" w:rsidRPr="00E72303" w:rsidRDefault="004D75DA" w:rsidP="007B178E">
            <w:pPr>
              <w:pStyle w:val="1stParagraph"/>
              <w:jc w:val="left"/>
              <w:rPr>
                <w:rFonts w:cs="Times New Roman"/>
                <w:sz w:val="22"/>
              </w:rPr>
            </w:pPr>
            <w:r w:rsidRPr="00E72303">
              <w:rPr>
                <w:rFonts w:cs="Times New Roman"/>
                <w:sz w:val="22"/>
              </w:rPr>
              <w:t>Urban = 0/ Rural = 1</w:t>
            </w:r>
          </w:p>
        </w:tc>
        <w:tc>
          <w:tcPr>
            <w:tcW w:w="1160" w:type="dxa"/>
            <w:vAlign w:val="center"/>
          </w:tcPr>
          <w:p w14:paraId="679A5A58" w14:textId="445F249B" w:rsidR="004D75DA" w:rsidRPr="00E72303" w:rsidRDefault="004D75DA" w:rsidP="007B178E">
            <w:pPr>
              <w:pStyle w:val="1stParagraph"/>
              <w:jc w:val="center"/>
              <w:rPr>
                <w:rFonts w:cs="Times New Roman"/>
                <w:sz w:val="22"/>
              </w:rPr>
            </w:pPr>
            <w:r w:rsidRPr="00E72303">
              <w:rPr>
                <w:rFonts w:cs="Times New Roman"/>
                <w:sz w:val="22"/>
              </w:rPr>
              <w:t>0.00</w:t>
            </w:r>
          </w:p>
        </w:tc>
        <w:tc>
          <w:tcPr>
            <w:tcW w:w="1196" w:type="dxa"/>
            <w:vAlign w:val="center"/>
          </w:tcPr>
          <w:p w14:paraId="2788CDCB" w14:textId="110C36D6" w:rsidR="004D75DA" w:rsidRPr="00E72303" w:rsidRDefault="004D75DA" w:rsidP="007B178E">
            <w:pPr>
              <w:pStyle w:val="1stParagraph"/>
              <w:jc w:val="center"/>
              <w:rPr>
                <w:rFonts w:cs="Times New Roman"/>
                <w:sz w:val="22"/>
              </w:rPr>
            </w:pPr>
            <w:r w:rsidRPr="00E72303">
              <w:rPr>
                <w:rFonts w:cs="Times New Roman"/>
                <w:sz w:val="22"/>
              </w:rPr>
              <w:t>1.00</w:t>
            </w:r>
          </w:p>
        </w:tc>
        <w:tc>
          <w:tcPr>
            <w:tcW w:w="1064" w:type="dxa"/>
            <w:vAlign w:val="center"/>
          </w:tcPr>
          <w:p w14:paraId="464BA6D5" w14:textId="6B3B9625" w:rsidR="004D75DA" w:rsidRPr="00E72303" w:rsidRDefault="004D75DA" w:rsidP="007B178E">
            <w:pPr>
              <w:pStyle w:val="1stParagraph"/>
              <w:jc w:val="center"/>
              <w:rPr>
                <w:rFonts w:cs="Times New Roman"/>
                <w:sz w:val="22"/>
              </w:rPr>
            </w:pPr>
            <w:r w:rsidRPr="00E72303">
              <w:rPr>
                <w:rFonts w:cs="Times New Roman"/>
                <w:sz w:val="22"/>
              </w:rPr>
              <w:t>0.24</w:t>
            </w:r>
          </w:p>
        </w:tc>
      </w:tr>
      <w:tr w:rsidR="00E72303" w:rsidRPr="00E72303" w14:paraId="09971FD3" w14:textId="77777777">
        <w:trPr>
          <w:trHeight w:val="20"/>
        </w:trPr>
        <w:tc>
          <w:tcPr>
            <w:tcW w:w="9366" w:type="dxa"/>
            <w:gridSpan w:val="5"/>
            <w:vAlign w:val="center"/>
          </w:tcPr>
          <w:p w14:paraId="1C4120E1" w14:textId="49BF55FF" w:rsidR="005C1231" w:rsidRPr="00E72303" w:rsidRDefault="005C1231" w:rsidP="007B178E">
            <w:pPr>
              <w:pStyle w:val="1stParagraph"/>
              <w:jc w:val="center"/>
              <w:rPr>
                <w:rFonts w:cs="Times New Roman"/>
                <w:b/>
                <w:bCs/>
                <w:i/>
                <w:iCs/>
                <w:sz w:val="22"/>
              </w:rPr>
            </w:pPr>
            <w:r w:rsidRPr="00E72303">
              <w:rPr>
                <w:rFonts w:cs="Times New Roman"/>
                <w:b/>
                <w:bCs/>
                <w:i/>
                <w:iCs/>
                <w:sz w:val="22"/>
              </w:rPr>
              <w:t>Dependent Variable</w:t>
            </w:r>
          </w:p>
        </w:tc>
      </w:tr>
      <w:tr w:rsidR="00E72303" w:rsidRPr="00E72303" w14:paraId="52E0CCE7" w14:textId="77777777" w:rsidTr="0072479C">
        <w:trPr>
          <w:trHeight w:val="20"/>
        </w:trPr>
        <w:tc>
          <w:tcPr>
            <w:tcW w:w="2159" w:type="dxa"/>
            <w:vAlign w:val="center"/>
          </w:tcPr>
          <w:p w14:paraId="51CD77B9" w14:textId="042F795A" w:rsidR="00FB71DE" w:rsidRPr="00E72303" w:rsidRDefault="00FB71DE" w:rsidP="007B178E">
            <w:pPr>
              <w:pStyle w:val="1stParagraph"/>
              <w:jc w:val="left"/>
              <w:rPr>
                <w:rFonts w:cs="Times New Roman"/>
                <w:sz w:val="22"/>
              </w:rPr>
            </w:pPr>
            <w:r w:rsidRPr="00E72303">
              <w:rPr>
                <w:rFonts w:cs="Times New Roman"/>
                <w:sz w:val="22"/>
              </w:rPr>
              <w:t>Gasoline</w:t>
            </w:r>
          </w:p>
        </w:tc>
        <w:tc>
          <w:tcPr>
            <w:tcW w:w="3787" w:type="dxa"/>
            <w:vAlign w:val="center"/>
          </w:tcPr>
          <w:p w14:paraId="5276DA1C" w14:textId="5427341B" w:rsidR="00FB71DE" w:rsidRPr="00E72303" w:rsidRDefault="00E22011" w:rsidP="007B178E">
            <w:pPr>
              <w:pStyle w:val="1stParagraph"/>
              <w:jc w:val="left"/>
              <w:rPr>
                <w:rFonts w:cs="Times New Roman"/>
                <w:sz w:val="22"/>
              </w:rPr>
            </w:pPr>
            <w:r w:rsidRPr="00E72303">
              <w:rPr>
                <w:rFonts w:cs="Times New Roman"/>
                <w:sz w:val="22"/>
              </w:rPr>
              <w:t>Fuel type:</w:t>
            </w:r>
            <w:r w:rsidR="00F6228A" w:rsidRPr="00E72303">
              <w:rPr>
                <w:rFonts w:cs="Times New Roman"/>
                <w:sz w:val="22"/>
              </w:rPr>
              <w:t xml:space="preserve"> Gasoline</w:t>
            </w:r>
          </w:p>
        </w:tc>
        <w:tc>
          <w:tcPr>
            <w:tcW w:w="1160" w:type="dxa"/>
            <w:vAlign w:val="center"/>
          </w:tcPr>
          <w:p w14:paraId="349A3F36" w14:textId="155A2E7A" w:rsidR="00FB71DE" w:rsidRPr="00E72303" w:rsidRDefault="00FB71DE" w:rsidP="007B178E">
            <w:pPr>
              <w:pStyle w:val="1stParagraph"/>
              <w:jc w:val="center"/>
              <w:rPr>
                <w:rFonts w:cs="Times New Roman"/>
                <w:sz w:val="22"/>
              </w:rPr>
            </w:pPr>
            <w:r w:rsidRPr="00E72303">
              <w:rPr>
                <w:rFonts w:cs="Times New Roman"/>
                <w:sz w:val="22"/>
              </w:rPr>
              <w:t>0.00</w:t>
            </w:r>
          </w:p>
        </w:tc>
        <w:tc>
          <w:tcPr>
            <w:tcW w:w="1196" w:type="dxa"/>
            <w:vAlign w:val="center"/>
          </w:tcPr>
          <w:p w14:paraId="1C77C8B2" w14:textId="3FB5B864" w:rsidR="00FB71DE" w:rsidRPr="00E72303" w:rsidRDefault="00FB71DE" w:rsidP="007B178E">
            <w:pPr>
              <w:pStyle w:val="1stParagraph"/>
              <w:jc w:val="center"/>
              <w:rPr>
                <w:rFonts w:cs="Times New Roman"/>
                <w:sz w:val="22"/>
              </w:rPr>
            </w:pPr>
            <w:r w:rsidRPr="00E72303">
              <w:rPr>
                <w:rFonts w:cs="Times New Roman"/>
                <w:sz w:val="22"/>
              </w:rPr>
              <w:t>1.00</w:t>
            </w:r>
          </w:p>
        </w:tc>
        <w:tc>
          <w:tcPr>
            <w:tcW w:w="1064" w:type="dxa"/>
            <w:vAlign w:val="center"/>
          </w:tcPr>
          <w:p w14:paraId="3A5B127B" w14:textId="7D7F4691" w:rsidR="00FB71DE" w:rsidRPr="00E72303" w:rsidRDefault="00306677" w:rsidP="007B178E">
            <w:pPr>
              <w:pStyle w:val="1stParagraph"/>
              <w:jc w:val="center"/>
              <w:rPr>
                <w:rFonts w:cs="Times New Roman"/>
                <w:sz w:val="22"/>
              </w:rPr>
            </w:pPr>
            <w:r w:rsidRPr="00E72303">
              <w:rPr>
                <w:rFonts w:cs="Times New Roman"/>
                <w:sz w:val="22"/>
              </w:rPr>
              <w:t>0.87</w:t>
            </w:r>
          </w:p>
        </w:tc>
      </w:tr>
      <w:tr w:rsidR="00E72303" w:rsidRPr="00E72303" w14:paraId="37982893" w14:textId="77777777" w:rsidTr="0072479C">
        <w:trPr>
          <w:trHeight w:val="20"/>
        </w:trPr>
        <w:tc>
          <w:tcPr>
            <w:tcW w:w="2159" w:type="dxa"/>
            <w:vAlign w:val="center"/>
          </w:tcPr>
          <w:p w14:paraId="240E5BF0" w14:textId="59F73D08" w:rsidR="00FB71DE" w:rsidRPr="00E72303" w:rsidRDefault="00FB71DE" w:rsidP="007B178E">
            <w:pPr>
              <w:pStyle w:val="1stParagraph"/>
              <w:jc w:val="left"/>
              <w:rPr>
                <w:rFonts w:cs="Times New Roman"/>
                <w:sz w:val="22"/>
              </w:rPr>
            </w:pPr>
            <w:r w:rsidRPr="00E72303">
              <w:rPr>
                <w:rFonts w:cs="Times New Roman"/>
                <w:sz w:val="22"/>
              </w:rPr>
              <w:t>Non-gasoline</w:t>
            </w:r>
          </w:p>
        </w:tc>
        <w:tc>
          <w:tcPr>
            <w:tcW w:w="3787" w:type="dxa"/>
            <w:vAlign w:val="center"/>
          </w:tcPr>
          <w:p w14:paraId="55E9C50D" w14:textId="217F5804" w:rsidR="00FB71DE" w:rsidRPr="00E72303" w:rsidRDefault="00E22011" w:rsidP="007B178E">
            <w:pPr>
              <w:pStyle w:val="1stParagraph"/>
              <w:jc w:val="left"/>
              <w:rPr>
                <w:rFonts w:cs="Times New Roman"/>
                <w:sz w:val="22"/>
              </w:rPr>
            </w:pPr>
            <w:r w:rsidRPr="00E72303">
              <w:rPr>
                <w:rFonts w:cs="Times New Roman"/>
                <w:sz w:val="22"/>
              </w:rPr>
              <w:t>Fuel type:</w:t>
            </w:r>
            <w:r w:rsidR="00F6228A" w:rsidRPr="00E72303">
              <w:rPr>
                <w:rFonts w:cs="Times New Roman"/>
                <w:sz w:val="22"/>
              </w:rPr>
              <w:t xml:space="preserve"> Plug in hybrid, </w:t>
            </w:r>
            <w:r w:rsidR="000904CD" w:rsidRPr="00E72303">
              <w:rPr>
                <w:rFonts w:cs="Times New Roman"/>
                <w:sz w:val="22"/>
              </w:rPr>
              <w:t>hybrid, diesel, natural gas, and electric</w:t>
            </w:r>
          </w:p>
        </w:tc>
        <w:tc>
          <w:tcPr>
            <w:tcW w:w="1160" w:type="dxa"/>
            <w:vAlign w:val="center"/>
          </w:tcPr>
          <w:p w14:paraId="04396CC7" w14:textId="396FA567" w:rsidR="00FB71DE" w:rsidRPr="00E72303" w:rsidRDefault="00FB71DE" w:rsidP="007B178E">
            <w:pPr>
              <w:pStyle w:val="1stParagraph"/>
              <w:jc w:val="center"/>
              <w:rPr>
                <w:rFonts w:cs="Times New Roman"/>
                <w:sz w:val="22"/>
              </w:rPr>
            </w:pPr>
            <w:r w:rsidRPr="00E72303">
              <w:rPr>
                <w:rFonts w:cs="Times New Roman"/>
                <w:sz w:val="22"/>
              </w:rPr>
              <w:t>0.00</w:t>
            </w:r>
          </w:p>
        </w:tc>
        <w:tc>
          <w:tcPr>
            <w:tcW w:w="1196" w:type="dxa"/>
            <w:vAlign w:val="center"/>
          </w:tcPr>
          <w:p w14:paraId="2A0EB4BC" w14:textId="0B29286D" w:rsidR="00FB71DE" w:rsidRPr="00E72303" w:rsidRDefault="00FB71DE" w:rsidP="007B178E">
            <w:pPr>
              <w:pStyle w:val="1stParagraph"/>
              <w:jc w:val="center"/>
              <w:rPr>
                <w:rFonts w:cs="Times New Roman"/>
                <w:sz w:val="22"/>
              </w:rPr>
            </w:pPr>
            <w:r w:rsidRPr="00E72303">
              <w:rPr>
                <w:rFonts w:cs="Times New Roman"/>
                <w:sz w:val="22"/>
              </w:rPr>
              <w:t>1.00</w:t>
            </w:r>
          </w:p>
        </w:tc>
        <w:tc>
          <w:tcPr>
            <w:tcW w:w="1064" w:type="dxa"/>
            <w:vAlign w:val="center"/>
          </w:tcPr>
          <w:p w14:paraId="11384ABE" w14:textId="1AD027BF" w:rsidR="00FB71DE" w:rsidRPr="00E72303" w:rsidRDefault="00306677" w:rsidP="007B178E">
            <w:pPr>
              <w:pStyle w:val="1stParagraph"/>
              <w:jc w:val="center"/>
              <w:rPr>
                <w:rFonts w:cs="Times New Roman"/>
                <w:sz w:val="22"/>
              </w:rPr>
            </w:pPr>
            <w:r w:rsidRPr="00E72303">
              <w:rPr>
                <w:rFonts w:cs="Times New Roman"/>
                <w:sz w:val="22"/>
              </w:rPr>
              <w:t>0.13</w:t>
            </w:r>
          </w:p>
        </w:tc>
      </w:tr>
      <w:tr w:rsidR="00E72303" w:rsidRPr="00E72303" w14:paraId="5B857352" w14:textId="77777777" w:rsidTr="0072479C">
        <w:trPr>
          <w:trHeight w:val="20"/>
        </w:trPr>
        <w:tc>
          <w:tcPr>
            <w:tcW w:w="2159" w:type="dxa"/>
            <w:vAlign w:val="center"/>
          </w:tcPr>
          <w:p w14:paraId="0F578FC7" w14:textId="5E1C20E7" w:rsidR="00FB71DE" w:rsidRPr="00E72303" w:rsidRDefault="00FB71DE" w:rsidP="007B178E">
            <w:pPr>
              <w:pStyle w:val="1stParagraph"/>
              <w:jc w:val="left"/>
              <w:rPr>
                <w:rFonts w:cs="Times New Roman"/>
                <w:sz w:val="22"/>
              </w:rPr>
            </w:pPr>
            <w:r w:rsidRPr="00E72303">
              <w:rPr>
                <w:rFonts w:cs="Times New Roman"/>
                <w:sz w:val="22"/>
              </w:rPr>
              <w:t>Utility vehicles</w:t>
            </w:r>
          </w:p>
        </w:tc>
        <w:tc>
          <w:tcPr>
            <w:tcW w:w="3787" w:type="dxa"/>
            <w:vAlign w:val="center"/>
          </w:tcPr>
          <w:p w14:paraId="2D337207" w14:textId="53043F46" w:rsidR="00FB71DE" w:rsidRPr="00E72303" w:rsidRDefault="00E22011" w:rsidP="007B178E">
            <w:pPr>
              <w:pStyle w:val="1stParagraph"/>
              <w:jc w:val="left"/>
              <w:rPr>
                <w:rFonts w:cs="Times New Roman"/>
                <w:sz w:val="22"/>
              </w:rPr>
            </w:pPr>
            <w:r w:rsidRPr="00E72303">
              <w:rPr>
                <w:rFonts w:cs="Times New Roman"/>
                <w:sz w:val="22"/>
              </w:rPr>
              <w:t>Vehicle type:</w:t>
            </w:r>
            <w:r w:rsidR="0037162F" w:rsidRPr="00E72303">
              <w:rPr>
                <w:rFonts w:cs="Times New Roman"/>
                <w:sz w:val="22"/>
              </w:rPr>
              <w:t xml:space="preserve"> Passenger vans, sport utility, and station wagon</w:t>
            </w:r>
          </w:p>
        </w:tc>
        <w:tc>
          <w:tcPr>
            <w:tcW w:w="1160" w:type="dxa"/>
            <w:vAlign w:val="center"/>
          </w:tcPr>
          <w:p w14:paraId="29AA3AE1" w14:textId="4500A66E" w:rsidR="00FB71DE" w:rsidRPr="00E72303" w:rsidRDefault="00FB71DE" w:rsidP="007B178E">
            <w:pPr>
              <w:pStyle w:val="1stParagraph"/>
              <w:jc w:val="center"/>
              <w:rPr>
                <w:rFonts w:cs="Times New Roman"/>
                <w:sz w:val="22"/>
              </w:rPr>
            </w:pPr>
            <w:r w:rsidRPr="00E72303">
              <w:rPr>
                <w:rFonts w:cs="Times New Roman"/>
                <w:sz w:val="22"/>
              </w:rPr>
              <w:t>0.00</w:t>
            </w:r>
          </w:p>
        </w:tc>
        <w:tc>
          <w:tcPr>
            <w:tcW w:w="1196" w:type="dxa"/>
            <w:vAlign w:val="center"/>
          </w:tcPr>
          <w:p w14:paraId="02A19665" w14:textId="44FD92B7" w:rsidR="00FB71DE" w:rsidRPr="00E72303" w:rsidRDefault="00FB71DE" w:rsidP="007B178E">
            <w:pPr>
              <w:pStyle w:val="1stParagraph"/>
              <w:jc w:val="center"/>
              <w:rPr>
                <w:rFonts w:cs="Times New Roman"/>
                <w:sz w:val="22"/>
              </w:rPr>
            </w:pPr>
            <w:r w:rsidRPr="00E72303">
              <w:rPr>
                <w:rFonts w:cs="Times New Roman"/>
                <w:sz w:val="22"/>
              </w:rPr>
              <w:t>1.00</w:t>
            </w:r>
          </w:p>
        </w:tc>
        <w:tc>
          <w:tcPr>
            <w:tcW w:w="1064" w:type="dxa"/>
            <w:vAlign w:val="center"/>
          </w:tcPr>
          <w:p w14:paraId="0C134D34" w14:textId="13403ABE" w:rsidR="00FB71DE" w:rsidRPr="00E72303" w:rsidRDefault="00306677" w:rsidP="007B178E">
            <w:pPr>
              <w:pStyle w:val="1stParagraph"/>
              <w:jc w:val="center"/>
              <w:rPr>
                <w:rFonts w:cs="Times New Roman"/>
                <w:sz w:val="22"/>
              </w:rPr>
            </w:pPr>
            <w:r w:rsidRPr="00E72303">
              <w:rPr>
                <w:rFonts w:cs="Times New Roman"/>
                <w:sz w:val="22"/>
              </w:rPr>
              <w:t>0.53</w:t>
            </w:r>
          </w:p>
        </w:tc>
      </w:tr>
      <w:tr w:rsidR="00E72303" w:rsidRPr="00E72303" w14:paraId="6ADD80D7" w14:textId="77777777" w:rsidTr="0072479C">
        <w:trPr>
          <w:trHeight w:val="20"/>
        </w:trPr>
        <w:tc>
          <w:tcPr>
            <w:tcW w:w="2159" w:type="dxa"/>
            <w:vAlign w:val="center"/>
          </w:tcPr>
          <w:p w14:paraId="2719360C" w14:textId="22D7C6EA" w:rsidR="00FB71DE" w:rsidRPr="00E72303" w:rsidRDefault="00FB71DE" w:rsidP="007B178E">
            <w:pPr>
              <w:pStyle w:val="1stParagraph"/>
              <w:jc w:val="left"/>
              <w:rPr>
                <w:rFonts w:cs="Times New Roman"/>
                <w:sz w:val="22"/>
              </w:rPr>
            </w:pPr>
            <w:r w:rsidRPr="00E72303">
              <w:rPr>
                <w:rFonts w:cs="Times New Roman"/>
                <w:sz w:val="22"/>
              </w:rPr>
              <w:t>Sport sedans</w:t>
            </w:r>
          </w:p>
        </w:tc>
        <w:tc>
          <w:tcPr>
            <w:tcW w:w="3787" w:type="dxa"/>
            <w:vAlign w:val="center"/>
          </w:tcPr>
          <w:p w14:paraId="0D3B3AC3" w14:textId="28A84820" w:rsidR="00FB71DE" w:rsidRPr="00E72303" w:rsidRDefault="00E22011" w:rsidP="007B178E">
            <w:pPr>
              <w:pStyle w:val="1stParagraph"/>
              <w:jc w:val="left"/>
              <w:rPr>
                <w:rFonts w:cs="Times New Roman"/>
                <w:sz w:val="22"/>
              </w:rPr>
            </w:pPr>
            <w:r w:rsidRPr="00E72303">
              <w:rPr>
                <w:rFonts w:cs="Times New Roman"/>
                <w:sz w:val="22"/>
              </w:rPr>
              <w:t>Vehicle type:</w:t>
            </w:r>
            <w:r w:rsidR="00A97472" w:rsidRPr="00E72303">
              <w:rPr>
                <w:rFonts w:cs="Times New Roman"/>
                <w:sz w:val="22"/>
              </w:rPr>
              <w:t xml:space="preserve"> Convertible and coupe</w:t>
            </w:r>
          </w:p>
        </w:tc>
        <w:tc>
          <w:tcPr>
            <w:tcW w:w="1160" w:type="dxa"/>
            <w:vAlign w:val="center"/>
          </w:tcPr>
          <w:p w14:paraId="3449FA7F" w14:textId="4EF25EA1" w:rsidR="00FB71DE" w:rsidRPr="00E72303" w:rsidRDefault="00FB71DE" w:rsidP="007B178E">
            <w:pPr>
              <w:pStyle w:val="1stParagraph"/>
              <w:jc w:val="center"/>
              <w:rPr>
                <w:rFonts w:cs="Times New Roman"/>
                <w:sz w:val="22"/>
              </w:rPr>
            </w:pPr>
            <w:r w:rsidRPr="00E72303">
              <w:rPr>
                <w:rFonts w:cs="Times New Roman"/>
                <w:sz w:val="22"/>
              </w:rPr>
              <w:t>0.00</w:t>
            </w:r>
          </w:p>
        </w:tc>
        <w:tc>
          <w:tcPr>
            <w:tcW w:w="1196" w:type="dxa"/>
            <w:vAlign w:val="center"/>
          </w:tcPr>
          <w:p w14:paraId="151BA1B2" w14:textId="432532C3" w:rsidR="00FB71DE" w:rsidRPr="00E72303" w:rsidRDefault="00FB71DE" w:rsidP="007B178E">
            <w:pPr>
              <w:pStyle w:val="1stParagraph"/>
              <w:jc w:val="center"/>
              <w:rPr>
                <w:rFonts w:cs="Times New Roman"/>
                <w:sz w:val="22"/>
              </w:rPr>
            </w:pPr>
            <w:r w:rsidRPr="00E72303">
              <w:rPr>
                <w:rFonts w:cs="Times New Roman"/>
                <w:sz w:val="22"/>
              </w:rPr>
              <w:t>1.00</w:t>
            </w:r>
          </w:p>
        </w:tc>
        <w:tc>
          <w:tcPr>
            <w:tcW w:w="1064" w:type="dxa"/>
            <w:vAlign w:val="center"/>
          </w:tcPr>
          <w:p w14:paraId="6016EF0C" w14:textId="107E192B" w:rsidR="00FB71DE" w:rsidRPr="00E72303" w:rsidRDefault="00306677" w:rsidP="007B178E">
            <w:pPr>
              <w:pStyle w:val="1stParagraph"/>
              <w:jc w:val="center"/>
              <w:rPr>
                <w:rFonts w:cs="Times New Roman"/>
                <w:sz w:val="22"/>
              </w:rPr>
            </w:pPr>
            <w:r w:rsidRPr="00E72303">
              <w:rPr>
                <w:rFonts w:cs="Times New Roman"/>
                <w:sz w:val="22"/>
              </w:rPr>
              <w:t>0.05</w:t>
            </w:r>
          </w:p>
        </w:tc>
      </w:tr>
      <w:tr w:rsidR="00E72303" w:rsidRPr="00E72303" w14:paraId="12A4E785" w14:textId="77777777" w:rsidTr="0072479C">
        <w:trPr>
          <w:trHeight w:val="20"/>
        </w:trPr>
        <w:tc>
          <w:tcPr>
            <w:tcW w:w="2159" w:type="dxa"/>
            <w:vAlign w:val="center"/>
          </w:tcPr>
          <w:p w14:paraId="2F7761D3" w14:textId="1B371E21" w:rsidR="00FB71DE" w:rsidRPr="00E72303" w:rsidRDefault="00FB71DE" w:rsidP="007B178E">
            <w:pPr>
              <w:pStyle w:val="1stParagraph"/>
              <w:jc w:val="left"/>
              <w:rPr>
                <w:rFonts w:cs="Times New Roman"/>
                <w:sz w:val="22"/>
              </w:rPr>
            </w:pPr>
            <w:r w:rsidRPr="00E72303">
              <w:rPr>
                <w:rFonts w:cs="Times New Roman"/>
                <w:sz w:val="22"/>
              </w:rPr>
              <w:t>Sedans</w:t>
            </w:r>
          </w:p>
        </w:tc>
        <w:tc>
          <w:tcPr>
            <w:tcW w:w="3787" w:type="dxa"/>
            <w:vAlign w:val="center"/>
          </w:tcPr>
          <w:p w14:paraId="11F0B618" w14:textId="18076352" w:rsidR="00FB71DE" w:rsidRPr="00E72303" w:rsidRDefault="00E22011" w:rsidP="007B178E">
            <w:pPr>
              <w:pStyle w:val="1stParagraph"/>
              <w:jc w:val="left"/>
              <w:rPr>
                <w:rFonts w:cs="Times New Roman"/>
                <w:sz w:val="22"/>
              </w:rPr>
            </w:pPr>
            <w:r w:rsidRPr="00E72303">
              <w:rPr>
                <w:rFonts w:cs="Times New Roman"/>
                <w:sz w:val="22"/>
              </w:rPr>
              <w:t>Vehicle type:</w:t>
            </w:r>
            <w:r w:rsidR="00A97472" w:rsidRPr="00E72303">
              <w:rPr>
                <w:rFonts w:cs="Times New Roman"/>
                <w:sz w:val="22"/>
              </w:rPr>
              <w:t xml:space="preserve"> Hatchback and sedan</w:t>
            </w:r>
          </w:p>
        </w:tc>
        <w:tc>
          <w:tcPr>
            <w:tcW w:w="1160" w:type="dxa"/>
            <w:vAlign w:val="center"/>
          </w:tcPr>
          <w:p w14:paraId="5A867369" w14:textId="05192861" w:rsidR="00FB71DE" w:rsidRPr="00E72303" w:rsidRDefault="00FB71DE" w:rsidP="007B178E">
            <w:pPr>
              <w:pStyle w:val="1stParagraph"/>
              <w:jc w:val="center"/>
              <w:rPr>
                <w:rFonts w:cs="Times New Roman"/>
                <w:sz w:val="22"/>
              </w:rPr>
            </w:pPr>
            <w:r w:rsidRPr="00E72303">
              <w:rPr>
                <w:rFonts w:cs="Times New Roman"/>
                <w:sz w:val="22"/>
              </w:rPr>
              <w:t>0.00</w:t>
            </w:r>
          </w:p>
        </w:tc>
        <w:tc>
          <w:tcPr>
            <w:tcW w:w="1196" w:type="dxa"/>
            <w:vAlign w:val="center"/>
          </w:tcPr>
          <w:p w14:paraId="730661ED" w14:textId="312EB3EE" w:rsidR="00FB71DE" w:rsidRPr="00E72303" w:rsidRDefault="00FB71DE" w:rsidP="007B178E">
            <w:pPr>
              <w:pStyle w:val="1stParagraph"/>
              <w:jc w:val="center"/>
              <w:rPr>
                <w:rFonts w:cs="Times New Roman"/>
                <w:sz w:val="22"/>
              </w:rPr>
            </w:pPr>
            <w:r w:rsidRPr="00E72303">
              <w:rPr>
                <w:rFonts w:cs="Times New Roman"/>
                <w:sz w:val="22"/>
              </w:rPr>
              <w:t>1.00</w:t>
            </w:r>
          </w:p>
        </w:tc>
        <w:tc>
          <w:tcPr>
            <w:tcW w:w="1064" w:type="dxa"/>
            <w:vAlign w:val="center"/>
          </w:tcPr>
          <w:p w14:paraId="56E7B8AF" w14:textId="4A632560" w:rsidR="00FB71DE" w:rsidRPr="00E72303" w:rsidRDefault="00306677" w:rsidP="007B178E">
            <w:pPr>
              <w:pStyle w:val="1stParagraph"/>
              <w:jc w:val="center"/>
              <w:rPr>
                <w:rFonts w:cs="Times New Roman"/>
                <w:sz w:val="22"/>
              </w:rPr>
            </w:pPr>
            <w:r w:rsidRPr="00E72303">
              <w:rPr>
                <w:rFonts w:cs="Times New Roman"/>
                <w:sz w:val="22"/>
              </w:rPr>
              <w:t>0.31</w:t>
            </w:r>
          </w:p>
        </w:tc>
      </w:tr>
      <w:tr w:rsidR="00FB71DE" w:rsidRPr="00E72303" w14:paraId="52E1F24D" w14:textId="77777777" w:rsidTr="0072479C">
        <w:trPr>
          <w:trHeight w:val="20"/>
        </w:trPr>
        <w:tc>
          <w:tcPr>
            <w:tcW w:w="2159" w:type="dxa"/>
            <w:vAlign w:val="center"/>
          </w:tcPr>
          <w:p w14:paraId="63B4FF6E" w14:textId="78574F0F" w:rsidR="00FB71DE" w:rsidRPr="00E72303" w:rsidRDefault="00FB71DE" w:rsidP="007B178E">
            <w:pPr>
              <w:pStyle w:val="1stParagraph"/>
              <w:jc w:val="left"/>
              <w:rPr>
                <w:rFonts w:cs="Times New Roman"/>
                <w:sz w:val="22"/>
              </w:rPr>
            </w:pPr>
            <w:r w:rsidRPr="00E72303">
              <w:rPr>
                <w:rFonts w:cs="Times New Roman"/>
                <w:sz w:val="22"/>
              </w:rPr>
              <w:t>Pick-up trucks</w:t>
            </w:r>
          </w:p>
        </w:tc>
        <w:tc>
          <w:tcPr>
            <w:tcW w:w="3787" w:type="dxa"/>
            <w:vAlign w:val="center"/>
          </w:tcPr>
          <w:p w14:paraId="31B806E3" w14:textId="589B5C72" w:rsidR="00FB71DE" w:rsidRPr="00E72303" w:rsidRDefault="00E22011" w:rsidP="007B178E">
            <w:pPr>
              <w:pStyle w:val="1stParagraph"/>
              <w:jc w:val="left"/>
              <w:rPr>
                <w:rFonts w:cs="Times New Roman"/>
                <w:sz w:val="22"/>
              </w:rPr>
            </w:pPr>
            <w:r w:rsidRPr="00E72303">
              <w:rPr>
                <w:rFonts w:cs="Times New Roman"/>
                <w:sz w:val="22"/>
              </w:rPr>
              <w:t>Vehicle type:</w:t>
            </w:r>
            <w:r w:rsidR="00A97472" w:rsidRPr="00E72303">
              <w:rPr>
                <w:rFonts w:cs="Times New Roman"/>
                <w:sz w:val="22"/>
              </w:rPr>
              <w:t xml:space="preserve"> </w:t>
            </w:r>
            <w:r w:rsidR="00A258F1" w:rsidRPr="00E72303">
              <w:rPr>
                <w:rFonts w:cs="Times New Roman"/>
                <w:sz w:val="22"/>
              </w:rPr>
              <w:t>Pick-up</w:t>
            </w:r>
            <w:r w:rsidR="00A97472" w:rsidRPr="00E72303">
              <w:rPr>
                <w:rFonts w:cs="Times New Roman"/>
                <w:sz w:val="22"/>
              </w:rPr>
              <w:t xml:space="preserve"> and truck wagon</w:t>
            </w:r>
          </w:p>
        </w:tc>
        <w:tc>
          <w:tcPr>
            <w:tcW w:w="1160" w:type="dxa"/>
            <w:vAlign w:val="center"/>
          </w:tcPr>
          <w:p w14:paraId="7BED09D4" w14:textId="67B98F1F" w:rsidR="00FB71DE" w:rsidRPr="00E72303" w:rsidRDefault="00FB71DE" w:rsidP="007B178E">
            <w:pPr>
              <w:pStyle w:val="1stParagraph"/>
              <w:jc w:val="center"/>
              <w:rPr>
                <w:rFonts w:cs="Times New Roman"/>
                <w:sz w:val="22"/>
              </w:rPr>
            </w:pPr>
            <w:r w:rsidRPr="00E72303">
              <w:rPr>
                <w:rFonts w:cs="Times New Roman"/>
                <w:sz w:val="22"/>
              </w:rPr>
              <w:t>0.00</w:t>
            </w:r>
          </w:p>
        </w:tc>
        <w:tc>
          <w:tcPr>
            <w:tcW w:w="1196" w:type="dxa"/>
            <w:vAlign w:val="center"/>
          </w:tcPr>
          <w:p w14:paraId="4F9F0246" w14:textId="54B4740C" w:rsidR="00FB71DE" w:rsidRPr="00E72303" w:rsidRDefault="00FB71DE" w:rsidP="007B178E">
            <w:pPr>
              <w:pStyle w:val="1stParagraph"/>
              <w:jc w:val="center"/>
              <w:rPr>
                <w:rFonts w:cs="Times New Roman"/>
                <w:sz w:val="22"/>
              </w:rPr>
            </w:pPr>
            <w:r w:rsidRPr="00E72303">
              <w:rPr>
                <w:rFonts w:cs="Times New Roman"/>
                <w:sz w:val="22"/>
              </w:rPr>
              <w:t>1.00</w:t>
            </w:r>
          </w:p>
        </w:tc>
        <w:tc>
          <w:tcPr>
            <w:tcW w:w="1064" w:type="dxa"/>
            <w:vAlign w:val="center"/>
          </w:tcPr>
          <w:p w14:paraId="222725CD" w14:textId="5D6F4719" w:rsidR="00FB71DE" w:rsidRPr="00E72303" w:rsidRDefault="00306677" w:rsidP="007B178E">
            <w:pPr>
              <w:pStyle w:val="1stParagraph"/>
              <w:jc w:val="center"/>
              <w:rPr>
                <w:rFonts w:cs="Times New Roman"/>
                <w:sz w:val="22"/>
              </w:rPr>
            </w:pPr>
            <w:r w:rsidRPr="00E72303">
              <w:rPr>
                <w:rFonts w:cs="Times New Roman"/>
                <w:sz w:val="22"/>
              </w:rPr>
              <w:t>0.11</w:t>
            </w:r>
          </w:p>
        </w:tc>
      </w:tr>
    </w:tbl>
    <w:p w14:paraId="7C3C876E" w14:textId="77777777" w:rsidR="00705145" w:rsidRPr="00E72303" w:rsidRDefault="00705145" w:rsidP="007B178E">
      <w:pPr>
        <w:ind w:firstLine="0"/>
      </w:pPr>
    </w:p>
    <w:p w14:paraId="00C5CB15" w14:textId="39A13DFD" w:rsidR="002A7151" w:rsidRPr="00E72303" w:rsidRDefault="004C07E5" w:rsidP="007B178E">
      <w:pPr>
        <w:pStyle w:val="Heading1"/>
        <w:rPr>
          <w:color w:val="auto"/>
        </w:rPr>
      </w:pPr>
      <w:r w:rsidRPr="00E72303">
        <w:rPr>
          <w:color w:val="auto"/>
        </w:rPr>
        <w:t>Selection of Model with Fused Data</w:t>
      </w:r>
      <w:r w:rsidR="002A7151" w:rsidRPr="00E72303">
        <w:rPr>
          <w:color w:val="auto"/>
        </w:rPr>
        <w:t xml:space="preserve"> </w:t>
      </w:r>
    </w:p>
    <w:p w14:paraId="6DB39D51" w14:textId="797DED17" w:rsidR="00DC5CE9" w:rsidRPr="00E72303" w:rsidRDefault="00DC5CE9" w:rsidP="007B178E">
      <w:pPr>
        <w:pStyle w:val="1stParagraph"/>
      </w:pPr>
      <w:bookmarkStart w:id="4" w:name="_Hlk110280090"/>
      <w:r w:rsidRPr="00E72303">
        <w:t xml:space="preserve">The proposed data fusion is based on common attributes present in </w:t>
      </w:r>
      <w:proofErr w:type="spellStart"/>
      <w:r w:rsidRPr="00E72303">
        <w:t>MaritzCX</w:t>
      </w:r>
      <w:proofErr w:type="spellEnd"/>
      <w:r w:rsidRPr="00E72303">
        <w:t xml:space="preserve"> and NHTS datasets. Four identical variables – age category, income category, household’s state, and household’s location classified as urban or rural – are present in both datasets. The reader will note that as the number of matching variables increases the number of potential matches from NHTS will reduce. </w:t>
      </w:r>
      <w:r w:rsidR="00511E4E" w:rsidRPr="00E72303">
        <w:t xml:space="preserve">In fact, as the number of matched variables </w:t>
      </w:r>
      <w:r w:rsidR="00526833" w:rsidRPr="00E72303">
        <w:t>increase,</w:t>
      </w:r>
      <w:r w:rsidR="00511E4E" w:rsidRPr="00E72303">
        <w:t xml:space="preserve"> we end up 0 matches. </w:t>
      </w:r>
      <w:r w:rsidRPr="00E72303">
        <w:t xml:space="preserve">Hence, we </w:t>
      </w:r>
      <w:r w:rsidR="00511E4E" w:rsidRPr="00E72303">
        <w:t>do</w:t>
      </w:r>
      <w:r w:rsidRPr="00E72303">
        <w:t xml:space="preserve"> not consider all variables for matching. For instance, in our context, we consider matching two or three variables to ensure adequate matching records exist. </w:t>
      </w:r>
    </w:p>
    <w:p w14:paraId="21EABC54" w14:textId="4CC9FE61" w:rsidR="00DA5FF9" w:rsidRPr="00E72303" w:rsidRDefault="00117A25" w:rsidP="00DA5FF9">
      <w:r w:rsidRPr="00E72303">
        <w:t>The matching process r</w:t>
      </w:r>
      <w:r w:rsidR="00DC5CE9" w:rsidRPr="00E72303">
        <w:t>ecognize</w:t>
      </w:r>
      <w:r w:rsidRPr="00E72303">
        <w:t>s</w:t>
      </w:r>
      <w:r w:rsidR="00DC5CE9" w:rsidRPr="00E72303">
        <w:t xml:space="preserve"> that for any set of matching records, multiple matches are likely to exist. Among these matches, there is no way to identify an “ideal match”. Hence, we consider the fusion process with multiple candidates randomly from the pool of matched records. We systematically test the model fit of the dependent variable for different number of fusion </w:t>
      </w:r>
      <w:r w:rsidR="00DC5CE9" w:rsidRPr="00E72303">
        <w:lastRenderedPageBreak/>
        <w:t xml:space="preserve">records to identify the “optimal” number of fusion records. While increasing the size of fusion records improves the model, the increase in computation time needs to be recognized. Another aspect to consider is that as we fuse multiple NHTS records for each </w:t>
      </w:r>
      <w:proofErr w:type="spellStart"/>
      <w:r w:rsidR="00DC5CE9" w:rsidRPr="00E72303">
        <w:t>MaritzCX</w:t>
      </w:r>
      <w:proofErr w:type="spellEnd"/>
      <w:r w:rsidR="00DC5CE9" w:rsidRPr="00E72303">
        <w:t xml:space="preserve"> record, the number of vehicle purchase decisions will repeat with each fused record. We include a weight variable that ensures each </w:t>
      </w:r>
      <w:proofErr w:type="spellStart"/>
      <w:r w:rsidR="00DC5CE9" w:rsidRPr="00E72303">
        <w:t>MaritzCX</w:t>
      </w:r>
      <w:proofErr w:type="spellEnd"/>
      <w:r w:rsidR="00DC5CE9" w:rsidRPr="00E72303">
        <w:t xml:space="preserve"> record accounts for only one record. For example, if the number of matched records is 10, we ensure that across the 10 records the newly added weight adds to 1. The actual weight can be evaluated in two approaches: deterministic and probabilistic. In the deterministic approach an equal weight is assumed (so 1/10 in the example). In the probabilistic approach, we let the model allocate the weight for each of the fused records. In this process, the records that offer the largest improvement in prediction will have higher weights. </w:t>
      </w:r>
      <w:r w:rsidR="00DC5CE9" w:rsidRPr="00E72303">
        <w:rPr>
          <w:rFonts w:cs="Times New Roman"/>
        </w:rPr>
        <w:t xml:space="preserve">The weight function is scored based on the similarity/dissimilarity of the common attributes that were not used for fusion. The weight score is expected to be higher for records with higher similarity. </w:t>
      </w:r>
      <w:r w:rsidR="00DC5CE9" w:rsidRPr="00E72303">
        <w:t xml:space="preserve">Given the inherent random nature of the fusion process, we repeat the fusion process for a fixed number of fused records multiple times to ensure that the results are reliable. The model parameters across these samples are compared using a modified Wald t-test to ensure parameter stability. After establishing parameter stability, the fused dataset and the model is finalized. </w:t>
      </w:r>
    </w:p>
    <w:p w14:paraId="6B67807B" w14:textId="2EC86603" w:rsidR="00EB5B88" w:rsidRPr="00E72303" w:rsidRDefault="00354EA9" w:rsidP="00DA5FF9">
      <w:r w:rsidRPr="00E72303">
        <w:t xml:space="preserve">The data fusion </w:t>
      </w:r>
      <w:r w:rsidR="00C8555F" w:rsidRPr="00E72303">
        <w:t xml:space="preserve">and </w:t>
      </w:r>
      <w:r w:rsidR="00480FE3" w:rsidRPr="00E72303">
        <w:t xml:space="preserve">the selection of optimal model </w:t>
      </w:r>
      <w:r w:rsidR="009517FB" w:rsidRPr="00E72303">
        <w:t xml:space="preserve">are conducted </w:t>
      </w:r>
      <w:r w:rsidR="00502DA8" w:rsidRPr="00E72303">
        <w:t xml:space="preserve">following the algorithm presented in Figure 2. </w:t>
      </w:r>
      <w:r w:rsidR="00A975AB" w:rsidRPr="00E72303">
        <w:rPr>
          <w:i/>
          <w:iCs/>
        </w:rPr>
        <w:t xml:space="preserve">In the </w:t>
      </w:r>
      <w:r w:rsidR="00FD37BF" w:rsidRPr="00E72303">
        <w:rPr>
          <w:i/>
          <w:iCs/>
        </w:rPr>
        <w:t>first step</w:t>
      </w:r>
      <w:r w:rsidR="00A975AB" w:rsidRPr="00E72303">
        <w:t xml:space="preserve">, </w:t>
      </w:r>
      <w:r w:rsidR="00D93C8B" w:rsidRPr="00E72303">
        <w:t xml:space="preserve">10 </w:t>
      </w:r>
      <w:r w:rsidR="00A975AB" w:rsidRPr="00E72303">
        <w:t xml:space="preserve">variable combinations: </w:t>
      </w:r>
      <w:r w:rsidR="002B46B9" w:rsidRPr="00E72303">
        <w:t>1) age and income, 2) age and location, 3) age and state, 4) age, income and location, 5) age, income and state, 6) age, location and state, 7) income and location, 8) state and location, 9) state and income, and 10) state, income and location</w:t>
      </w:r>
      <w:r w:rsidR="009C1BD1" w:rsidRPr="00E72303">
        <w:t xml:space="preserve"> </w:t>
      </w:r>
      <w:r w:rsidR="00A975AB" w:rsidRPr="00E72303">
        <w:t xml:space="preserve">were </w:t>
      </w:r>
      <w:r w:rsidR="00261F2D" w:rsidRPr="00E72303">
        <w:t xml:space="preserve">considered </w:t>
      </w:r>
      <w:r w:rsidR="00A975AB" w:rsidRPr="00E72303">
        <w:t>for data fusion.</w:t>
      </w:r>
      <w:bookmarkEnd w:id="4"/>
      <w:r w:rsidR="00476049" w:rsidRPr="00E72303">
        <w:t xml:space="preserve"> </w:t>
      </w:r>
      <w:r w:rsidR="00A975AB" w:rsidRPr="00E72303">
        <w:rPr>
          <w:i/>
          <w:iCs/>
        </w:rPr>
        <w:t xml:space="preserve">In the </w:t>
      </w:r>
      <w:r w:rsidR="004062BF" w:rsidRPr="00E72303">
        <w:rPr>
          <w:i/>
          <w:iCs/>
        </w:rPr>
        <w:t xml:space="preserve">second </w:t>
      </w:r>
      <w:r w:rsidR="00A975AB" w:rsidRPr="00E72303">
        <w:rPr>
          <w:i/>
          <w:iCs/>
        </w:rPr>
        <w:t>step</w:t>
      </w:r>
      <w:r w:rsidR="00A975AB" w:rsidRPr="00E72303">
        <w:t xml:space="preserve">, for each combination </w:t>
      </w:r>
      <w:r w:rsidR="00B8235B" w:rsidRPr="00E72303">
        <w:t xml:space="preserve">1-, </w:t>
      </w:r>
      <w:r w:rsidR="00A975AB" w:rsidRPr="00E72303">
        <w:t>5</w:t>
      </w:r>
      <w:r w:rsidR="00B8235B" w:rsidRPr="00E72303">
        <w:t>-, 10-, 15-, 20-, 25-, and 30</w:t>
      </w:r>
      <w:r w:rsidR="00A975AB" w:rsidRPr="00E72303">
        <w:t xml:space="preserve"> NHTS records were randomly fused to each </w:t>
      </w:r>
      <w:proofErr w:type="spellStart"/>
      <w:r w:rsidR="00A975AB" w:rsidRPr="00E72303">
        <w:t>MaritzCX</w:t>
      </w:r>
      <w:proofErr w:type="spellEnd"/>
      <w:r w:rsidR="00A975AB" w:rsidRPr="00E72303">
        <w:t xml:space="preserve"> </w:t>
      </w:r>
      <w:r w:rsidR="00C85A45" w:rsidRPr="00E72303">
        <w:t>record,</w:t>
      </w:r>
      <w:r w:rsidR="00A975AB" w:rsidRPr="00E72303">
        <w:t xml:space="preserve"> and </w:t>
      </w:r>
      <w:r w:rsidR="00D97615" w:rsidRPr="00E72303">
        <w:t>an eight</w:t>
      </w:r>
      <w:r w:rsidR="00B8235B" w:rsidRPr="00E72303">
        <w:t xml:space="preserve"> </w:t>
      </w:r>
      <w:r w:rsidR="00AB2277" w:rsidRPr="00E72303">
        <w:t>alternative</w:t>
      </w:r>
      <w:r w:rsidR="00A975AB" w:rsidRPr="00E72303">
        <w:t xml:space="preserve"> </w:t>
      </w:r>
      <w:r w:rsidR="009C1BD1" w:rsidRPr="00E72303">
        <w:t xml:space="preserve">MNL </w:t>
      </w:r>
      <w:r w:rsidR="00A975AB" w:rsidRPr="00E72303">
        <w:t>model was developed with the fused data.</w:t>
      </w:r>
      <w:r w:rsidR="004062BF" w:rsidRPr="00E72303">
        <w:t xml:space="preserve"> Given the inherent random nature of the fusion process, we repeat the fusion process for every number of fused records multiple times to ensure that the results are reliable.</w:t>
      </w:r>
      <w:r w:rsidR="00476049" w:rsidRPr="00E72303">
        <w:t xml:space="preserve"> </w:t>
      </w:r>
      <w:r w:rsidR="00110F13" w:rsidRPr="00E72303">
        <w:rPr>
          <w:i/>
          <w:iCs/>
        </w:rPr>
        <w:t>In</w:t>
      </w:r>
      <w:r w:rsidR="00941F35" w:rsidRPr="00E72303">
        <w:rPr>
          <w:i/>
          <w:iCs/>
        </w:rPr>
        <w:t xml:space="preserve"> the third step</w:t>
      </w:r>
      <w:r w:rsidR="00941F35" w:rsidRPr="00E72303">
        <w:t xml:space="preserve">, </w:t>
      </w:r>
      <w:r w:rsidR="00C85A45" w:rsidRPr="00E72303">
        <w:t xml:space="preserve">the improvement of the </w:t>
      </w:r>
      <w:r w:rsidR="008469CF" w:rsidRPr="00E72303">
        <w:t xml:space="preserve">model </w:t>
      </w:r>
      <w:r w:rsidR="00C85A45" w:rsidRPr="00E72303">
        <w:t xml:space="preserve">LL </w:t>
      </w:r>
      <w:r w:rsidR="00684C1A" w:rsidRPr="00E72303">
        <w:t xml:space="preserve">(relative to the model with only </w:t>
      </w:r>
      <w:proofErr w:type="spellStart"/>
      <w:r w:rsidR="00684C1A" w:rsidRPr="00E72303">
        <w:t>MaritzCX</w:t>
      </w:r>
      <w:proofErr w:type="spellEnd"/>
      <w:r w:rsidR="00684C1A" w:rsidRPr="00E72303">
        <w:t xml:space="preserve"> dataset) </w:t>
      </w:r>
      <w:r w:rsidR="00C85A45" w:rsidRPr="00E72303">
        <w:t xml:space="preserve">at each combination was compared. </w:t>
      </w:r>
      <w:r w:rsidR="00B8235B" w:rsidRPr="00E72303">
        <w:t>Based on the LL improvement</w:t>
      </w:r>
      <w:r w:rsidR="008469CF" w:rsidRPr="00E72303">
        <w:t>, the</w:t>
      </w:r>
      <w:r w:rsidR="00B8235B" w:rsidRPr="00E72303">
        <w:t xml:space="preserve"> </w:t>
      </w:r>
      <w:r w:rsidR="00743106" w:rsidRPr="00E72303">
        <w:t>optimum</w:t>
      </w:r>
      <w:r w:rsidR="00941F35" w:rsidRPr="00E72303">
        <w:t xml:space="preserve"> </w:t>
      </w:r>
      <w:r w:rsidR="00B8235B" w:rsidRPr="00E72303">
        <w:t xml:space="preserve">number of fusion records for each variable combination was selected. </w:t>
      </w:r>
      <w:r w:rsidR="00707A42" w:rsidRPr="00E72303">
        <w:t xml:space="preserve">The model LL </w:t>
      </w:r>
      <w:r w:rsidR="004F7D03" w:rsidRPr="00E72303">
        <w:t xml:space="preserve">improvements </w:t>
      </w:r>
      <m:oMath>
        <m:r>
          <w:rPr>
            <w:rFonts w:ascii="Cambria Math" w:hAnsi="Cambria Math"/>
          </w:rPr>
          <m:t>(=</m:t>
        </m:r>
        <m:sSub>
          <m:sSubPr>
            <m:ctrlPr>
              <w:rPr>
                <w:rFonts w:ascii="Cambria Math" w:hAnsi="Cambria Math"/>
                <w:i/>
              </w:rPr>
            </m:ctrlPr>
          </m:sSubPr>
          <m:e>
            <m:r>
              <w:rPr>
                <w:rFonts w:ascii="Cambria Math" w:hAnsi="Cambria Math"/>
              </w:rPr>
              <m:t>LL</m:t>
            </m:r>
          </m:e>
          <m:sub>
            <m:r>
              <w:rPr>
                <w:rFonts w:ascii="Cambria Math" w:hAnsi="Cambria Math"/>
              </w:rPr>
              <m:t>Fusion model</m:t>
            </m:r>
          </m:sub>
        </m:sSub>
        <m:r>
          <w:rPr>
            <w:rFonts w:ascii="Cambria Math" w:hAnsi="Cambria Math"/>
          </w:rPr>
          <m:t>-</m:t>
        </m:r>
        <m:sSub>
          <m:sSubPr>
            <m:ctrlPr>
              <w:rPr>
                <w:rFonts w:ascii="Cambria Math" w:hAnsi="Cambria Math"/>
                <w:i/>
              </w:rPr>
            </m:ctrlPr>
          </m:sSubPr>
          <m:e>
            <m:r>
              <w:rPr>
                <w:rFonts w:ascii="Cambria Math" w:hAnsi="Cambria Math"/>
              </w:rPr>
              <m:t>LL</m:t>
            </m:r>
          </m:e>
          <m:sub>
            <m:r>
              <w:rPr>
                <w:rFonts w:ascii="Cambria Math" w:hAnsi="Cambria Math"/>
              </w:rPr>
              <m:t>MaritzCX only model</m:t>
            </m:r>
          </m:sub>
        </m:sSub>
        <m:r>
          <w:rPr>
            <w:rFonts w:ascii="Cambria Math" w:hAnsi="Cambria Math"/>
          </w:rPr>
          <m:t>)</m:t>
        </m:r>
      </m:oMath>
      <w:r w:rsidR="00707A42" w:rsidRPr="00E72303">
        <w:t xml:space="preserve"> for </w:t>
      </w:r>
      <w:r w:rsidR="00240B51" w:rsidRPr="00E72303">
        <w:t>different variable</w:t>
      </w:r>
      <w:r w:rsidR="00707A42" w:rsidRPr="00E72303">
        <w:t xml:space="preserve"> combinations and different number of fusion records are presented in Table </w:t>
      </w:r>
      <w:r w:rsidR="00B60DD0" w:rsidRPr="00E72303">
        <w:t>2</w:t>
      </w:r>
      <w:r w:rsidR="00707A42" w:rsidRPr="00E72303">
        <w:t>.</w:t>
      </w:r>
      <w:r w:rsidR="000E058A" w:rsidRPr="00E72303">
        <w:t xml:space="preserve"> The reader </w:t>
      </w:r>
      <w:r w:rsidR="00302482" w:rsidRPr="00E72303">
        <w:t>will</w:t>
      </w:r>
      <w:r w:rsidR="000E058A" w:rsidRPr="00E72303">
        <w:t xml:space="preserve"> note that, with the increase of </w:t>
      </w:r>
      <w:r w:rsidR="0043594E" w:rsidRPr="00E72303">
        <w:t xml:space="preserve">the </w:t>
      </w:r>
      <w:r w:rsidR="000E058A" w:rsidRPr="00E72303">
        <w:t>number of fusion records</w:t>
      </w:r>
      <w:r w:rsidR="008F4EDE" w:rsidRPr="00E72303">
        <w:t>,</w:t>
      </w:r>
      <w:r w:rsidR="000E058A" w:rsidRPr="00E72303">
        <w:t xml:space="preserve"> the sample size of the dataset </w:t>
      </w:r>
      <w:r w:rsidR="0043594E" w:rsidRPr="00E72303">
        <w:t xml:space="preserve">also </w:t>
      </w:r>
      <w:r w:rsidR="000E058A" w:rsidRPr="00E72303">
        <w:t xml:space="preserve">increases. However, the inclusion of the weight variable ensures that, the total number of cases </w:t>
      </w:r>
      <w:r w:rsidR="008F4EDE" w:rsidRPr="00E72303">
        <w:t>of</w:t>
      </w:r>
      <w:r w:rsidR="000E058A" w:rsidRPr="00E72303">
        <w:t xml:space="preserve"> the fused dataset is equivalent to the total number of cases of the </w:t>
      </w:r>
      <w:proofErr w:type="spellStart"/>
      <w:r w:rsidR="000E058A" w:rsidRPr="00E72303">
        <w:t>MaritzCX</w:t>
      </w:r>
      <w:proofErr w:type="spellEnd"/>
      <w:r w:rsidR="000E058A" w:rsidRPr="00E72303">
        <w:t xml:space="preserve"> only data.</w:t>
      </w:r>
      <w:r w:rsidR="00476049" w:rsidRPr="00E72303">
        <w:t xml:space="preserve"> </w:t>
      </w:r>
      <w:r w:rsidR="00110F13" w:rsidRPr="00E72303">
        <w:rPr>
          <w:i/>
          <w:iCs/>
        </w:rPr>
        <w:t>In</w:t>
      </w:r>
      <w:r w:rsidR="00EB5B88" w:rsidRPr="00E72303">
        <w:rPr>
          <w:i/>
          <w:iCs/>
        </w:rPr>
        <w:t xml:space="preserve"> the fourth</w:t>
      </w:r>
      <w:r w:rsidR="00EB5B88" w:rsidRPr="00E72303">
        <w:t xml:space="preserve"> </w:t>
      </w:r>
      <w:r w:rsidR="00110F13" w:rsidRPr="00E72303">
        <w:t>step</w:t>
      </w:r>
      <w:r w:rsidR="00EB5B88" w:rsidRPr="00E72303">
        <w:t xml:space="preserve">, the </w:t>
      </w:r>
      <w:r w:rsidR="00D97615" w:rsidRPr="00E72303">
        <w:t>selected</w:t>
      </w:r>
      <w:r w:rsidR="00EB5B88" w:rsidRPr="00E72303">
        <w:t xml:space="preserve"> models for all variable combinations were compared, and the optimum </w:t>
      </w:r>
      <w:r w:rsidR="00B87BB9" w:rsidRPr="00E72303">
        <w:t>combination</w:t>
      </w:r>
      <w:r w:rsidR="00EB5B88" w:rsidRPr="00E72303">
        <w:t xml:space="preserve"> was selected. Figure 6 shows the </w:t>
      </w:r>
      <w:r w:rsidR="005038B5" w:rsidRPr="00E72303">
        <w:t xml:space="preserve">LL </w:t>
      </w:r>
      <w:r w:rsidR="00EB5B88" w:rsidRPr="00E72303">
        <w:t xml:space="preserve">improvement for different variable combinations. It is noticeable that for the combination </w:t>
      </w:r>
      <w:r w:rsidR="005038B5" w:rsidRPr="00E72303">
        <w:t xml:space="preserve">of </w:t>
      </w:r>
      <w:r w:rsidR="00EB5B88" w:rsidRPr="00E72303">
        <w:t xml:space="preserve">income and location the </w:t>
      </w:r>
      <w:r w:rsidR="005038B5" w:rsidRPr="00E72303">
        <w:t xml:space="preserve">LL </w:t>
      </w:r>
      <w:r w:rsidR="00EB5B88" w:rsidRPr="00E72303">
        <w:t>improvement is the highest. Therefore, this combination was selected as the optimum final combination.</w:t>
      </w:r>
      <w:r w:rsidR="000A3EB1" w:rsidRPr="00E72303">
        <w:t xml:space="preserve"> Figure 6 also shows the optimum number of fusion records for the combination income and location. It is noticeable that, after fusion size = 15, the LL value does not change significantly. Further, increasing the number of fusion records requires increased computational time. Considering the insignificant </w:t>
      </w:r>
      <w:r w:rsidR="005038B5" w:rsidRPr="00E72303">
        <w:t>improvement</w:t>
      </w:r>
      <w:r w:rsidR="000A3EB1" w:rsidRPr="00E72303">
        <w:t xml:space="preserve"> in LL and computational time, the optimum number of fusion records was finalized as 15. Therefore, </w:t>
      </w:r>
      <w:bookmarkStart w:id="5" w:name="_Hlk110280376"/>
      <w:r w:rsidR="000A3EB1" w:rsidRPr="00E72303">
        <w:t xml:space="preserve">the proposed model framework was estimated fusing 15 NHTS records to each </w:t>
      </w:r>
      <w:proofErr w:type="spellStart"/>
      <w:r w:rsidR="000A3EB1" w:rsidRPr="00E72303">
        <w:t>MaritzCX</w:t>
      </w:r>
      <w:proofErr w:type="spellEnd"/>
      <w:r w:rsidR="000A3EB1" w:rsidRPr="00E72303">
        <w:t xml:space="preserve"> record based on income, and location combination.</w:t>
      </w:r>
      <w:bookmarkEnd w:id="5"/>
      <w:r w:rsidR="0003477B" w:rsidRPr="00E72303">
        <w:t xml:space="preserve"> The reader would note that the development of the fused dataset does not impose any sample size restrictions on the model estimation. Further, the fused dataset will be selected for adoption only if the fused variables (newly added variables) improve the model fit for the dependent variable. </w:t>
      </w:r>
      <w:r w:rsidR="000A3EB1" w:rsidRPr="00E72303">
        <w:t xml:space="preserve"> </w:t>
      </w:r>
    </w:p>
    <w:p w14:paraId="349FA025" w14:textId="77777777" w:rsidR="00DA5FF9" w:rsidRPr="00E72303" w:rsidRDefault="00DA5FF9" w:rsidP="00DA5FF9">
      <w:pPr>
        <w:ind w:firstLine="0"/>
      </w:pPr>
    </w:p>
    <w:p w14:paraId="54D80146" w14:textId="696CE83C" w:rsidR="00534B82" w:rsidRPr="00E72303" w:rsidRDefault="00534B82" w:rsidP="007B178E">
      <w:pPr>
        <w:pStyle w:val="1stParagraph"/>
        <w:rPr>
          <w:b/>
          <w:bCs/>
        </w:rPr>
      </w:pPr>
      <w:r w:rsidRPr="00E72303">
        <w:rPr>
          <w:b/>
          <w:bCs/>
        </w:rPr>
        <w:lastRenderedPageBreak/>
        <w:t xml:space="preserve">Table </w:t>
      </w:r>
      <w:r w:rsidR="00B60DD0" w:rsidRPr="00E72303">
        <w:rPr>
          <w:b/>
          <w:bCs/>
        </w:rPr>
        <w:t>2</w:t>
      </w:r>
      <w:r w:rsidRPr="00E72303">
        <w:rPr>
          <w:b/>
          <w:bCs/>
        </w:rPr>
        <w:t>: Log-likelihood improvements of different models</w:t>
      </w:r>
    </w:p>
    <w:tbl>
      <w:tblPr>
        <w:tblStyle w:val="TableGrid"/>
        <w:tblW w:w="0" w:type="auto"/>
        <w:tblLook w:val="04A0" w:firstRow="1" w:lastRow="0" w:firstColumn="1" w:lastColumn="0" w:noHBand="0" w:noVBand="1"/>
      </w:tblPr>
      <w:tblGrid>
        <w:gridCol w:w="2335"/>
        <w:gridCol w:w="900"/>
        <w:gridCol w:w="955"/>
        <w:gridCol w:w="860"/>
        <w:gridCol w:w="860"/>
        <w:gridCol w:w="860"/>
        <w:gridCol w:w="860"/>
        <w:gridCol w:w="860"/>
        <w:gridCol w:w="860"/>
      </w:tblGrid>
      <w:tr w:rsidR="00E72303" w:rsidRPr="00E72303" w14:paraId="5B6AB226" w14:textId="77777777" w:rsidTr="00E4728E">
        <w:trPr>
          <w:trHeight w:val="288"/>
        </w:trPr>
        <w:tc>
          <w:tcPr>
            <w:tcW w:w="2335" w:type="dxa"/>
            <w:vMerge w:val="restart"/>
            <w:noWrap/>
            <w:vAlign w:val="center"/>
            <w:hideMark/>
          </w:tcPr>
          <w:p w14:paraId="648ADBCF" w14:textId="77777777" w:rsidR="00E4728E" w:rsidRPr="00E72303" w:rsidRDefault="00E4728E" w:rsidP="007B178E">
            <w:pPr>
              <w:ind w:firstLine="0"/>
              <w:jc w:val="left"/>
              <w:rPr>
                <w:rFonts w:cs="Times New Roman"/>
                <w:b/>
                <w:bCs/>
                <w:szCs w:val="24"/>
              </w:rPr>
            </w:pPr>
            <w:r w:rsidRPr="00E72303">
              <w:rPr>
                <w:rFonts w:cs="Times New Roman"/>
                <w:b/>
                <w:bCs/>
                <w:szCs w:val="24"/>
              </w:rPr>
              <w:t>Variable combination</w:t>
            </w:r>
          </w:p>
        </w:tc>
        <w:tc>
          <w:tcPr>
            <w:tcW w:w="7015" w:type="dxa"/>
            <w:gridSpan w:val="8"/>
            <w:noWrap/>
            <w:vAlign w:val="center"/>
            <w:hideMark/>
          </w:tcPr>
          <w:p w14:paraId="3E1F8CD6" w14:textId="77777777" w:rsidR="00E4728E" w:rsidRPr="00E72303" w:rsidRDefault="00E4728E" w:rsidP="007B178E">
            <w:pPr>
              <w:ind w:firstLine="0"/>
              <w:jc w:val="center"/>
              <w:rPr>
                <w:rFonts w:cs="Times New Roman"/>
                <w:b/>
                <w:bCs/>
                <w:szCs w:val="24"/>
              </w:rPr>
            </w:pPr>
            <w:r w:rsidRPr="00E72303">
              <w:rPr>
                <w:rFonts w:cs="Times New Roman"/>
                <w:b/>
                <w:bCs/>
                <w:szCs w:val="24"/>
              </w:rPr>
              <w:t>Number of fusion records</w:t>
            </w:r>
          </w:p>
        </w:tc>
      </w:tr>
      <w:tr w:rsidR="00E72303" w:rsidRPr="00E72303" w14:paraId="6EFC2631" w14:textId="77777777" w:rsidTr="00E4728E">
        <w:trPr>
          <w:trHeight w:val="288"/>
        </w:trPr>
        <w:tc>
          <w:tcPr>
            <w:tcW w:w="2335" w:type="dxa"/>
            <w:vMerge/>
            <w:noWrap/>
            <w:vAlign w:val="center"/>
            <w:hideMark/>
          </w:tcPr>
          <w:p w14:paraId="274155CA" w14:textId="77777777" w:rsidR="00E4728E" w:rsidRPr="00E72303" w:rsidRDefault="00E4728E" w:rsidP="007B178E">
            <w:pPr>
              <w:jc w:val="left"/>
              <w:rPr>
                <w:rFonts w:cs="Times New Roman"/>
                <w:b/>
                <w:bCs/>
                <w:szCs w:val="24"/>
              </w:rPr>
            </w:pPr>
          </w:p>
        </w:tc>
        <w:tc>
          <w:tcPr>
            <w:tcW w:w="900" w:type="dxa"/>
            <w:noWrap/>
            <w:vAlign w:val="center"/>
            <w:hideMark/>
          </w:tcPr>
          <w:p w14:paraId="1084F523" w14:textId="77777777" w:rsidR="00E4728E" w:rsidRPr="00E72303" w:rsidRDefault="00E4728E" w:rsidP="007B178E">
            <w:pPr>
              <w:ind w:firstLine="0"/>
              <w:jc w:val="center"/>
              <w:rPr>
                <w:rFonts w:cs="Times New Roman"/>
                <w:b/>
                <w:bCs/>
                <w:szCs w:val="24"/>
              </w:rPr>
            </w:pPr>
            <w:r w:rsidRPr="00E72303">
              <w:rPr>
                <w:rFonts w:cs="Times New Roman"/>
                <w:b/>
                <w:bCs/>
                <w:szCs w:val="24"/>
              </w:rPr>
              <w:t>1</w:t>
            </w:r>
          </w:p>
        </w:tc>
        <w:tc>
          <w:tcPr>
            <w:tcW w:w="955" w:type="dxa"/>
            <w:noWrap/>
            <w:vAlign w:val="center"/>
            <w:hideMark/>
          </w:tcPr>
          <w:p w14:paraId="57BCEF85" w14:textId="77777777" w:rsidR="00E4728E" w:rsidRPr="00E72303" w:rsidRDefault="00E4728E" w:rsidP="007B178E">
            <w:pPr>
              <w:ind w:firstLine="0"/>
              <w:jc w:val="center"/>
              <w:rPr>
                <w:rFonts w:cs="Times New Roman"/>
                <w:b/>
                <w:bCs/>
                <w:szCs w:val="24"/>
              </w:rPr>
            </w:pPr>
            <w:r w:rsidRPr="00E72303">
              <w:rPr>
                <w:rFonts w:cs="Times New Roman"/>
                <w:b/>
                <w:bCs/>
                <w:szCs w:val="24"/>
              </w:rPr>
              <w:t>5</w:t>
            </w:r>
          </w:p>
        </w:tc>
        <w:tc>
          <w:tcPr>
            <w:tcW w:w="860" w:type="dxa"/>
            <w:noWrap/>
            <w:vAlign w:val="center"/>
            <w:hideMark/>
          </w:tcPr>
          <w:p w14:paraId="063D96D0" w14:textId="77777777" w:rsidR="00E4728E" w:rsidRPr="00E72303" w:rsidRDefault="00E4728E" w:rsidP="007B178E">
            <w:pPr>
              <w:ind w:firstLine="0"/>
              <w:jc w:val="center"/>
              <w:rPr>
                <w:rFonts w:cs="Times New Roman"/>
                <w:b/>
                <w:bCs/>
                <w:szCs w:val="24"/>
              </w:rPr>
            </w:pPr>
            <w:r w:rsidRPr="00E72303">
              <w:rPr>
                <w:rFonts w:cs="Times New Roman"/>
                <w:b/>
                <w:bCs/>
                <w:szCs w:val="24"/>
              </w:rPr>
              <w:t>10</w:t>
            </w:r>
          </w:p>
        </w:tc>
        <w:tc>
          <w:tcPr>
            <w:tcW w:w="860" w:type="dxa"/>
            <w:noWrap/>
            <w:vAlign w:val="center"/>
            <w:hideMark/>
          </w:tcPr>
          <w:p w14:paraId="03CF66B5" w14:textId="77777777" w:rsidR="00E4728E" w:rsidRPr="00E72303" w:rsidRDefault="00E4728E" w:rsidP="007B178E">
            <w:pPr>
              <w:ind w:firstLine="0"/>
              <w:jc w:val="center"/>
              <w:rPr>
                <w:rFonts w:cs="Times New Roman"/>
                <w:b/>
                <w:bCs/>
                <w:szCs w:val="24"/>
              </w:rPr>
            </w:pPr>
            <w:r w:rsidRPr="00E72303">
              <w:rPr>
                <w:rFonts w:cs="Times New Roman"/>
                <w:b/>
                <w:bCs/>
                <w:szCs w:val="24"/>
              </w:rPr>
              <w:t>15</w:t>
            </w:r>
          </w:p>
        </w:tc>
        <w:tc>
          <w:tcPr>
            <w:tcW w:w="860" w:type="dxa"/>
            <w:noWrap/>
            <w:vAlign w:val="center"/>
            <w:hideMark/>
          </w:tcPr>
          <w:p w14:paraId="46A3E99F" w14:textId="77777777" w:rsidR="00E4728E" w:rsidRPr="00E72303" w:rsidRDefault="00E4728E" w:rsidP="007B178E">
            <w:pPr>
              <w:ind w:firstLine="0"/>
              <w:jc w:val="center"/>
              <w:rPr>
                <w:rFonts w:cs="Times New Roman"/>
                <w:b/>
                <w:bCs/>
                <w:szCs w:val="24"/>
              </w:rPr>
            </w:pPr>
            <w:r w:rsidRPr="00E72303">
              <w:rPr>
                <w:rFonts w:cs="Times New Roman"/>
                <w:b/>
                <w:bCs/>
                <w:szCs w:val="24"/>
              </w:rPr>
              <w:t>20</w:t>
            </w:r>
          </w:p>
        </w:tc>
        <w:tc>
          <w:tcPr>
            <w:tcW w:w="860" w:type="dxa"/>
            <w:noWrap/>
            <w:vAlign w:val="center"/>
            <w:hideMark/>
          </w:tcPr>
          <w:p w14:paraId="194657A0" w14:textId="77777777" w:rsidR="00E4728E" w:rsidRPr="00E72303" w:rsidRDefault="00E4728E" w:rsidP="007B178E">
            <w:pPr>
              <w:ind w:firstLine="0"/>
              <w:jc w:val="center"/>
              <w:rPr>
                <w:rFonts w:cs="Times New Roman"/>
                <w:b/>
                <w:bCs/>
                <w:szCs w:val="24"/>
              </w:rPr>
            </w:pPr>
            <w:r w:rsidRPr="00E72303">
              <w:rPr>
                <w:rFonts w:cs="Times New Roman"/>
                <w:b/>
                <w:bCs/>
                <w:szCs w:val="24"/>
              </w:rPr>
              <w:t>25</w:t>
            </w:r>
          </w:p>
        </w:tc>
        <w:tc>
          <w:tcPr>
            <w:tcW w:w="860" w:type="dxa"/>
            <w:noWrap/>
            <w:vAlign w:val="center"/>
            <w:hideMark/>
          </w:tcPr>
          <w:p w14:paraId="3A9C46F4" w14:textId="77777777" w:rsidR="00E4728E" w:rsidRPr="00E72303" w:rsidRDefault="00E4728E" w:rsidP="007B178E">
            <w:pPr>
              <w:ind w:firstLine="0"/>
              <w:jc w:val="center"/>
              <w:rPr>
                <w:rFonts w:cs="Times New Roman"/>
                <w:b/>
                <w:bCs/>
                <w:szCs w:val="24"/>
              </w:rPr>
            </w:pPr>
            <w:r w:rsidRPr="00E72303">
              <w:rPr>
                <w:rFonts w:cs="Times New Roman"/>
                <w:b/>
                <w:bCs/>
                <w:szCs w:val="24"/>
              </w:rPr>
              <w:t>30</w:t>
            </w:r>
          </w:p>
        </w:tc>
        <w:tc>
          <w:tcPr>
            <w:tcW w:w="860" w:type="dxa"/>
            <w:noWrap/>
            <w:vAlign w:val="center"/>
            <w:hideMark/>
          </w:tcPr>
          <w:p w14:paraId="185AD077" w14:textId="77777777" w:rsidR="00E4728E" w:rsidRPr="00E72303" w:rsidRDefault="00E4728E" w:rsidP="007B178E">
            <w:pPr>
              <w:ind w:firstLine="0"/>
              <w:jc w:val="center"/>
              <w:rPr>
                <w:rFonts w:cs="Times New Roman"/>
                <w:b/>
                <w:bCs/>
                <w:szCs w:val="24"/>
              </w:rPr>
            </w:pPr>
            <w:r w:rsidRPr="00E72303">
              <w:rPr>
                <w:rFonts w:cs="Times New Roman"/>
                <w:b/>
                <w:bCs/>
                <w:szCs w:val="24"/>
              </w:rPr>
              <w:t>35</w:t>
            </w:r>
          </w:p>
        </w:tc>
      </w:tr>
      <w:tr w:rsidR="00E72303" w:rsidRPr="00E72303" w14:paraId="63AABD42" w14:textId="77777777" w:rsidTr="00E4728E">
        <w:trPr>
          <w:trHeight w:val="288"/>
        </w:trPr>
        <w:tc>
          <w:tcPr>
            <w:tcW w:w="2335" w:type="dxa"/>
            <w:noWrap/>
            <w:vAlign w:val="center"/>
            <w:hideMark/>
          </w:tcPr>
          <w:p w14:paraId="19008CF3" w14:textId="77777777" w:rsidR="00E4728E" w:rsidRPr="00E72303" w:rsidRDefault="00E4728E" w:rsidP="007B178E">
            <w:pPr>
              <w:ind w:firstLine="0"/>
              <w:jc w:val="left"/>
              <w:rPr>
                <w:rFonts w:cs="Times New Roman"/>
                <w:szCs w:val="24"/>
              </w:rPr>
            </w:pPr>
            <w:r w:rsidRPr="00E72303">
              <w:rPr>
                <w:rFonts w:cs="Times New Roman"/>
                <w:szCs w:val="24"/>
              </w:rPr>
              <w:t>Age and income</w:t>
            </w:r>
          </w:p>
        </w:tc>
        <w:tc>
          <w:tcPr>
            <w:tcW w:w="900" w:type="dxa"/>
            <w:noWrap/>
            <w:vAlign w:val="center"/>
            <w:hideMark/>
          </w:tcPr>
          <w:p w14:paraId="452C0345" w14:textId="77777777" w:rsidR="00E4728E" w:rsidRPr="00E72303" w:rsidRDefault="00E4728E" w:rsidP="007B178E">
            <w:pPr>
              <w:ind w:firstLine="0"/>
              <w:jc w:val="center"/>
              <w:rPr>
                <w:rFonts w:cs="Times New Roman"/>
                <w:szCs w:val="24"/>
              </w:rPr>
            </w:pPr>
            <w:r w:rsidRPr="00E72303">
              <w:rPr>
                <w:rFonts w:cs="Times New Roman"/>
                <w:szCs w:val="24"/>
              </w:rPr>
              <w:t>6.25</w:t>
            </w:r>
          </w:p>
        </w:tc>
        <w:tc>
          <w:tcPr>
            <w:tcW w:w="955" w:type="dxa"/>
            <w:noWrap/>
            <w:vAlign w:val="center"/>
            <w:hideMark/>
          </w:tcPr>
          <w:p w14:paraId="4486595D" w14:textId="77777777" w:rsidR="00E4728E" w:rsidRPr="00E72303" w:rsidRDefault="00E4728E" w:rsidP="007B178E">
            <w:pPr>
              <w:ind w:firstLine="0"/>
              <w:jc w:val="center"/>
              <w:rPr>
                <w:rFonts w:cs="Times New Roman"/>
                <w:szCs w:val="24"/>
              </w:rPr>
            </w:pPr>
            <w:r w:rsidRPr="00E72303">
              <w:rPr>
                <w:rFonts w:cs="Times New Roman"/>
                <w:szCs w:val="24"/>
              </w:rPr>
              <w:t>19.77</w:t>
            </w:r>
          </w:p>
        </w:tc>
        <w:tc>
          <w:tcPr>
            <w:tcW w:w="860" w:type="dxa"/>
            <w:noWrap/>
            <w:vAlign w:val="center"/>
            <w:hideMark/>
          </w:tcPr>
          <w:p w14:paraId="711F22D1" w14:textId="77777777" w:rsidR="00E4728E" w:rsidRPr="00E72303" w:rsidRDefault="00E4728E" w:rsidP="007B178E">
            <w:pPr>
              <w:ind w:firstLine="0"/>
              <w:jc w:val="center"/>
              <w:rPr>
                <w:rFonts w:cs="Times New Roman"/>
                <w:szCs w:val="24"/>
              </w:rPr>
            </w:pPr>
            <w:r w:rsidRPr="00E72303">
              <w:rPr>
                <w:rFonts w:cs="Times New Roman"/>
                <w:szCs w:val="24"/>
              </w:rPr>
              <w:t>32.60</w:t>
            </w:r>
          </w:p>
        </w:tc>
        <w:tc>
          <w:tcPr>
            <w:tcW w:w="860" w:type="dxa"/>
            <w:noWrap/>
            <w:vAlign w:val="center"/>
            <w:hideMark/>
          </w:tcPr>
          <w:p w14:paraId="5287AA8E" w14:textId="77777777" w:rsidR="00E4728E" w:rsidRPr="00E72303" w:rsidRDefault="00E4728E" w:rsidP="007B178E">
            <w:pPr>
              <w:ind w:firstLine="0"/>
              <w:jc w:val="center"/>
              <w:rPr>
                <w:rFonts w:cs="Times New Roman"/>
                <w:szCs w:val="24"/>
              </w:rPr>
            </w:pPr>
            <w:r w:rsidRPr="00E72303">
              <w:rPr>
                <w:rFonts w:cs="Times New Roman"/>
                <w:szCs w:val="24"/>
              </w:rPr>
              <w:t>55.77</w:t>
            </w:r>
          </w:p>
        </w:tc>
        <w:tc>
          <w:tcPr>
            <w:tcW w:w="860" w:type="dxa"/>
            <w:noWrap/>
            <w:vAlign w:val="center"/>
            <w:hideMark/>
          </w:tcPr>
          <w:p w14:paraId="39A6E287" w14:textId="77777777" w:rsidR="00E4728E" w:rsidRPr="00E72303" w:rsidRDefault="00E4728E" w:rsidP="007B178E">
            <w:pPr>
              <w:ind w:firstLine="0"/>
              <w:jc w:val="center"/>
              <w:rPr>
                <w:rFonts w:cs="Times New Roman"/>
                <w:szCs w:val="24"/>
              </w:rPr>
            </w:pPr>
            <w:r w:rsidRPr="00E72303">
              <w:rPr>
                <w:rFonts w:cs="Times New Roman"/>
                <w:szCs w:val="24"/>
              </w:rPr>
              <w:t>58.69</w:t>
            </w:r>
          </w:p>
        </w:tc>
        <w:tc>
          <w:tcPr>
            <w:tcW w:w="860" w:type="dxa"/>
            <w:noWrap/>
            <w:vAlign w:val="center"/>
            <w:hideMark/>
          </w:tcPr>
          <w:p w14:paraId="524D1FD2" w14:textId="77777777" w:rsidR="00E4728E" w:rsidRPr="00E72303" w:rsidRDefault="00E4728E" w:rsidP="007B178E">
            <w:pPr>
              <w:ind w:firstLine="0"/>
              <w:jc w:val="center"/>
              <w:rPr>
                <w:rFonts w:cs="Times New Roman"/>
                <w:szCs w:val="24"/>
              </w:rPr>
            </w:pPr>
            <w:r w:rsidRPr="00E72303">
              <w:rPr>
                <w:rFonts w:cs="Times New Roman"/>
                <w:szCs w:val="24"/>
              </w:rPr>
              <w:t>59.59</w:t>
            </w:r>
          </w:p>
        </w:tc>
        <w:tc>
          <w:tcPr>
            <w:tcW w:w="860" w:type="dxa"/>
            <w:noWrap/>
            <w:vAlign w:val="center"/>
            <w:hideMark/>
          </w:tcPr>
          <w:p w14:paraId="73CA9FC4" w14:textId="335951BB" w:rsidR="00E4728E" w:rsidRPr="00E72303" w:rsidRDefault="00E4728E" w:rsidP="007B178E">
            <w:pPr>
              <w:ind w:firstLine="0"/>
              <w:jc w:val="center"/>
              <w:rPr>
                <w:rFonts w:cs="Times New Roman"/>
                <w:b/>
                <w:bCs/>
                <w:szCs w:val="24"/>
              </w:rPr>
            </w:pPr>
            <w:r w:rsidRPr="00E72303">
              <w:rPr>
                <w:rFonts w:cs="Times New Roman"/>
                <w:b/>
                <w:bCs/>
                <w:szCs w:val="24"/>
              </w:rPr>
              <w:t>64.92</w:t>
            </w:r>
          </w:p>
        </w:tc>
        <w:tc>
          <w:tcPr>
            <w:tcW w:w="860" w:type="dxa"/>
            <w:noWrap/>
            <w:vAlign w:val="center"/>
            <w:hideMark/>
          </w:tcPr>
          <w:p w14:paraId="3F60124C" w14:textId="77777777" w:rsidR="00E4728E" w:rsidRPr="00E72303" w:rsidRDefault="00E4728E" w:rsidP="007B178E">
            <w:pPr>
              <w:ind w:firstLine="0"/>
              <w:jc w:val="center"/>
              <w:rPr>
                <w:rFonts w:cs="Times New Roman"/>
                <w:szCs w:val="24"/>
              </w:rPr>
            </w:pPr>
            <w:r w:rsidRPr="00E72303">
              <w:rPr>
                <w:rFonts w:cs="Times New Roman"/>
                <w:szCs w:val="24"/>
              </w:rPr>
              <w:t>65.80</w:t>
            </w:r>
          </w:p>
        </w:tc>
      </w:tr>
      <w:tr w:rsidR="00E72303" w:rsidRPr="00E72303" w14:paraId="495E2222" w14:textId="77777777" w:rsidTr="00E4728E">
        <w:trPr>
          <w:trHeight w:val="288"/>
        </w:trPr>
        <w:tc>
          <w:tcPr>
            <w:tcW w:w="2335" w:type="dxa"/>
            <w:noWrap/>
            <w:vAlign w:val="center"/>
          </w:tcPr>
          <w:p w14:paraId="2E880D59" w14:textId="6A7DBFA8" w:rsidR="009229CE" w:rsidRPr="00E72303" w:rsidRDefault="009229CE" w:rsidP="009229CE">
            <w:pPr>
              <w:ind w:firstLine="0"/>
              <w:jc w:val="left"/>
              <w:rPr>
                <w:rFonts w:cs="Times New Roman"/>
                <w:szCs w:val="24"/>
              </w:rPr>
            </w:pPr>
            <w:r w:rsidRPr="00E72303">
              <w:rPr>
                <w:rFonts w:cs="Times New Roman"/>
                <w:szCs w:val="24"/>
              </w:rPr>
              <w:t>Age and location</w:t>
            </w:r>
          </w:p>
        </w:tc>
        <w:tc>
          <w:tcPr>
            <w:tcW w:w="900" w:type="dxa"/>
            <w:noWrap/>
            <w:vAlign w:val="center"/>
          </w:tcPr>
          <w:p w14:paraId="3474EDBE" w14:textId="752E73AF" w:rsidR="009229CE" w:rsidRPr="00E72303" w:rsidRDefault="009229CE" w:rsidP="009229CE">
            <w:pPr>
              <w:ind w:firstLine="0"/>
              <w:jc w:val="center"/>
              <w:rPr>
                <w:rFonts w:cs="Times New Roman"/>
                <w:szCs w:val="24"/>
              </w:rPr>
            </w:pPr>
            <w:r w:rsidRPr="00E72303">
              <w:rPr>
                <w:rFonts w:cs="Times New Roman"/>
                <w:szCs w:val="24"/>
              </w:rPr>
              <w:t>1.81</w:t>
            </w:r>
          </w:p>
        </w:tc>
        <w:tc>
          <w:tcPr>
            <w:tcW w:w="955" w:type="dxa"/>
            <w:noWrap/>
            <w:vAlign w:val="center"/>
          </w:tcPr>
          <w:p w14:paraId="04D166C5" w14:textId="1218F0BF" w:rsidR="009229CE" w:rsidRPr="00E72303" w:rsidRDefault="009229CE" w:rsidP="009229CE">
            <w:pPr>
              <w:ind w:firstLine="0"/>
              <w:jc w:val="center"/>
              <w:rPr>
                <w:rFonts w:cs="Times New Roman"/>
                <w:szCs w:val="24"/>
              </w:rPr>
            </w:pPr>
            <w:r w:rsidRPr="00E72303">
              <w:rPr>
                <w:rFonts w:cs="Times New Roman"/>
                <w:szCs w:val="24"/>
              </w:rPr>
              <w:t>3.89</w:t>
            </w:r>
          </w:p>
        </w:tc>
        <w:tc>
          <w:tcPr>
            <w:tcW w:w="860" w:type="dxa"/>
            <w:noWrap/>
            <w:vAlign w:val="center"/>
          </w:tcPr>
          <w:p w14:paraId="706057C0" w14:textId="61D87FB7" w:rsidR="009229CE" w:rsidRPr="00E72303" w:rsidRDefault="009229CE" w:rsidP="009229CE">
            <w:pPr>
              <w:ind w:firstLine="0"/>
              <w:jc w:val="center"/>
              <w:rPr>
                <w:rFonts w:cs="Times New Roman"/>
                <w:szCs w:val="24"/>
              </w:rPr>
            </w:pPr>
            <w:r w:rsidRPr="00E72303">
              <w:rPr>
                <w:rFonts w:cs="Times New Roman"/>
                <w:szCs w:val="24"/>
              </w:rPr>
              <w:t>7.01</w:t>
            </w:r>
          </w:p>
        </w:tc>
        <w:tc>
          <w:tcPr>
            <w:tcW w:w="860" w:type="dxa"/>
            <w:noWrap/>
            <w:vAlign w:val="center"/>
          </w:tcPr>
          <w:p w14:paraId="3B1345D4" w14:textId="49A86F63" w:rsidR="009229CE" w:rsidRPr="00E72303" w:rsidRDefault="009229CE" w:rsidP="009229CE">
            <w:pPr>
              <w:ind w:firstLine="0"/>
              <w:jc w:val="center"/>
              <w:rPr>
                <w:rFonts w:cs="Times New Roman"/>
                <w:szCs w:val="24"/>
              </w:rPr>
            </w:pPr>
            <w:r w:rsidRPr="00E72303">
              <w:rPr>
                <w:rFonts w:cs="Times New Roman"/>
                <w:szCs w:val="24"/>
              </w:rPr>
              <w:t>7.60</w:t>
            </w:r>
          </w:p>
        </w:tc>
        <w:tc>
          <w:tcPr>
            <w:tcW w:w="860" w:type="dxa"/>
            <w:noWrap/>
            <w:vAlign w:val="center"/>
          </w:tcPr>
          <w:p w14:paraId="6D6AB133" w14:textId="5DC615FC" w:rsidR="009229CE" w:rsidRPr="00E72303" w:rsidRDefault="009229CE" w:rsidP="009229CE">
            <w:pPr>
              <w:ind w:firstLine="0"/>
              <w:jc w:val="center"/>
              <w:rPr>
                <w:rFonts w:cs="Times New Roman"/>
                <w:szCs w:val="24"/>
              </w:rPr>
            </w:pPr>
            <w:r w:rsidRPr="00E72303">
              <w:rPr>
                <w:rFonts w:cs="Times New Roman"/>
                <w:szCs w:val="24"/>
              </w:rPr>
              <w:t>10.95</w:t>
            </w:r>
          </w:p>
        </w:tc>
        <w:tc>
          <w:tcPr>
            <w:tcW w:w="860" w:type="dxa"/>
            <w:noWrap/>
            <w:vAlign w:val="center"/>
          </w:tcPr>
          <w:p w14:paraId="311CF3E7" w14:textId="13464967" w:rsidR="009229CE" w:rsidRPr="00E72303" w:rsidRDefault="009229CE" w:rsidP="009229CE">
            <w:pPr>
              <w:ind w:firstLine="0"/>
              <w:jc w:val="center"/>
              <w:rPr>
                <w:rFonts w:cs="Times New Roman"/>
                <w:szCs w:val="24"/>
              </w:rPr>
            </w:pPr>
            <w:r w:rsidRPr="00E72303">
              <w:rPr>
                <w:rFonts w:cs="Times New Roman"/>
                <w:b/>
                <w:bCs/>
                <w:szCs w:val="24"/>
              </w:rPr>
              <w:t>12.56</w:t>
            </w:r>
          </w:p>
        </w:tc>
        <w:tc>
          <w:tcPr>
            <w:tcW w:w="860" w:type="dxa"/>
            <w:noWrap/>
            <w:vAlign w:val="center"/>
          </w:tcPr>
          <w:p w14:paraId="3EC5C0DB" w14:textId="0A7ABAA1" w:rsidR="009229CE" w:rsidRPr="00E72303" w:rsidRDefault="009229CE" w:rsidP="009229CE">
            <w:pPr>
              <w:ind w:firstLine="0"/>
              <w:jc w:val="center"/>
              <w:rPr>
                <w:rFonts w:cs="Times New Roman"/>
                <w:b/>
                <w:bCs/>
                <w:szCs w:val="24"/>
              </w:rPr>
            </w:pPr>
            <w:r w:rsidRPr="00E72303">
              <w:rPr>
                <w:rFonts w:cs="Times New Roman"/>
                <w:szCs w:val="24"/>
              </w:rPr>
              <w:t>12.09</w:t>
            </w:r>
          </w:p>
        </w:tc>
        <w:tc>
          <w:tcPr>
            <w:tcW w:w="860" w:type="dxa"/>
            <w:noWrap/>
            <w:vAlign w:val="center"/>
          </w:tcPr>
          <w:p w14:paraId="43846687" w14:textId="21566D89" w:rsidR="009229CE" w:rsidRPr="00E72303" w:rsidRDefault="009229CE" w:rsidP="009229CE">
            <w:pPr>
              <w:ind w:firstLine="0"/>
              <w:jc w:val="center"/>
              <w:rPr>
                <w:rFonts w:cs="Times New Roman"/>
                <w:szCs w:val="24"/>
              </w:rPr>
            </w:pPr>
            <w:r w:rsidRPr="00E72303">
              <w:rPr>
                <w:rFonts w:cs="Times New Roman"/>
                <w:szCs w:val="24"/>
              </w:rPr>
              <w:t>---</w:t>
            </w:r>
          </w:p>
        </w:tc>
      </w:tr>
      <w:tr w:rsidR="00E72303" w:rsidRPr="00E72303" w14:paraId="2F7BD8C8" w14:textId="77777777" w:rsidTr="00E4728E">
        <w:trPr>
          <w:trHeight w:val="288"/>
        </w:trPr>
        <w:tc>
          <w:tcPr>
            <w:tcW w:w="2335" w:type="dxa"/>
            <w:noWrap/>
            <w:vAlign w:val="center"/>
          </w:tcPr>
          <w:p w14:paraId="4C68606E" w14:textId="5CD6FF0D" w:rsidR="009229CE" w:rsidRPr="00E72303" w:rsidRDefault="009229CE" w:rsidP="009229CE">
            <w:pPr>
              <w:ind w:firstLine="0"/>
              <w:jc w:val="left"/>
              <w:rPr>
                <w:rFonts w:cs="Times New Roman"/>
                <w:szCs w:val="24"/>
              </w:rPr>
            </w:pPr>
            <w:r w:rsidRPr="00E72303">
              <w:rPr>
                <w:rFonts w:cs="Times New Roman"/>
                <w:szCs w:val="24"/>
              </w:rPr>
              <w:t>Age and state</w:t>
            </w:r>
          </w:p>
        </w:tc>
        <w:tc>
          <w:tcPr>
            <w:tcW w:w="900" w:type="dxa"/>
            <w:noWrap/>
            <w:vAlign w:val="center"/>
          </w:tcPr>
          <w:p w14:paraId="5B484289" w14:textId="3F036CA4" w:rsidR="009229CE" w:rsidRPr="00E72303" w:rsidRDefault="009229CE" w:rsidP="009229CE">
            <w:pPr>
              <w:ind w:firstLine="0"/>
              <w:jc w:val="center"/>
              <w:rPr>
                <w:rFonts w:cs="Times New Roman"/>
                <w:szCs w:val="24"/>
              </w:rPr>
            </w:pPr>
            <w:r w:rsidRPr="00E72303">
              <w:rPr>
                <w:b/>
                <w:bCs/>
                <w:szCs w:val="24"/>
              </w:rPr>
              <w:t>13.36</w:t>
            </w:r>
          </w:p>
        </w:tc>
        <w:tc>
          <w:tcPr>
            <w:tcW w:w="955" w:type="dxa"/>
            <w:noWrap/>
            <w:vAlign w:val="center"/>
          </w:tcPr>
          <w:p w14:paraId="7E2D7528" w14:textId="016B9E08" w:rsidR="009229CE" w:rsidRPr="00E72303" w:rsidRDefault="009229CE" w:rsidP="009229CE">
            <w:pPr>
              <w:ind w:firstLine="0"/>
              <w:jc w:val="center"/>
              <w:rPr>
                <w:rFonts w:cs="Times New Roman"/>
                <w:szCs w:val="24"/>
              </w:rPr>
            </w:pPr>
            <w:r w:rsidRPr="00E72303">
              <w:rPr>
                <w:szCs w:val="24"/>
              </w:rPr>
              <w:t>13.11</w:t>
            </w:r>
          </w:p>
        </w:tc>
        <w:tc>
          <w:tcPr>
            <w:tcW w:w="860" w:type="dxa"/>
            <w:noWrap/>
            <w:vAlign w:val="center"/>
          </w:tcPr>
          <w:p w14:paraId="30F4753F" w14:textId="189A5334" w:rsidR="009229CE" w:rsidRPr="00E72303" w:rsidRDefault="009229CE" w:rsidP="009229CE">
            <w:pPr>
              <w:ind w:firstLine="0"/>
              <w:jc w:val="center"/>
              <w:rPr>
                <w:rFonts w:cs="Times New Roman"/>
                <w:szCs w:val="24"/>
              </w:rPr>
            </w:pPr>
            <w:r w:rsidRPr="00E72303">
              <w:rPr>
                <w:szCs w:val="24"/>
              </w:rPr>
              <w:t>13.34</w:t>
            </w:r>
          </w:p>
        </w:tc>
        <w:tc>
          <w:tcPr>
            <w:tcW w:w="860" w:type="dxa"/>
            <w:noWrap/>
            <w:vAlign w:val="center"/>
          </w:tcPr>
          <w:p w14:paraId="2D42B327" w14:textId="7376B181" w:rsidR="009229CE" w:rsidRPr="00E72303" w:rsidRDefault="009229CE" w:rsidP="009229CE">
            <w:pPr>
              <w:ind w:firstLine="0"/>
              <w:jc w:val="center"/>
              <w:rPr>
                <w:rFonts w:cs="Times New Roman"/>
                <w:szCs w:val="24"/>
              </w:rPr>
            </w:pPr>
            <w:r w:rsidRPr="00E72303">
              <w:rPr>
                <w:szCs w:val="24"/>
              </w:rPr>
              <w:t>13.56</w:t>
            </w:r>
          </w:p>
        </w:tc>
        <w:tc>
          <w:tcPr>
            <w:tcW w:w="860" w:type="dxa"/>
            <w:noWrap/>
            <w:vAlign w:val="center"/>
          </w:tcPr>
          <w:p w14:paraId="72DF9AA9" w14:textId="2B848F5F" w:rsidR="009229CE" w:rsidRPr="00E72303" w:rsidRDefault="009229CE" w:rsidP="009229CE">
            <w:pPr>
              <w:ind w:firstLine="0"/>
              <w:jc w:val="center"/>
              <w:rPr>
                <w:rFonts w:cs="Times New Roman"/>
                <w:szCs w:val="24"/>
              </w:rPr>
            </w:pPr>
            <w:r w:rsidRPr="00E72303">
              <w:rPr>
                <w:szCs w:val="24"/>
              </w:rPr>
              <w:t>13.89</w:t>
            </w:r>
          </w:p>
        </w:tc>
        <w:tc>
          <w:tcPr>
            <w:tcW w:w="860" w:type="dxa"/>
            <w:noWrap/>
            <w:vAlign w:val="center"/>
          </w:tcPr>
          <w:p w14:paraId="073D27C7" w14:textId="177D0828"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tcPr>
          <w:p w14:paraId="502BC3CD" w14:textId="32AE9570" w:rsidR="009229CE" w:rsidRPr="00E72303" w:rsidRDefault="009229CE" w:rsidP="009229CE">
            <w:pPr>
              <w:ind w:firstLine="0"/>
              <w:jc w:val="center"/>
              <w:rPr>
                <w:rFonts w:cs="Times New Roman"/>
                <w:b/>
                <w:bCs/>
                <w:szCs w:val="24"/>
              </w:rPr>
            </w:pPr>
            <w:r w:rsidRPr="00E72303">
              <w:rPr>
                <w:rFonts w:cs="Times New Roman"/>
                <w:szCs w:val="24"/>
              </w:rPr>
              <w:t>---</w:t>
            </w:r>
          </w:p>
        </w:tc>
        <w:tc>
          <w:tcPr>
            <w:tcW w:w="860" w:type="dxa"/>
            <w:noWrap/>
            <w:vAlign w:val="center"/>
          </w:tcPr>
          <w:p w14:paraId="3A036664" w14:textId="6EA7B849" w:rsidR="009229CE" w:rsidRPr="00E72303" w:rsidRDefault="009229CE" w:rsidP="009229CE">
            <w:pPr>
              <w:ind w:firstLine="0"/>
              <w:jc w:val="center"/>
              <w:rPr>
                <w:rFonts w:cs="Times New Roman"/>
                <w:szCs w:val="24"/>
              </w:rPr>
            </w:pPr>
            <w:r w:rsidRPr="00E72303">
              <w:rPr>
                <w:rFonts w:cs="Times New Roman"/>
                <w:szCs w:val="24"/>
              </w:rPr>
              <w:t>---</w:t>
            </w:r>
          </w:p>
        </w:tc>
      </w:tr>
      <w:tr w:rsidR="00E72303" w:rsidRPr="00E72303" w14:paraId="42EEB514" w14:textId="77777777" w:rsidTr="00E4728E">
        <w:trPr>
          <w:trHeight w:val="288"/>
        </w:trPr>
        <w:tc>
          <w:tcPr>
            <w:tcW w:w="2335" w:type="dxa"/>
            <w:noWrap/>
            <w:vAlign w:val="center"/>
          </w:tcPr>
          <w:p w14:paraId="4976288A" w14:textId="3F44F143" w:rsidR="009229CE" w:rsidRPr="00E72303" w:rsidRDefault="009229CE" w:rsidP="009229CE">
            <w:pPr>
              <w:ind w:firstLine="0"/>
              <w:jc w:val="left"/>
              <w:rPr>
                <w:rFonts w:cs="Times New Roman"/>
                <w:szCs w:val="24"/>
              </w:rPr>
            </w:pPr>
            <w:r w:rsidRPr="00E72303">
              <w:rPr>
                <w:rFonts w:cs="Times New Roman"/>
                <w:szCs w:val="24"/>
              </w:rPr>
              <w:t>Age, income and location</w:t>
            </w:r>
          </w:p>
        </w:tc>
        <w:tc>
          <w:tcPr>
            <w:tcW w:w="900" w:type="dxa"/>
            <w:noWrap/>
            <w:vAlign w:val="center"/>
          </w:tcPr>
          <w:p w14:paraId="54FE052E" w14:textId="52E86198" w:rsidR="009229CE" w:rsidRPr="00E72303" w:rsidRDefault="009229CE" w:rsidP="009229CE">
            <w:pPr>
              <w:ind w:firstLine="0"/>
              <w:jc w:val="center"/>
              <w:rPr>
                <w:b/>
                <w:bCs/>
                <w:szCs w:val="24"/>
              </w:rPr>
            </w:pPr>
            <w:r w:rsidRPr="00E72303">
              <w:rPr>
                <w:rFonts w:cs="Times New Roman"/>
                <w:szCs w:val="24"/>
              </w:rPr>
              <w:t>25.20</w:t>
            </w:r>
          </w:p>
        </w:tc>
        <w:tc>
          <w:tcPr>
            <w:tcW w:w="955" w:type="dxa"/>
            <w:noWrap/>
            <w:vAlign w:val="center"/>
          </w:tcPr>
          <w:p w14:paraId="3019A7C1" w14:textId="37F4DE49" w:rsidR="009229CE" w:rsidRPr="00E72303" w:rsidRDefault="009229CE" w:rsidP="009229CE">
            <w:pPr>
              <w:ind w:firstLine="0"/>
              <w:jc w:val="center"/>
              <w:rPr>
                <w:szCs w:val="24"/>
              </w:rPr>
            </w:pPr>
            <w:r w:rsidRPr="00E72303">
              <w:rPr>
                <w:rFonts w:cs="Times New Roman"/>
                <w:szCs w:val="24"/>
              </w:rPr>
              <w:t>25.27</w:t>
            </w:r>
          </w:p>
        </w:tc>
        <w:tc>
          <w:tcPr>
            <w:tcW w:w="860" w:type="dxa"/>
            <w:noWrap/>
            <w:vAlign w:val="center"/>
          </w:tcPr>
          <w:p w14:paraId="63455C1F" w14:textId="480056BC" w:rsidR="009229CE" w:rsidRPr="00E72303" w:rsidRDefault="009229CE" w:rsidP="009229CE">
            <w:pPr>
              <w:ind w:firstLine="0"/>
              <w:jc w:val="center"/>
              <w:rPr>
                <w:szCs w:val="24"/>
              </w:rPr>
            </w:pPr>
            <w:r w:rsidRPr="00E72303">
              <w:rPr>
                <w:rFonts w:cs="Times New Roman"/>
                <w:szCs w:val="24"/>
              </w:rPr>
              <w:t>26.00</w:t>
            </w:r>
          </w:p>
        </w:tc>
        <w:tc>
          <w:tcPr>
            <w:tcW w:w="860" w:type="dxa"/>
            <w:noWrap/>
            <w:vAlign w:val="center"/>
          </w:tcPr>
          <w:p w14:paraId="76EBF643" w14:textId="500C3753" w:rsidR="009229CE" w:rsidRPr="00E72303" w:rsidRDefault="009229CE" w:rsidP="009229CE">
            <w:pPr>
              <w:ind w:firstLine="0"/>
              <w:jc w:val="center"/>
              <w:rPr>
                <w:szCs w:val="24"/>
              </w:rPr>
            </w:pPr>
            <w:r w:rsidRPr="00E72303">
              <w:rPr>
                <w:rFonts w:cs="Times New Roman"/>
                <w:szCs w:val="24"/>
              </w:rPr>
              <w:t>25.87</w:t>
            </w:r>
          </w:p>
        </w:tc>
        <w:tc>
          <w:tcPr>
            <w:tcW w:w="860" w:type="dxa"/>
            <w:noWrap/>
            <w:vAlign w:val="center"/>
          </w:tcPr>
          <w:p w14:paraId="555362D9" w14:textId="7FB33A7F" w:rsidR="009229CE" w:rsidRPr="00E72303" w:rsidRDefault="009229CE" w:rsidP="009229CE">
            <w:pPr>
              <w:ind w:firstLine="0"/>
              <w:jc w:val="center"/>
              <w:rPr>
                <w:szCs w:val="24"/>
              </w:rPr>
            </w:pPr>
            <w:r w:rsidRPr="00E72303">
              <w:rPr>
                <w:rFonts w:cs="Times New Roman"/>
                <w:szCs w:val="24"/>
              </w:rPr>
              <w:t>52.24</w:t>
            </w:r>
          </w:p>
        </w:tc>
        <w:tc>
          <w:tcPr>
            <w:tcW w:w="860" w:type="dxa"/>
            <w:noWrap/>
            <w:vAlign w:val="center"/>
          </w:tcPr>
          <w:p w14:paraId="7B03F811" w14:textId="19D8280E" w:rsidR="009229CE" w:rsidRPr="00E72303" w:rsidRDefault="009229CE" w:rsidP="009229CE">
            <w:pPr>
              <w:ind w:firstLine="0"/>
              <w:jc w:val="center"/>
              <w:rPr>
                <w:rFonts w:cs="Times New Roman"/>
                <w:szCs w:val="24"/>
              </w:rPr>
            </w:pPr>
            <w:r w:rsidRPr="00E72303">
              <w:rPr>
                <w:rFonts w:cs="Times New Roman"/>
                <w:szCs w:val="24"/>
              </w:rPr>
              <w:t>53.70</w:t>
            </w:r>
          </w:p>
        </w:tc>
        <w:tc>
          <w:tcPr>
            <w:tcW w:w="860" w:type="dxa"/>
            <w:noWrap/>
            <w:vAlign w:val="center"/>
          </w:tcPr>
          <w:p w14:paraId="6250B130" w14:textId="148555C3" w:rsidR="009229CE" w:rsidRPr="00E72303" w:rsidRDefault="009229CE" w:rsidP="009229CE">
            <w:pPr>
              <w:ind w:firstLine="0"/>
              <w:jc w:val="center"/>
              <w:rPr>
                <w:rFonts w:cs="Times New Roman"/>
                <w:szCs w:val="24"/>
              </w:rPr>
            </w:pPr>
            <w:r w:rsidRPr="00E72303">
              <w:rPr>
                <w:rFonts w:cs="Times New Roman"/>
                <w:b/>
                <w:bCs/>
                <w:szCs w:val="24"/>
              </w:rPr>
              <w:t>57.98</w:t>
            </w:r>
          </w:p>
        </w:tc>
        <w:tc>
          <w:tcPr>
            <w:tcW w:w="860" w:type="dxa"/>
            <w:noWrap/>
            <w:vAlign w:val="center"/>
          </w:tcPr>
          <w:p w14:paraId="4CAA78F2" w14:textId="5A37E7EA" w:rsidR="009229CE" w:rsidRPr="00E72303" w:rsidRDefault="009229CE" w:rsidP="009229CE">
            <w:pPr>
              <w:ind w:firstLine="0"/>
              <w:jc w:val="center"/>
              <w:rPr>
                <w:rFonts w:cs="Times New Roman"/>
                <w:szCs w:val="24"/>
              </w:rPr>
            </w:pPr>
            <w:r w:rsidRPr="00E72303">
              <w:rPr>
                <w:rFonts w:cs="Times New Roman"/>
                <w:szCs w:val="24"/>
              </w:rPr>
              <w:t>---</w:t>
            </w:r>
          </w:p>
        </w:tc>
      </w:tr>
      <w:tr w:rsidR="00E72303" w:rsidRPr="00E72303" w14:paraId="6F80B348" w14:textId="77777777" w:rsidTr="00E4728E">
        <w:trPr>
          <w:trHeight w:val="288"/>
        </w:trPr>
        <w:tc>
          <w:tcPr>
            <w:tcW w:w="2335" w:type="dxa"/>
            <w:noWrap/>
            <w:vAlign w:val="center"/>
          </w:tcPr>
          <w:p w14:paraId="7C93B696" w14:textId="206BF49F" w:rsidR="009229CE" w:rsidRPr="00E72303" w:rsidRDefault="009229CE" w:rsidP="009229CE">
            <w:pPr>
              <w:ind w:firstLine="0"/>
              <w:jc w:val="left"/>
              <w:rPr>
                <w:rFonts w:cs="Times New Roman"/>
                <w:szCs w:val="24"/>
              </w:rPr>
            </w:pPr>
            <w:r w:rsidRPr="00E72303">
              <w:rPr>
                <w:rFonts w:cs="Times New Roman"/>
                <w:szCs w:val="24"/>
              </w:rPr>
              <w:t>Age, income and state</w:t>
            </w:r>
          </w:p>
        </w:tc>
        <w:tc>
          <w:tcPr>
            <w:tcW w:w="900" w:type="dxa"/>
            <w:noWrap/>
            <w:vAlign w:val="center"/>
          </w:tcPr>
          <w:p w14:paraId="49D08F2E" w14:textId="68942C96" w:rsidR="009229CE" w:rsidRPr="00E72303" w:rsidRDefault="009229CE" w:rsidP="009229CE">
            <w:pPr>
              <w:ind w:firstLine="0"/>
              <w:jc w:val="center"/>
              <w:rPr>
                <w:rFonts w:cs="Times New Roman"/>
                <w:szCs w:val="24"/>
              </w:rPr>
            </w:pPr>
            <w:r w:rsidRPr="00E72303">
              <w:t>14.44</w:t>
            </w:r>
          </w:p>
        </w:tc>
        <w:tc>
          <w:tcPr>
            <w:tcW w:w="955" w:type="dxa"/>
            <w:noWrap/>
            <w:vAlign w:val="center"/>
          </w:tcPr>
          <w:p w14:paraId="6111A6C2" w14:textId="177F5282" w:rsidR="009229CE" w:rsidRPr="00E72303" w:rsidRDefault="009229CE" w:rsidP="009229CE">
            <w:pPr>
              <w:ind w:firstLine="0"/>
              <w:jc w:val="center"/>
              <w:rPr>
                <w:rFonts w:cs="Times New Roman"/>
                <w:szCs w:val="24"/>
              </w:rPr>
            </w:pPr>
            <w:r w:rsidRPr="00E72303">
              <w:t>21.26</w:t>
            </w:r>
          </w:p>
        </w:tc>
        <w:tc>
          <w:tcPr>
            <w:tcW w:w="860" w:type="dxa"/>
            <w:noWrap/>
            <w:vAlign w:val="center"/>
          </w:tcPr>
          <w:p w14:paraId="7D375284" w14:textId="0A8CFACE" w:rsidR="009229CE" w:rsidRPr="00E72303" w:rsidRDefault="009229CE" w:rsidP="009229CE">
            <w:pPr>
              <w:ind w:firstLine="0"/>
              <w:jc w:val="center"/>
              <w:rPr>
                <w:rFonts w:cs="Times New Roman"/>
                <w:szCs w:val="24"/>
              </w:rPr>
            </w:pPr>
            <w:r w:rsidRPr="00E72303">
              <w:rPr>
                <w:b/>
                <w:bCs/>
              </w:rPr>
              <w:t>22.06</w:t>
            </w:r>
          </w:p>
        </w:tc>
        <w:tc>
          <w:tcPr>
            <w:tcW w:w="860" w:type="dxa"/>
            <w:noWrap/>
            <w:vAlign w:val="center"/>
          </w:tcPr>
          <w:p w14:paraId="4E657D53" w14:textId="5D7E5F71" w:rsidR="009229CE" w:rsidRPr="00E72303" w:rsidRDefault="009229CE" w:rsidP="009229CE">
            <w:pPr>
              <w:ind w:firstLine="0"/>
              <w:jc w:val="center"/>
              <w:rPr>
                <w:rFonts w:cs="Times New Roman"/>
                <w:szCs w:val="24"/>
              </w:rPr>
            </w:pPr>
            <w:r w:rsidRPr="00E72303">
              <w:t>21.96</w:t>
            </w:r>
          </w:p>
        </w:tc>
        <w:tc>
          <w:tcPr>
            <w:tcW w:w="860" w:type="dxa"/>
            <w:noWrap/>
            <w:vAlign w:val="center"/>
          </w:tcPr>
          <w:p w14:paraId="2685BE3C" w14:textId="54204B24" w:rsidR="009229CE" w:rsidRPr="00E72303" w:rsidRDefault="009229CE" w:rsidP="009229CE">
            <w:pPr>
              <w:ind w:firstLine="0"/>
              <w:jc w:val="center"/>
              <w:rPr>
                <w:rFonts w:cs="Times New Roman"/>
                <w:szCs w:val="24"/>
              </w:rPr>
            </w:pPr>
            <w:r w:rsidRPr="00E72303">
              <w:t>22.10</w:t>
            </w:r>
          </w:p>
        </w:tc>
        <w:tc>
          <w:tcPr>
            <w:tcW w:w="860" w:type="dxa"/>
            <w:noWrap/>
            <w:vAlign w:val="center"/>
          </w:tcPr>
          <w:p w14:paraId="73DFB88B" w14:textId="75EF7CCA"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tcPr>
          <w:p w14:paraId="68B7A7E7" w14:textId="7F9353FB" w:rsidR="009229CE" w:rsidRPr="00E72303" w:rsidRDefault="009229CE" w:rsidP="009229CE">
            <w:pPr>
              <w:ind w:firstLine="0"/>
              <w:jc w:val="center"/>
              <w:rPr>
                <w:rFonts w:cs="Times New Roman"/>
                <w:b/>
                <w:bCs/>
                <w:szCs w:val="24"/>
              </w:rPr>
            </w:pPr>
            <w:r w:rsidRPr="00E72303">
              <w:rPr>
                <w:rFonts w:cs="Times New Roman"/>
                <w:szCs w:val="24"/>
              </w:rPr>
              <w:t>---</w:t>
            </w:r>
          </w:p>
        </w:tc>
        <w:tc>
          <w:tcPr>
            <w:tcW w:w="860" w:type="dxa"/>
            <w:noWrap/>
            <w:vAlign w:val="center"/>
          </w:tcPr>
          <w:p w14:paraId="68B1290C" w14:textId="5209B51A" w:rsidR="009229CE" w:rsidRPr="00E72303" w:rsidRDefault="009229CE" w:rsidP="009229CE">
            <w:pPr>
              <w:ind w:firstLine="0"/>
              <w:jc w:val="center"/>
              <w:rPr>
                <w:rFonts w:cs="Times New Roman"/>
                <w:szCs w:val="24"/>
              </w:rPr>
            </w:pPr>
            <w:r w:rsidRPr="00E72303">
              <w:rPr>
                <w:rFonts w:cs="Times New Roman"/>
                <w:szCs w:val="24"/>
              </w:rPr>
              <w:t>---</w:t>
            </w:r>
          </w:p>
        </w:tc>
      </w:tr>
      <w:tr w:rsidR="00E72303" w:rsidRPr="00E72303" w14:paraId="57C0243F" w14:textId="77777777" w:rsidTr="00E4728E">
        <w:trPr>
          <w:trHeight w:val="288"/>
        </w:trPr>
        <w:tc>
          <w:tcPr>
            <w:tcW w:w="2335" w:type="dxa"/>
            <w:noWrap/>
            <w:vAlign w:val="center"/>
          </w:tcPr>
          <w:p w14:paraId="75A37DD4" w14:textId="708C3803" w:rsidR="009229CE" w:rsidRPr="00E72303" w:rsidRDefault="009229CE" w:rsidP="009229CE">
            <w:pPr>
              <w:ind w:firstLine="0"/>
              <w:jc w:val="left"/>
              <w:rPr>
                <w:rFonts w:cs="Times New Roman"/>
                <w:szCs w:val="24"/>
              </w:rPr>
            </w:pPr>
            <w:r w:rsidRPr="00E72303">
              <w:rPr>
                <w:rFonts w:cs="Times New Roman"/>
                <w:szCs w:val="24"/>
              </w:rPr>
              <w:t>Age, location and state</w:t>
            </w:r>
          </w:p>
        </w:tc>
        <w:tc>
          <w:tcPr>
            <w:tcW w:w="900" w:type="dxa"/>
            <w:noWrap/>
            <w:vAlign w:val="center"/>
          </w:tcPr>
          <w:p w14:paraId="1C1F32B7" w14:textId="4E4DBEDA" w:rsidR="009229CE" w:rsidRPr="00E72303" w:rsidRDefault="009229CE" w:rsidP="009229CE">
            <w:pPr>
              <w:ind w:firstLine="0"/>
              <w:jc w:val="center"/>
            </w:pPr>
            <w:r w:rsidRPr="00E72303">
              <w:t>25.09</w:t>
            </w:r>
          </w:p>
        </w:tc>
        <w:tc>
          <w:tcPr>
            <w:tcW w:w="955" w:type="dxa"/>
            <w:noWrap/>
            <w:vAlign w:val="center"/>
          </w:tcPr>
          <w:p w14:paraId="73E96454" w14:textId="179FA377" w:rsidR="009229CE" w:rsidRPr="00E72303" w:rsidRDefault="009229CE" w:rsidP="009229CE">
            <w:pPr>
              <w:ind w:firstLine="0"/>
              <w:jc w:val="center"/>
            </w:pPr>
            <w:r w:rsidRPr="00E72303">
              <w:t>25.61</w:t>
            </w:r>
          </w:p>
        </w:tc>
        <w:tc>
          <w:tcPr>
            <w:tcW w:w="860" w:type="dxa"/>
            <w:noWrap/>
            <w:vAlign w:val="center"/>
          </w:tcPr>
          <w:p w14:paraId="5BBAE027" w14:textId="624EBFC8" w:rsidR="009229CE" w:rsidRPr="00E72303" w:rsidRDefault="009229CE" w:rsidP="009229CE">
            <w:pPr>
              <w:ind w:firstLine="0"/>
              <w:jc w:val="center"/>
              <w:rPr>
                <w:b/>
                <w:bCs/>
              </w:rPr>
            </w:pPr>
            <w:r w:rsidRPr="00E72303">
              <w:rPr>
                <w:b/>
                <w:bCs/>
              </w:rPr>
              <w:t>26.45</w:t>
            </w:r>
          </w:p>
        </w:tc>
        <w:tc>
          <w:tcPr>
            <w:tcW w:w="860" w:type="dxa"/>
            <w:noWrap/>
            <w:vAlign w:val="center"/>
          </w:tcPr>
          <w:p w14:paraId="2B3618E7" w14:textId="0220344D" w:rsidR="009229CE" w:rsidRPr="00E72303" w:rsidRDefault="009229CE" w:rsidP="009229CE">
            <w:pPr>
              <w:ind w:firstLine="0"/>
              <w:jc w:val="center"/>
            </w:pPr>
            <w:r w:rsidRPr="00E72303">
              <w:t>25.82</w:t>
            </w:r>
          </w:p>
        </w:tc>
        <w:tc>
          <w:tcPr>
            <w:tcW w:w="860" w:type="dxa"/>
            <w:noWrap/>
            <w:vAlign w:val="center"/>
          </w:tcPr>
          <w:p w14:paraId="55661C80" w14:textId="28831CE1" w:rsidR="009229CE" w:rsidRPr="00E72303" w:rsidRDefault="009229CE" w:rsidP="009229CE">
            <w:pPr>
              <w:ind w:firstLine="0"/>
              <w:jc w:val="center"/>
            </w:pPr>
            <w:r w:rsidRPr="00E72303">
              <w:t>26.53</w:t>
            </w:r>
          </w:p>
        </w:tc>
        <w:tc>
          <w:tcPr>
            <w:tcW w:w="860" w:type="dxa"/>
            <w:noWrap/>
            <w:vAlign w:val="center"/>
          </w:tcPr>
          <w:p w14:paraId="49603863" w14:textId="48F7B257"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tcPr>
          <w:p w14:paraId="0B5FF84C" w14:textId="618192D6"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tcPr>
          <w:p w14:paraId="7BC53646" w14:textId="42EB16C6" w:rsidR="009229CE" w:rsidRPr="00E72303" w:rsidRDefault="009229CE" w:rsidP="009229CE">
            <w:pPr>
              <w:ind w:firstLine="0"/>
              <w:jc w:val="center"/>
              <w:rPr>
                <w:rFonts w:cs="Times New Roman"/>
                <w:szCs w:val="24"/>
              </w:rPr>
            </w:pPr>
            <w:r w:rsidRPr="00E72303">
              <w:rPr>
                <w:rFonts w:cs="Times New Roman"/>
                <w:szCs w:val="24"/>
              </w:rPr>
              <w:t>---</w:t>
            </w:r>
          </w:p>
        </w:tc>
      </w:tr>
      <w:tr w:rsidR="00E72303" w:rsidRPr="00E72303" w14:paraId="2704D90B" w14:textId="77777777" w:rsidTr="00E4728E">
        <w:trPr>
          <w:trHeight w:val="288"/>
        </w:trPr>
        <w:tc>
          <w:tcPr>
            <w:tcW w:w="2335" w:type="dxa"/>
            <w:noWrap/>
            <w:vAlign w:val="center"/>
            <w:hideMark/>
          </w:tcPr>
          <w:p w14:paraId="282B6A0A" w14:textId="77777777" w:rsidR="009229CE" w:rsidRPr="00E72303" w:rsidRDefault="009229CE" w:rsidP="009229CE">
            <w:pPr>
              <w:ind w:firstLine="0"/>
              <w:jc w:val="left"/>
              <w:rPr>
                <w:rFonts w:cs="Times New Roman"/>
                <w:szCs w:val="24"/>
              </w:rPr>
            </w:pPr>
            <w:r w:rsidRPr="00E72303">
              <w:rPr>
                <w:rFonts w:cs="Times New Roman"/>
                <w:szCs w:val="24"/>
              </w:rPr>
              <w:t>Income and location</w:t>
            </w:r>
          </w:p>
        </w:tc>
        <w:tc>
          <w:tcPr>
            <w:tcW w:w="900" w:type="dxa"/>
            <w:noWrap/>
            <w:vAlign w:val="center"/>
            <w:hideMark/>
          </w:tcPr>
          <w:p w14:paraId="248FCC0A" w14:textId="77777777" w:rsidR="009229CE" w:rsidRPr="00E72303" w:rsidRDefault="009229CE" w:rsidP="009229CE">
            <w:pPr>
              <w:ind w:firstLine="0"/>
              <w:jc w:val="center"/>
              <w:rPr>
                <w:rFonts w:cs="Times New Roman"/>
                <w:szCs w:val="24"/>
              </w:rPr>
            </w:pPr>
            <w:r w:rsidRPr="00E72303">
              <w:rPr>
                <w:rFonts w:cs="Times New Roman"/>
                <w:szCs w:val="24"/>
              </w:rPr>
              <w:t>23.70</w:t>
            </w:r>
          </w:p>
        </w:tc>
        <w:tc>
          <w:tcPr>
            <w:tcW w:w="955" w:type="dxa"/>
            <w:noWrap/>
            <w:vAlign w:val="center"/>
            <w:hideMark/>
          </w:tcPr>
          <w:p w14:paraId="3B935D45" w14:textId="77777777" w:rsidR="009229CE" w:rsidRPr="00E72303" w:rsidRDefault="009229CE" w:rsidP="009229CE">
            <w:pPr>
              <w:ind w:firstLine="0"/>
              <w:jc w:val="center"/>
              <w:rPr>
                <w:rFonts w:cs="Times New Roman"/>
                <w:szCs w:val="24"/>
              </w:rPr>
            </w:pPr>
            <w:r w:rsidRPr="00E72303">
              <w:rPr>
                <w:rFonts w:cs="Times New Roman"/>
                <w:szCs w:val="24"/>
              </w:rPr>
              <w:t>24.60</w:t>
            </w:r>
          </w:p>
        </w:tc>
        <w:tc>
          <w:tcPr>
            <w:tcW w:w="860" w:type="dxa"/>
            <w:noWrap/>
            <w:vAlign w:val="center"/>
            <w:hideMark/>
          </w:tcPr>
          <w:p w14:paraId="1F6DFE67" w14:textId="77777777" w:rsidR="009229CE" w:rsidRPr="00E72303" w:rsidRDefault="009229CE" w:rsidP="009229CE">
            <w:pPr>
              <w:ind w:firstLine="0"/>
              <w:jc w:val="center"/>
              <w:rPr>
                <w:rFonts w:cs="Times New Roman"/>
                <w:szCs w:val="24"/>
              </w:rPr>
            </w:pPr>
            <w:r w:rsidRPr="00E72303">
              <w:rPr>
                <w:rFonts w:cs="Times New Roman"/>
                <w:szCs w:val="24"/>
              </w:rPr>
              <w:t>54.70</w:t>
            </w:r>
          </w:p>
        </w:tc>
        <w:tc>
          <w:tcPr>
            <w:tcW w:w="860" w:type="dxa"/>
            <w:noWrap/>
            <w:vAlign w:val="center"/>
            <w:hideMark/>
          </w:tcPr>
          <w:p w14:paraId="59C58331" w14:textId="5B804E00" w:rsidR="009229CE" w:rsidRPr="00E72303" w:rsidRDefault="009229CE" w:rsidP="009229CE">
            <w:pPr>
              <w:ind w:firstLine="0"/>
              <w:jc w:val="center"/>
              <w:rPr>
                <w:rFonts w:cs="Times New Roman"/>
                <w:b/>
                <w:bCs/>
                <w:szCs w:val="24"/>
              </w:rPr>
            </w:pPr>
            <w:r w:rsidRPr="00E72303">
              <w:rPr>
                <w:rFonts w:cs="Times New Roman"/>
                <w:b/>
                <w:bCs/>
                <w:szCs w:val="24"/>
              </w:rPr>
              <w:t>68.52</w:t>
            </w:r>
          </w:p>
        </w:tc>
        <w:tc>
          <w:tcPr>
            <w:tcW w:w="860" w:type="dxa"/>
            <w:noWrap/>
            <w:vAlign w:val="center"/>
            <w:hideMark/>
          </w:tcPr>
          <w:p w14:paraId="0946DD79" w14:textId="77777777" w:rsidR="009229CE" w:rsidRPr="00E72303" w:rsidRDefault="009229CE" w:rsidP="009229CE">
            <w:pPr>
              <w:ind w:firstLine="0"/>
              <w:jc w:val="center"/>
              <w:rPr>
                <w:rFonts w:cs="Times New Roman"/>
                <w:szCs w:val="24"/>
              </w:rPr>
            </w:pPr>
            <w:r w:rsidRPr="00E72303">
              <w:rPr>
                <w:rFonts w:cs="Times New Roman"/>
                <w:szCs w:val="24"/>
              </w:rPr>
              <w:t>66.39</w:t>
            </w:r>
          </w:p>
        </w:tc>
        <w:tc>
          <w:tcPr>
            <w:tcW w:w="860" w:type="dxa"/>
            <w:noWrap/>
            <w:vAlign w:val="center"/>
            <w:hideMark/>
          </w:tcPr>
          <w:p w14:paraId="7EAB294B" w14:textId="77777777" w:rsidR="009229CE" w:rsidRPr="00E72303" w:rsidRDefault="009229CE" w:rsidP="009229CE">
            <w:pPr>
              <w:ind w:firstLine="0"/>
              <w:jc w:val="center"/>
              <w:rPr>
                <w:rFonts w:cs="Times New Roman"/>
                <w:szCs w:val="24"/>
              </w:rPr>
            </w:pPr>
            <w:r w:rsidRPr="00E72303">
              <w:rPr>
                <w:rFonts w:cs="Times New Roman"/>
                <w:szCs w:val="24"/>
              </w:rPr>
              <w:t>68.02</w:t>
            </w:r>
          </w:p>
        </w:tc>
        <w:tc>
          <w:tcPr>
            <w:tcW w:w="860" w:type="dxa"/>
            <w:noWrap/>
            <w:vAlign w:val="center"/>
            <w:hideMark/>
          </w:tcPr>
          <w:p w14:paraId="075C273F" w14:textId="77777777"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hideMark/>
          </w:tcPr>
          <w:p w14:paraId="755A5F3F" w14:textId="77777777" w:rsidR="009229CE" w:rsidRPr="00E72303" w:rsidRDefault="009229CE" w:rsidP="009229CE">
            <w:pPr>
              <w:ind w:firstLine="0"/>
              <w:jc w:val="center"/>
              <w:rPr>
                <w:rFonts w:cs="Times New Roman"/>
                <w:szCs w:val="24"/>
              </w:rPr>
            </w:pPr>
            <w:r w:rsidRPr="00E72303">
              <w:rPr>
                <w:rFonts w:cs="Times New Roman"/>
                <w:szCs w:val="24"/>
              </w:rPr>
              <w:t>---</w:t>
            </w:r>
          </w:p>
        </w:tc>
      </w:tr>
      <w:tr w:rsidR="00E72303" w:rsidRPr="00E72303" w14:paraId="01E174EF" w14:textId="77777777" w:rsidTr="00E4728E">
        <w:trPr>
          <w:trHeight w:val="288"/>
        </w:trPr>
        <w:tc>
          <w:tcPr>
            <w:tcW w:w="2335" w:type="dxa"/>
            <w:noWrap/>
            <w:vAlign w:val="center"/>
            <w:hideMark/>
          </w:tcPr>
          <w:p w14:paraId="000736DE" w14:textId="77777777" w:rsidR="009229CE" w:rsidRPr="00E72303" w:rsidRDefault="009229CE" w:rsidP="009229CE">
            <w:pPr>
              <w:ind w:firstLine="0"/>
              <w:jc w:val="left"/>
              <w:rPr>
                <w:rFonts w:cs="Times New Roman"/>
                <w:szCs w:val="24"/>
              </w:rPr>
            </w:pPr>
            <w:r w:rsidRPr="00E72303">
              <w:rPr>
                <w:rFonts w:cs="Times New Roman"/>
                <w:szCs w:val="24"/>
              </w:rPr>
              <w:t>State and location</w:t>
            </w:r>
          </w:p>
        </w:tc>
        <w:tc>
          <w:tcPr>
            <w:tcW w:w="900" w:type="dxa"/>
            <w:noWrap/>
            <w:vAlign w:val="center"/>
            <w:hideMark/>
          </w:tcPr>
          <w:p w14:paraId="2FD09B25" w14:textId="77777777" w:rsidR="009229CE" w:rsidRPr="00E72303" w:rsidRDefault="009229CE" w:rsidP="009229CE">
            <w:pPr>
              <w:ind w:firstLine="0"/>
              <w:jc w:val="center"/>
              <w:rPr>
                <w:rFonts w:cs="Times New Roman"/>
                <w:szCs w:val="24"/>
              </w:rPr>
            </w:pPr>
            <w:r w:rsidRPr="00E72303">
              <w:rPr>
                <w:rFonts w:cs="Times New Roman"/>
                <w:szCs w:val="24"/>
              </w:rPr>
              <w:t>15.37</w:t>
            </w:r>
          </w:p>
        </w:tc>
        <w:tc>
          <w:tcPr>
            <w:tcW w:w="955" w:type="dxa"/>
            <w:noWrap/>
            <w:vAlign w:val="center"/>
            <w:hideMark/>
          </w:tcPr>
          <w:p w14:paraId="70DCB2A1" w14:textId="77777777" w:rsidR="009229CE" w:rsidRPr="00E72303" w:rsidRDefault="009229CE" w:rsidP="009229CE">
            <w:pPr>
              <w:ind w:firstLine="0"/>
              <w:jc w:val="center"/>
              <w:rPr>
                <w:rFonts w:cs="Times New Roman"/>
                <w:szCs w:val="24"/>
              </w:rPr>
            </w:pPr>
            <w:r w:rsidRPr="00E72303">
              <w:rPr>
                <w:rFonts w:cs="Times New Roman"/>
                <w:szCs w:val="24"/>
              </w:rPr>
              <w:t>16.02</w:t>
            </w:r>
          </w:p>
        </w:tc>
        <w:tc>
          <w:tcPr>
            <w:tcW w:w="860" w:type="dxa"/>
            <w:noWrap/>
            <w:vAlign w:val="center"/>
            <w:hideMark/>
          </w:tcPr>
          <w:p w14:paraId="5DBDD04F" w14:textId="77777777" w:rsidR="009229CE" w:rsidRPr="00E72303" w:rsidRDefault="009229CE" w:rsidP="009229CE">
            <w:pPr>
              <w:ind w:firstLine="0"/>
              <w:jc w:val="center"/>
              <w:rPr>
                <w:rFonts w:cs="Times New Roman"/>
                <w:szCs w:val="24"/>
              </w:rPr>
            </w:pPr>
            <w:r w:rsidRPr="00E72303">
              <w:rPr>
                <w:rFonts w:cs="Times New Roman"/>
                <w:szCs w:val="24"/>
              </w:rPr>
              <w:t>29.63</w:t>
            </w:r>
          </w:p>
        </w:tc>
        <w:tc>
          <w:tcPr>
            <w:tcW w:w="860" w:type="dxa"/>
            <w:noWrap/>
            <w:vAlign w:val="center"/>
            <w:hideMark/>
          </w:tcPr>
          <w:p w14:paraId="55ED506C" w14:textId="77777777" w:rsidR="009229CE" w:rsidRPr="00E72303" w:rsidRDefault="009229CE" w:rsidP="009229CE">
            <w:pPr>
              <w:ind w:firstLine="0"/>
              <w:jc w:val="center"/>
              <w:rPr>
                <w:rFonts w:cs="Times New Roman"/>
                <w:szCs w:val="24"/>
              </w:rPr>
            </w:pPr>
            <w:r w:rsidRPr="00E72303">
              <w:rPr>
                <w:rFonts w:cs="Times New Roman"/>
                <w:szCs w:val="24"/>
              </w:rPr>
              <w:t>45.34</w:t>
            </w:r>
          </w:p>
        </w:tc>
        <w:tc>
          <w:tcPr>
            <w:tcW w:w="860" w:type="dxa"/>
            <w:noWrap/>
            <w:vAlign w:val="center"/>
            <w:hideMark/>
          </w:tcPr>
          <w:p w14:paraId="0C332464" w14:textId="77777777" w:rsidR="009229CE" w:rsidRPr="00E72303" w:rsidRDefault="009229CE" w:rsidP="009229CE">
            <w:pPr>
              <w:ind w:firstLine="0"/>
              <w:jc w:val="center"/>
              <w:rPr>
                <w:rFonts w:cs="Times New Roman"/>
                <w:szCs w:val="24"/>
              </w:rPr>
            </w:pPr>
            <w:r w:rsidRPr="00E72303">
              <w:rPr>
                <w:rFonts w:cs="Times New Roman"/>
                <w:szCs w:val="24"/>
              </w:rPr>
              <w:t>49.84</w:t>
            </w:r>
          </w:p>
        </w:tc>
        <w:tc>
          <w:tcPr>
            <w:tcW w:w="860" w:type="dxa"/>
            <w:noWrap/>
            <w:vAlign w:val="center"/>
            <w:hideMark/>
          </w:tcPr>
          <w:p w14:paraId="2107CC0C" w14:textId="35B6C501" w:rsidR="009229CE" w:rsidRPr="00E72303" w:rsidRDefault="009229CE" w:rsidP="009229CE">
            <w:pPr>
              <w:ind w:firstLine="0"/>
              <w:jc w:val="center"/>
              <w:rPr>
                <w:rFonts w:cs="Times New Roman"/>
                <w:b/>
                <w:bCs/>
                <w:szCs w:val="24"/>
              </w:rPr>
            </w:pPr>
            <w:r w:rsidRPr="00E72303">
              <w:rPr>
                <w:rFonts w:cs="Times New Roman"/>
                <w:b/>
                <w:bCs/>
                <w:szCs w:val="24"/>
              </w:rPr>
              <w:t>52.92</w:t>
            </w:r>
          </w:p>
        </w:tc>
        <w:tc>
          <w:tcPr>
            <w:tcW w:w="860" w:type="dxa"/>
            <w:noWrap/>
            <w:vAlign w:val="center"/>
            <w:hideMark/>
          </w:tcPr>
          <w:p w14:paraId="432BB948" w14:textId="77777777"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hideMark/>
          </w:tcPr>
          <w:p w14:paraId="7F6FDF96" w14:textId="77777777" w:rsidR="009229CE" w:rsidRPr="00E72303" w:rsidRDefault="009229CE" w:rsidP="009229CE">
            <w:pPr>
              <w:ind w:firstLine="0"/>
              <w:jc w:val="center"/>
              <w:rPr>
                <w:rFonts w:cs="Times New Roman"/>
                <w:szCs w:val="24"/>
              </w:rPr>
            </w:pPr>
            <w:r w:rsidRPr="00E72303">
              <w:rPr>
                <w:rFonts w:cs="Times New Roman"/>
                <w:szCs w:val="24"/>
              </w:rPr>
              <w:t>---</w:t>
            </w:r>
          </w:p>
        </w:tc>
      </w:tr>
      <w:tr w:rsidR="00E72303" w:rsidRPr="00E72303" w14:paraId="6D2C1978" w14:textId="77777777" w:rsidTr="00E4728E">
        <w:trPr>
          <w:trHeight w:val="288"/>
        </w:trPr>
        <w:tc>
          <w:tcPr>
            <w:tcW w:w="2335" w:type="dxa"/>
            <w:noWrap/>
            <w:vAlign w:val="center"/>
            <w:hideMark/>
          </w:tcPr>
          <w:p w14:paraId="414F969E" w14:textId="77777777" w:rsidR="009229CE" w:rsidRPr="00E72303" w:rsidRDefault="009229CE" w:rsidP="009229CE">
            <w:pPr>
              <w:ind w:firstLine="0"/>
              <w:jc w:val="left"/>
              <w:rPr>
                <w:rFonts w:cs="Times New Roman"/>
                <w:szCs w:val="24"/>
              </w:rPr>
            </w:pPr>
            <w:r w:rsidRPr="00E72303">
              <w:rPr>
                <w:rFonts w:cs="Times New Roman"/>
                <w:szCs w:val="24"/>
              </w:rPr>
              <w:t>State and income</w:t>
            </w:r>
          </w:p>
        </w:tc>
        <w:tc>
          <w:tcPr>
            <w:tcW w:w="900" w:type="dxa"/>
            <w:noWrap/>
            <w:vAlign w:val="center"/>
            <w:hideMark/>
          </w:tcPr>
          <w:p w14:paraId="2552022B" w14:textId="77777777" w:rsidR="009229CE" w:rsidRPr="00E72303" w:rsidRDefault="009229CE" w:rsidP="009229CE">
            <w:pPr>
              <w:ind w:firstLine="0"/>
              <w:jc w:val="center"/>
              <w:rPr>
                <w:rFonts w:cs="Times New Roman"/>
                <w:szCs w:val="24"/>
              </w:rPr>
            </w:pPr>
            <w:r w:rsidRPr="00E72303">
              <w:rPr>
                <w:rFonts w:cs="Times New Roman"/>
                <w:szCs w:val="24"/>
              </w:rPr>
              <w:t>20.75</w:t>
            </w:r>
          </w:p>
        </w:tc>
        <w:tc>
          <w:tcPr>
            <w:tcW w:w="955" w:type="dxa"/>
            <w:noWrap/>
            <w:vAlign w:val="center"/>
            <w:hideMark/>
          </w:tcPr>
          <w:p w14:paraId="562A0323" w14:textId="77777777" w:rsidR="009229CE" w:rsidRPr="00E72303" w:rsidRDefault="009229CE" w:rsidP="009229CE">
            <w:pPr>
              <w:ind w:firstLine="0"/>
              <w:jc w:val="center"/>
              <w:rPr>
                <w:rFonts w:cs="Times New Roman"/>
                <w:szCs w:val="24"/>
              </w:rPr>
            </w:pPr>
            <w:r w:rsidRPr="00E72303">
              <w:rPr>
                <w:rFonts w:cs="Times New Roman"/>
                <w:szCs w:val="24"/>
              </w:rPr>
              <w:t>22.84</w:t>
            </w:r>
          </w:p>
        </w:tc>
        <w:tc>
          <w:tcPr>
            <w:tcW w:w="860" w:type="dxa"/>
            <w:noWrap/>
            <w:vAlign w:val="center"/>
            <w:hideMark/>
          </w:tcPr>
          <w:p w14:paraId="24C7358D" w14:textId="34A821B7" w:rsidR="009229CE" w:rsidRPr="00E72303" w:rsidRDefault="009229CE" w:rsidP="009229CE">
            <w:pPr>
              <w:ind w:firstLine="0"/>
              <w:jc w:val="center"/>
              <w:rPr>
                <w:rFonts w:cs="Times New Roman"/>
                <w:b/>
                <w:bCs/>
                <w:szCs w:val="24"/>
              </w:rPr>
            </w:pPr>
            <w:r w:rsidRPr="00E72303">
              <w:rPr>
                <w:rFonts w:cs="Times New Roman"/>
                <w:b/>
                <w:bCs/>
                <w:szCs w:val="24"/>
              </w:rPr>
              <w:t>23.12</w:t>
            </w:r>
          </w:p>
        </w:tc>
        <w:tc>
          <w:tcPr>
            <w:tcW w:w="860" w:type="dxa"/>
            <w:noWrap/>
            <w:vAlign w:val="center"/>
            <w:hideMark/>
          </w:tcPr>
          <w:p w14:paraId="095E21EA" w14:textId="77777777" w:rsidR="009229CE" w:rsidRPr="00E72303" w:rsidRDefault="009229CE" w:rsidP="009229CE">
            <w:pPr>
              <w:ind w:firstLine="0"/>
              <w:jc w:val="center"/>
              <w:rPr>
                <w:rFonts w:cs="Times New Roman"/>
                <w:szCs w:val="24"/>
              </w:rPr>
            </w:pPr>
            <w:r w:rsidRPr="00E72303">
              <w:rPr>
                <w:rFonts w:cs="Times New Roman"/>
                <w:szCs w:val="24"/>
              </w:rPr>
              <w:t>23.05</w:t>
            </w:r>
          </w:p>
        </w:tc>
        <w:tc>
          <w:tcPr>
            <w:tcW w:w="860" w:type="dxa"/>
            <w:noWrap/>
            <w:vAlign w:val="center"/>
            <w:hideMark/>
          </w:tcPr>
          <w:p w14:paraId="7B47D09E" w14:textId="77777777" w:rsidR="009229CE" w:rsidRPr="00E72303" w:rsidRDefault="009229CE" w:rsidP="009229CE">
            <w:pPr>
              <w:ind w:firstLine="0"/>
              <w:jc w:val="center"/>
              <w:rPr>
                <w:rFonts w:cs="Times New Roman"/>
                <w:szCs w:val="24"/>
              </w:rPr>
            </w:pPr>
            <w:r w:rsidRPr="00E72303">
              <w:rPr>
                <w:rFonts w:cs="Times New Roman"/>
                <w:szCs w:val="24"/>
              </w:rPr>
              <w:t>20.94</w:t>
            </w:r>
          </w:p>
        </w:tc>
        <w:tc>
          <w:tcPr>
            <w:tcW w:w="860" w:type="dxa"/>
            <w:noWrap/>
            <w:vAlign w:val="center"/>
            <w:hideMark/>
          </w:tcPr>
          <w:p w14:paraId="0D1B2999" w14:textId="77777777"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hideMark/>
          </w:tcPr>
          <w:p w14:paraId="66179125" w14:textId="77777777"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hideMark/>
          </w:tcPr>
          <w:p w14:paraId="31282BFB" w14:textId="77777777" w:rsidR="009229CE" w:rsidRPr="00E72303" w:rsidRDefault="009229CE" w:rsidP="009229CE">
            <w:pPr>
              <w:ind w:firstLine="0"/>
              <w:jc w:val="center"/>
              <w:rPr>
                <w:rFonts w:cs="Times New Roman"/>
                <w:szCs w:val="24"/>
              </w:rPr>
            </w:pPr>
            <w:r w:rsidRPr="00E72303">
              <w:rPr>
                <w:rFonts w:cs="Times New Roman"/>
                <w:szCs w:val="24"/>
              </w:rPr>
              <w:t>---</w:t>
            </w:r>
          </w:p>
        </w:tc>
      </w:tr>
      <w:tr w:rsidR="00E72303" w:rsidRPr="00E72303" w14:paraId="7D54A054" w14:textId="77777777" w:rsidTr="00E4728E">
        <w:trPr>
          <w:trHeight w:val="288"/>
        </w:trPr>
        <w:tc>
          <w:tcPr>
            <w:tcW w:w="2335" w:type="dxa"/>
            <w:noWrap/>
            <w:vAlign w:val="center"/>
            <w:hideMark/>
          </w:tcPr>
          <w:p w14:paraId="332E9118" w14:textId="77777777" w:rsidR="009229CE" w:rsidRPr="00E72303" w:rsidRDefault="009229CE" w:rsidP="009229CE">
            <w:pPr>
              <w:ind w:firstLine="0"/>
              <w:jc w:val="left"/>
              <w:rPr>
                <w:rFonts w:cs="Times New Roman"/>
                <w:szCs w:val="24"/>
              </w:rPr>
            </w:pPr>
            <w:r w:rsidRPr="00E72303">
              <w:rPr>
                <w:rFonts w:cs="Times New Roman"/>
                <w:szCs w:val="24"/>
              </w:rPr>
              <w:t>State, income and location</w:t>
            </w:r>
          </w:p>
        </w:tc>
        <w:tc>
          <w:tcPr>
            <w:tcW w:w="900" w:type="dxa"/>
            <w:noWrap/>
            <w:vAlign w:val="center"/>
            <w:hideMark/>
          </w:tcPr>
          <w:p w14:paraId="1C81275A" w14:textId="77777777" w:rsidR="009229CE" w:rsidRPr="00E72303" w:rsidRDefault="009229CE" w:rsidP="009229CE">
            <w:pPr>
              <w:ind w:firstLine="0"/>
              <w:jc w:val="center"/>
              <w:rPr>
                <w:rFonts w:cs="Times New Roman"/>
                <w:szCs w:val="24"/>
              </w:rPr>
            </w:pPr>
            <w:r w:rsidRPr="00E72303">
              <w:rPr>
                <w:rFonts w:cs="Times New Roman"/>
                <w:szCs w:val="24"/>
              </w:rPr>
              <w:t>27.69</w:t>
            </w:r>
          </w:p>
        </w:tc>
        <w:tc>
          <w:tcPr>
            <w:tcW w:w="955" w:type="dxa"/>
            <w:noWrap/>
            <w:vAlign w:val="center"/>
            <w:hideMark/>
          </w:tcPr>
          <w:p w14:paraId="21CF752C" w14:textId="77777777" w:rsidR="009229CE" w:rsidRPr="00E72303" w:rsidRDefault="009229CE" w:rsidP="009229CE">
            <w:pPr>
              <w:ind w:firstLine="0"/>
              <w:jc w:val="center"/>
              <w:rPr>
                <w:rFonts w:cs="Times New Roman"/>
                <w:szCs w:val="24"/>
              </w:rPr>
            </w:pPr>
            <w:r w:rsidRPr="00E72303">
              <w:rPr>
                <w:rFonts w:cs="Times New Roman"/>
                <w:szCs w:val="24"/>
              </w:rPr>
              <w:t>28.90</w:t>
            </w:r>
          </w:p>
        </w:tc>
        <w:tc>
          <w:tcPr>
            <w:tcW w:w="860" w:type="dxa"/>
            <w:noWrap/>
            <w:vAlign w:val="center"/>
            <w:hideMark/>
          </w:tcPr>
          <w:p w14:paraId="2ECEEBC8" w14:textId="77777777" w:rsidR="009229CE" w:rsidRPr="00E72303" w:rsidRDefault="009229CE" w:rsidP="009229CE">
            <w:pPr>
              <w:ind w:firstLine="0"/>
              <w:jc w:val="center"/>
              <w:rPr>
                <w:rFonts w:cs="Times New Roman"/>
                <w:szCs w:val="24"/>
              </w:rPr>
            </w:pPr>
            <w:r w:rsidRPr="00E72303">
              <w:rPr>
                <w:rFonts w:cs="Times New Roman"/>
                <w:szCs w:val="24"/>
              </w:rPr>
              <w:t>29.23</w:t>
            </w:r>
          </w:p>
        </w:tc>
        <w:tc>
          <w:tcPr>
            <w:tcW w:w="860" w:type="dxa"/>
            <w:noWrap/>
            <w:vAlign w:val="center"/>
            <w:hideMark/>
          </w:tcPr>
          <w:p w14:paraId="5338267B" w14:textId="77777777" w:rsidR="009229CE" w:rsidRPr="00E72303" w:rsidRDefault="009229CE" w:rsidP="009229CE">
            <w:pPr>
              <w:ind w:firstLine="0"/>
              <w:jc w:val="center"/>
              <w:rPr>
                <w:rFonts w:cs="Times New Roman"/>
                <w:szCs w:val="24"/>
              </w:rPr>
            </w:pPr>
            <w:r w:rsidRPr="00E72303">
              <w:rPr>
                <w:rFonts w:cs="Times New Roman"/>
                <w:szCs w:val="24"/>
              </w:rPr>
              <w:t>31.66</w:t>
            </w:r>
          </w:p>
        </w:tc>
        <w:tc>
          <w:tcPr>
            <w:tcW w:w="860" w:type="dxa"/>
            <w:noWrap/>
            <w:vAlign w:val="center"/>
            <w:hideMark/>
          </w:tcPr>
          <w:p w14:paraId="2C2919D2" w14:textId="0A0402A7" w:rsidR="009229CE" w:rsidRPr="00E72303" w:rsidRDefault="009229CE" w:rsidP="009229CE">
            <w:pPr>
              <w:ind w:firstLine="0"/>
              <w:jc w:val="center"/>
              <w:rPr>
                <w:rFonts w:cs="Times New Roman"/>
                <w:b/>
                <w:bCs/>
                <w:szCs w:val="24"/>
              </w:rPr>
            </w:pPr>
            <w:r w:rsidRPr="00E72303">
              <w:rPr>
                <w:rFonts w:cs="Times New Roman"/>
                <w:b/>
                <w:bCs/>
                <w:szCs w:val="24"/>
              </w:rPr>
              <w:t>32.25</w:t>
            </w:r>
          </w:p>
        </w:tc>
        <w:tc>
          <w:tcPr>
            <w:tcW w:w="860" w:type="dxa"/>
            <w:noWrap/>
            <w:vAlign w:val="center"/>
            <w:hideMark/>
          </w:tcPr>
          <w:p w14:paraId="3FD05EA9" w14:textId="77777777" w:rsidR="009229CE" w:rsidRPr="00E72303" w:rsidRDefault="009229CE" w:rsidP="009229CE">
            <w:pPr>
              <w:ind w:firstLine="0"/>
              <w:jc w:val="center"/>
              <w:rPr>
                <w:rFonts w:cs="Times New Roman"/>
                <w:szCs w:val="24"/>
              </w:rPr>
            </w:pPr>
            <w:r w:rsidRPr="00E72303">
              <w:rPr>
                <w:rFonts w:cs="Times New Roman"/>
                <w:szCs w:val="24"/>
              </w:rPr>
              <w:t>31.35</w:t>
            </w:r>
          </w:p>
        </w:tc>
        <w:tc>
          <w:tcPr>
            <w:tcW w:w="860" w:type="dxa"/>
            <w:noWrap/>
            <w:vAlign w:val="center"/>
            <w:hideMark/>
          </w:tcPr>
          <w:p w14:paraId="37CC5D46" w14:textId="77777777" w:rsidR="009229CE" w:rsidRPr="00E72303" w:rsidRDefault="009229CE" w:rsidP="009229CE">
            <w:pPr>
              <w:ind w:firstLine="0"/>
              <w:jc w:val="center"/>
              <w:rPr>
                <w:rFonts w:cs="Times New Roman"/>
                <w:szCs w:val="24"/>
              </w:rPr>
            </w:pPr>
            <w:r w:rsidRPr="00E72303">
              <w:rPr>
                <w:rFonts w:cs="Times New Roman"/>
                <w:szCs w:val="24"/>
              </w:rPr>
              <w:t>---</w:t>
            </w:r>
          </w:p>
        </w:tc>
        <w:tc>
          <w:tcPr>
            <w:tcW w:w="860" w:type="dxa"/>
            <w:noWrap/>
            <w:vAlign w:val="center"/>
            <w:hideMark/>
          </w:tcPr>
          <w:p w14:paraId="36232524" w14:textId="77777777" w:rsidR="009229CE" w:rsidRPr="00E72303" w:rsidRDefault="009229CE" w:rsidP="009229CE">
            <w:pPr>
              <w:ind w:firstLine="0"/>
              <w:jc w:val="center"/>
              <w:rPr>
                <w:rFonts w:cs="Times New Roman"/>
                <w:szCs w:val="24"/>
              </w:rPr>
            </w:pPr>
            <w:r w:rsidRPr="00E72303">
              <w:rPr>
                <w:rFonts w:cs="Times New Roman"/>
                <w:szCs w:val="24"/>
              </w:rPr>
              <w:t>---</w:t>
            </w:r>
          </w:p>
        </w:tc>
      </w:tr>
      <w:tr w:rsidR="009229CE" w:rsidRPr="00E72303" w14:paraId="01522248" w14:textId="77777777">
        <w:trPr>
          <w:trHeight w:val="288"/>
        </w:trPr>
        <w:tc>
          <w:tcPr>
            <w:tcW w:w="9350" w:type="dxa"/>
            <w:gridSpan w:val="9"/>
            <w:noWrap/>
            <w:vAlign w:val="center"/>
          </w:tcPr>
          <w:p w14:paraId="3297B6F2" w14:textId="42E2C5E7" w:rsidR="009229CE" w:rsidRPr="00E72303" w:rsidRDefault="009229CE" w:rsidP="009229CE">
            <w:pPr>
              <w:ind w:firstLine="0"/>
              <w:rPr>
                <w:rFonts w:cs="Times New Roman"/>
                <w:b/>
                <w:bCs/>
                <w:i/>
                <w:iCs/>
                <w:szCs w:val="24"/>
              </w:rPr>
            </w:pPr>
            <w:r w:rsidRPr="00E72303">
              <w:rPr>
                <w:rFonts w:cs="Times New Roman"/>
                <w:b/>
                <w:bCs/>
                <w:i/>
                <w:iCs/>
                <w:szCs w:val="24"/>
              </w:rPr>
              <w:t>N.B.: Bold number indicates the optimum number of fusion records</w:t>
            </w:r>
          </w:p>
        </w:tc>
      </w:tr>
    </w:tbl>
    <w:p w14:paraId="4B34422A" w14:textId="77777777" w:rsidR="00E4728E" w:rsidRPr="00E72303" w:rsidRDefault="00E4728E" w:rsidP="007B178E">
      <w:pPr>
        <w:pStyle w:val="1stParagraph"/>
      </w:pPr>
    </w:p>
    <w:p w14:paraId="7951D9D3" w14:textId="5043C6D8" w:rsidR="00C91985" w:rsidRPr="00E72303" w:rsidRDefault="00F8115A" w:rsidP="007B178E">
      <w:pPr>
        <w:pStyle w:val="Figure"/>
      </w:pPr>
      <w:r w:rsidRPr="00E72303">
        <w:drawing>
          <wp:inline distT="0" distB="0" distL="0" distR="0" wp14:anchorId="53303332" wp14:editId="39E46347">
            <wp:extent cx="5943600" cy="2315845"/>
            <wp:effectExtent l="0" t="0" r="0" b="8255"/>
            <wp:docPr id="1174376729" name="Picture 2" descr="A graph and char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76729" name="Picture 2" descr="A graph and chart with text&#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315845"/>
                    </a:xfrm>
                    <a:prstGeom prst="rect">
                      <a:avLst/>
                    </a:prstGeom>
                  </pic:spPr>
                </pic:pic>
              </a:graphicData>
            </a:graphic>
          </wp:inline>
        </w:drawing>
      </w:r>
    </w:p>
    <w:p w14:paraId="0E201F7C" w14:textId="342468F5" w:rsidR="00DD284D" w:rsidRPr="00E72303" w:rsidRDefault="00F77BCB" w:rsidP="007B178E">
      <w:pPr>
        <w:pStyle w:val="FigureCaption"/>
      </w:pPr>
      <w:r w:rsidRPr="00E72303">
        <w:t xml:space="preserve">Figure </w:t>
      </w:r>
      <w:r w:rsidR="00F2467C" w:rsidRPr="00E72303">
        <w:t>6</w:t>
      </w:r>
      <w:r w:rsidR="007E03BC" w:rsidRPr="00E72303">
        <w:t>:</w:t>
      </w:r>
      <w:r w:rsidRPr="00E72303">
        <w:t xml:space="preserve"> Improvement of LL across Various Model Estimations</w:t>
      </w:r>
    </w:p>
    <w:p w14:paraId="13FF6DEA" w14:textId="77777777" w:rsidR="00DA5FF9" w:rsidRPr="00E72303" w:rsidRDefault="00DA5FF9" w:rsidP="007B178E">
      <w:pPr>
        <w:pStyle w:val="FigureCaption"/>
      </w:pPr>
    </w:p>
    <w:p w14:paraId="7668E54A" w14:textId="054DD493" w:rsidR="00D92007" w:rsidRPr="00E72303" w:rsidRDefault="00110F13" w:rsidP="007B178E">
      <w:pPr>
        <w:pStyle w:val="ListParagraph"/>
        <w:ind w:firstLine="0"/>
      </w:pPr>
      <w:r w:rsidRPr="00E72303">
        <w:rPr>
          <w:i/>
          <w:iCs/>
        </w:rPr>
        <w:t>In</w:t>
      </w:r>
      <w:r w:rsidR="00BE585F" w:rsidRPr="00E72303">
        <w:rPr>
          <w:i/>
          <w:iCs/>
        </w:rPr>
        <w:t xml:space="preserve"> the final step</w:t>
      </w:r>
      <w:r w:rsidR="00BE585F" w:rsidRPr="00E72303">
        <w:t xml:space="preserve">, </w:t>
      </w:r>
      <w:r w:rsidR="00F839E6" w:rsidRPr="00E72303">
        <w:t xml:space="preserve">the </w:t>
      </w:r>
      <w:r w:rsidR="0040423F" w:rsidRPr="00E72303">
        <w:t>stability of the fusion model is tested</w:t>
      </w:r>
      <w:r w:rsidR="001F657F" w:rsidRPr="00E72303">
        <w:t xml:space="preserve">. </w:t>
      </w:r>
      <w:r w:rsidR="003F08FB" w:rsidRPr="00E72303">
        <w:t xml:space="preserve">Since the 15 NHTS records were selected randomly, it is important to </w:t>
      </w:r>
      <w:r w:rsidR="00D92007" w:rsidRPr="00E72303">
        <w:t>ensure the random sampling does not affect the stability of estimates</w:t>
      </w:r>
      <w:r w:rsidR="003F08FB" w:rsidRPr="00E72303">
        <w:t>. For this reason,</w:t>
      </w:r>
      <w:r w:rsidR="00D92007" w:rsidRPr="00E72303">
        <w:t xml:space="preserve"> we conducted model estimation by employing multiple random samples following the same process used for the estimation sample. For </w:t>
      </w:r>
      <w:proofErr w:type="gramStart"/>
      <w:r w:rsidR="00D92007" w:rsidRPr="00E72303">
        <w:t>all of</w:t>
      </w:r>
      <w:proofErr w:type="gramEnd"/>
      <w:r w:rsidR="00D92007" w:rsidRPr="00E72303">
        <w:t xml:space="preserve"> these samples </w:t>
      </w:r>
      <w:r w:rsidR="003F08FB" w:rsidRPr="00E72303">
        <w:t>fusion</w:t>
      </w:r>
      <w:r w:rsidR="00D92007" w:rsidRPr="00E72303">
        <w:t xml:space="preserve"> model specifications described were estimated. The reader would note that across the samples, it is not likely that the parameters </w:t>
      </w:r>
      <w:r w:rsidR="001117F5" w:rsidRPr="00E72303">
        <w:t>estimate</w:t>
      </w:r>
      <w:r w:rsidR="00D92007" w:rsidRPr="00E72303">
        <w:t xml:space="preserve"> remain identical. However, the focus is on examining if the parameters across these multiple samples exhibit statistically significant variability.  For this purpose, we consider the mean of the parameters across the samples as the population estimate. Subsequently, a revised Wald </w:t>
      </w:r>
      <w:r w:rsidR="00C90607" w:rsidRPr="00E72303">
        <w:t>t-</w:t>
      </w:r>
      <w:r w:rsidR="00D92007" w:rsidRPr="00E72303">
        <w:t>test statistic is generated for each sample parameter relative to population mean parameter as follows:</w:t>
      </w:r>
    </w:p>
    <w:p w14:paraId="31313AE6" w14:textId="60C14CFA" w:rsidR="00D92007" w:rsidRPr="00E72303" w:rsidRDefault="00D92007" w:rsidP="007B178E">
      <w:pPr>
        <w:ind w:firstLine="0"/>
        <w:jc w:val="left"/>
        <w:rPr>
          <w:rFonts w:cs="Times New Roman"/>
          <w:szCs w:val="24"/>
        </w:rPr>
      </w:pPr>
      <w:r w:rsidRPr="00E72303">
        <w:rPr>
          <w:rFonts w:cs="Times New Roman"/>
          <w:szCs w:val="24"/>
        </w:rPr>
        <w:lastRenderedPageBreak/>
        <w:t xml:space="preserve">Parameter test statistic = </w:t>
      </w:r>
      <m:oMath>
        <m:r>
          <w:rPr>
            <w:rFonts w:ascii="Cambria Math" w:hAnsi="Cambria Math" w:cs="Times New Roman"/>
            <w:szCs w:val="24"/>
          </w:rPr>
          <m:t>abs</m:t>
        </m:r>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Sample parameter-Population benchmark</m:t>
                </m:r>
              </m:num>
              <m:den>
                <m:rad>
                  <m:radPr>
                    <m:degHide m:val="1"/>
                    <m:ctrlPr>
                      <w:rPr>
                        <w:rFonts w:ascii="Cambria Math" w:hAnsi="Cambria Math" w:cs="Times New Roman"/>
                        <w:i/>
                        <w:szCs w:val="24"/>
                      </w:rPr>
                    </m:ctrlPr>
                  </m:radPr>
                  <m:deg/>
                  <m:e>
                    <m:r>
                      <w:rPr>
                        <w:rFonts w:ascii="Cambria Math" w:hAnsi="Cambria Math" w:cs="Times New Roman"/>
                        <w:szCs w:val="24"/>
                      </w:rPr>
                      <m:t>S</m:t>
                    </m:r>
                    <m:sSubSup>
                      <m:sSubSupPr>
                        <m:ctrlPr>
                          <w:rPr>
                            <w:rFonts w:ascii="Cambria Math" w:hAnsi="Cambria Math" w:cs="Times New Roman"/>
                            <w:i/>
                            <w:szCs w:val="24"/>
                          </w:rPr>
                        </m:ctrlPr>
                      </m:sSubSupPr>
                      <m:e>
                        <m:r>
                          <w:rPr>
                            <w:rFonts w:ascii="Cambria Math" w:hAnsi="Cambria Math" w:cs="Times New Roman"/>
                            <w:szCs w:val="24"/>
                          </w:rPr>
                          <m:t>E</m:t>
                        </m:r>
                      </m:e>
                      <m:sub>
                        <m:r>
                          <w:rPr>
                            <w:rFonts w:ascii="Cambria Math" w:hAnsi="Cambria Math" w:cs="Times New Roman"/>
                            <w:szCs w:val="24"/>
                          </w:rPr>
                          <m:t>sample</m:t>
                        </m:r>
                      </m:sub>
                      <m:sup>
                        <m:r>
                          <w:rPr>
                            <w:rFonts w:ascii="Cambria Math" w:hAnsi="Cambria Math" w:cs="Times New Roman"/>
                            <w:szCs w:val="24"/>
                          </w:rPr>
                          <m:t>2</m:t>
                        </m:r>
                      </m:sup>
                    </m:sSubSup>
                    <m:r>
                      <w:rPr>
                        <w:rFonts w:ascii="Cambria Math" w:hAnsi="Cambria Math" w:cs="Times New Roman"/>
                        <w:szCs w:val="24"/>
                      </w:rPr>
                      <m:t>+ S</m:t>
                    </m:r>
                    <m:sSubSup>
                      <m:sSubSupPr>
                        <m:ctrlPr>
                          <w:rPr>
                            <w:rFonts w:ascii="Cambria Math" w:hAnsi="Cambria Math" w:cs="Times New Roman"/>
                            <w:i/>
                            <w:szCs w:val="24"/>
                          </w:rPr>
                        </m:ctrlPr>
                      </m:sSubSupPr>
                      <m:e>
                        <m:r>
                          <w:rPr>
                            <w:rFonts w:ascii="Cambria Math" w:hAnsi="Cambria Math" w:cs="Times New Roman"/>
                            <w:szCs w:val="24"/>
                          </w:rPr>
                          <m:t>E</m:t>
                        </m:r>
                      </m:e>
                      <m:sub>
                        <m:r>
                          <w:rPr>
                            <w:rFonts w:ascii="Cambria Math" w:hAnsi="Cambria Math" w:cs="Times New Roman"/>
                            <w:szCs w:val="24"/>
                          </w:rPr>
                          <m:t>population</m:t>
                        </m:r>
                      </m:sub>
                      <m:sup>
                        <m:r>
                          <w:rPr>
                            <w:rFonts w:ascii="Cambria Math" w:hAnsi="Cambria Math" w:cs="Times New Roman"/>
                            <w:szCs w:val="24"/>
                          </w:rPr>
                          <m:t>2</m:t>
                        </m:r>
                      </m:sup>
                    </m:sSubSup>
                  </m:e>
                </m:rad>
              </m:den>
            </m:f>
          </m:e>
        </m:d>
        <m:r>
          <w:rPr>
            <w:rFonts w:ascii="Cambria Math" w:hAnsi="Cambria Math" w:cs="Times New Roman"/>
            <w:szCs w:val="24"/>
          </w:rPr>
          <m:t>…………………………(8)</m:t>
        </m:r>
      </m:oMath>
    </w:p>
    <w:p w14:paraId="55227731" w14:textId="77777777" w:rsidR="00DA5FF9" w:rsidRPr="00E72303" w:rsidRDefault="00DA5FF9" w:rsidP="007B178E"/>
    <w:p w14:paraId="4FE70620" w14:textId="1A4145E1" w:rsidR="00104B69" w:rsidRPr="00E72303" w:rsidRDefault="008667F1" w:rsidP="007B178E">
      <w:r w:rsidRPr="00E72303">
        <w:t xml:space="preserve">It was found that </w:t>
      </w:r>
      <w:r w:rsidR="00D92007" w:rsidRPr="00E72303">
        <w:t>the parameter test statistic is less than critical t statistic value (1.65) for 90% confidence interval</w:t>
      </w:r>
      <w:r w:rsidR="00C47A86" w:rsidRPr="00E72303">
        <w:t xml:space="preserve"> for all variables</w:t>
      </w:r>
      <w:r w:rsidR="00946C27" w:rsidRPr="00E72303">
        <w:t xml:space="preserve"> except for the weight variable – age</w:t>
      </w:r>
      <w:r w:rsidR="000F1AD6" w:rsidRPr="00E72303">
        <w:t xml:space="preserve">. </w:t>
      </w:r>
      <w:r w:rsidR="006B0AFB" w:rsidRPr="00E72303">
        <w:t xml:space="preserve">For the age variable, a small number of samples (3) </w:t>
      </w:r>
      <w:r w:rsidR="00893AB1" w:rsidRPr="00E72303">
        <w:t xml:space="preserve">violate the 1.65 test statistics. But as noted in the box plot, the mean and distribution are well under the 1.65 level. </w:t>
      </w:r>
      <w:r w:rsidR="00F74C49" w:rsidRPr="00E72303">
        <w:t xml:space="preserve">The reader would note that, out </w:t>
      </w:r>
      <w:r w:rsidR="003D00BC" w:rsidRPr="00E72303">
        <w:t>of 340</w:t>
      </w:r>
      <w:r w:rsidR="00143668" w:rsidRPr="00E72303">
        <w:t xml:space="preserve"> (= 34 variables x 10 </w:t>
      </w:r>
      <w:r w:rsidR="003D00BC" w:rsidRPr="00E72303">
        <w:t>models)</w:t>
      </w:r>
      <w:r w:rsidR="00F74C49" w:rsidRPr="00E72303">
        <w:t xml:space="preserve"> </w:t>
      </w:r>
      <w:r w:rsidR="00893AB1" w:rsidRPr="00E72303">
        <w:t>test statistics generated</w:t>
      </w:r>
      <w:r w:rsidR="00F74C49" w:rsidRPr="00E72303">
        <w:t xml:space="preserve"> </w:t>
      </w:r>
      <w:r w:rsidR="006B0F3B" w:rsidRPr="00E72303">
        <w:t xml:space="preserve">only 3 </w:t>
      </w:r>
      <w:r w:rsidR="00893AB1" w:rsidRPr="00E72303">
        <w:t xml:space="preserve">values are </w:t>
      </w:r>
      <w:r w:rsidR="006B0F3B" w:rsidRPr="00E72303">
        <w:t>larger than 1.65.</w:t>
      </w:r>
      <w:r w:rsidR="00F74C49" w:rsidRPr="00E72303">
        <w:t xml:space="preserve"> </w:t>
      </w:r>
      <w:r w:rsidRPr="00E72303">
        <w:t xml:space="preserve">This implies </w:t>
      </w:r>
      <w:r w:rsidR="00061669" w:rsidRPr="00E72303">
        <w:t>that</w:t>
      </w:r>
      <w:r w:rsidR="00D92007" w:rsidRPr="00E72303">
        <w:t xml:space="preserve"> </w:t>
      </w:r>
      <w:r w:rsidR="00785CEC" w:rsidRPr="00E72303">
        <w:t xml:space="preserve">sample randomness does not affect the </w:t>
      </w:r>
      <w:r w:rsidR="00D92007" w:rsidRPr="00E72303">
        <w:t xml:space="preserve">parameter </w:t>
      </w:r>
      <w:r w:rsidR="00785CEC" w:rsidRPr="00E72303">
        <w:t>stability across the samples</w:t>
      </w:r>
      <w:r w:rsidR="00F96BD8" w:rsidRPr="00E72303">
        <w:t xml:space="preserve"> (see distribution of t-statistic across all variables in Figure </w:t>
      </w:r>
      <w:r w:rsidR="00F2467C" w:rsidRPr="00E72303">
        <w:t>7</w:t>
      </w:r>
      <w:r w:rsidR="00F96BD8" w:rsidRPr="00E72303">
        <w:t>)</w:t>
      </w:r>
      <w:r w:rsidRPr="00E72303">
        <w:t>.</w:t>
      </w:r>
      <w:r w:rsidR="00AA44FB" w:rsidRPr="00E72303">
        <w:t xml:space="preserve"> </w:t>
      </w:r>
    </w:p>
    <w:p w14:paraId="71324B9C" w14:textId="77777777" w:rsidR="00BF536C" w:rsidRPr="00E72303" w:rsidRDefault="00BF536C" w:rsidP="007B178E">
      <w:pPr>
        <w:ind w:firstLine="0"/>
      </w:pPr>
    </w:p>
    <w:p w14:paraId="247A8CF1" w14:textId="77777777" w:rsidR="00BF536C" w:rsidRPr="00E72303" w:rsidRDefault="00BF536C" w:rsidP="007B178E">
      <w:pPr>
        <w:sectPr w:rsidR="00BF536C" w:rsidRPr="00E72303" w:rsidSect="009535C4">
          <w:pgSz w:w="12240" w:h="15840"/>
          <w:pgMar w:top="1440" w:right="1440" w:bottom="1440" w:left="1440" w:header="720" w:footer="720" w:gutter="0"/>
          <w:lnNumType w:countBy="1"/>
          <w:cols w:space="720"/>
          <w:docGrid w:linePitch="360"/>
        </w:sectPr>
      </w:pPr>
    </w:p>
    <w:p w14:paraId="5C9A71C8" w14:textId="5E801139" w:rsidR="00BF536C" w:rsidRPr="00E72303" w:rsidRDefault="00BF536C" w:rsidP="007B178E">
      <w:r w:rsidRPr="00E72303">
        <w:rPr>
          <w:noProof/>
        </w:rPr>
        <w:lastRenderedPageBreak/>
        <w:drawing>
          <wp:inline distT="0" distB="0" distL="0" distR="0" wp14:anchorId="7221AE64" wp14:editId="7B660F23">
            <wp:extent cx="7292340" cy="5468817"/>
            <wp:effectExtent l="0" t="0" r="3810" b="0"/>
            <wp:docPr id="1127226938" name="Picture 1" descr="A group of graphs with different colored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26938" name="Picture 1" descr="A group of graphs with different colored boxes&#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7310399" cy="5482360"/>
                    </a:xfrm>
                    <a:prstGeom prst="rect">
                      <a:avLst/>
                    </a:prstGeom>
                  </pic:spPr>
                </pic:pic>
              </a:graphicData>
            </a:graphic>
          </wp:inline>
        </w:drawing>
      </w:r>
    </w:p>
    <w:p w14:paraId="154A57E0" w14:textId="2CB432E4" w:rsidR="00BF536C" w:rsidRPr="00E72303" w:rsidRDefault="00377CF5" w:rsidP="007B178E">
      <w:pPr>
        <w:jc w:val="center"/>
        <w:rPr>
          <w:b/>
          <w:bCs/>
        </w:rPr>
        <w:sectPr w:rsidR="00BF536C" w:rsidRPr="00E72303" w:rsidSect="00A270E1">
          <w:pgSz w:w="15840" w:h="12240" w:orient="landscape"/>
          <w:pgMar w:top="1440" w:right="1440" w:bottom="1440" w:left="1440" w:header="720" w:footer="720" w:gutter="0"/>
          <w:lnNumType w:countBy="1"/>
          <w:cols w:space="720"/>
          <w:docGrid w:linePitch="360"/>
        </w:sectPr>
      </w:pPr>
      <w:r w:rsidRPr="00E72303">
        <w:rPr>
          <w:rFonts w:cs="Times New Roman"/>
          <w:b/>
          <w:bCs/>
          <w:szCs w:val="24"/>
        </w:rPr>
        <w:t xml:space="preserve">Figure </w:t>
      </w:r>
      <w:r w:rsidR="00F2467C" w:rsidRPr="00E72303">
        <w:rPr>
          <w:rFonts w:cs="Times New Roman"/>
          <w:b/>
          <w:bCs/>
          <w:szCs w:val="24"/>
        </w:rPr>
        <w:t>7</w:t>
      </w:r>
      <w:r w:rsidRPr="00E72303">
        <w:rPr>
          <w:rFonts w:cs="Times New Roman"/>
          <w:b/>
          <w:bCs/>
          <w:szCs w:val="24"/>
        </w:rPr>
        <w:t xml:space="preserve">: </w:t>
      </w:r>
      <w:r w:rsidRPr="00E72303">
        <w:rPr>
          <w:b/>
          <w:bCs/>
        </w:rPr>
        <w:t>Test Statistics for Parameter Estimates Across Sample</w:t>
      </w:r>
      <w:r w:rsidR="006B311B" w:rsidRPr="00E72303">
        <w:rPr>
          <w:b/>
          <w:bCs/>
        </w:rPr>
        <w:t>s</w:t>
      </w:r>
    </w:p>
    <w:p w14:paraId="3F445C85" w14:textId="72492D7D" w:rsidR="00E171EA" w:rsidRPr="00E72303" w:rsidRDefault="00E171EA" w:rsidP="007B178E">
      <w:pPr>
        <w:pStyle w:val="Heading1"/>
        <w:rPr>
          <w:color w:val="auto"/>
        </w:rPr>
      </w:pPr>
      <w:r w:rsidRPr="00E72303">
        <w:rPr>
          <w:color w:val="auto"/>
        </w:rPr>
        <w:lastRenderedPageBreak/>
        <w:t>Empirical Result</w:t>
      </w:r>
      <w:r w:rsidR="0004701A" w:rsidRPr="00E72303">
        <w:rPr>
          <w:color w:val="auto"/>
        </w:rPr>
        <w:t>S</w:t>
      </w:r>
      <w:r w:rsidRPr="00E72303">
        <w:rPr>
          <w:color w:val="auto"/>
        </w:rPr>
        <w:t xml:space="preserve"> </w:t>
      </w:r>
    </w:p>
    <w:p w14:paraId="316DAB1B" w14:textId="79193FAB" w:rsidR="00246733" w:rsidRPr="00E72303" w:rsidRDefault="00451BA0" w:rsidP="007B178E">
      <w:pPr>
        <w:pStyle w:val="1stParagraph"/>
      </w:pPr>
      <w:r w:rsidRPr="00E72303">
        <w:t xml:space="preserve">This study involves estimation of two model structures: 1) </w:t>
      </w:r>
      <w:r w:rsidR="00EF5498" w:rsidRPr="00E72303">
        <w:t>a binary logit model;</w:t>
      </w:r>
      <w:r w:rsidRPr="00E72303">
        <w:t xml:space="preserve"> and 2) </w:t>
      </w:r>
      <w:r w:rsidR="00EF5498" w:rsidRPr="00E72303">
        <w:t>a multinomial logit model</w:t>
      </w:r>
      <w:r w:rsidRPr="00E72303">
        <w:t xml:space="preserve">. The model estimation process involved the following steps. First, </w:t>
      </w:r>
      <w:r w:rsidR="00EF5498" w:rsidRPr="00E72303">
        <w:t xml:space="preserve">the binary logit model was developed </w:t>
      </w:r>
      <w:r w:rsidR="001946C0" w:rsidRPr="00E72303">
        <w:t xml:space="preserve">to estimate the </w:t>
      </w:r>
      <w:r w:rsidR="00BB01D2" w:rsidRPr="00E72303">
        <w:t xml:space="preserve">propensity for </w:t>
      </w:r>
      <w:r w:rsidR="001946C0" w:rsidRPr="00E72303">
        <w:t xml:space="preserve">purchasing of a new car </w:t>
      </w:r>
      <w:r w:rsidR="00852012" w:rsidRPr="00E72303">
        <w:t xml:space="preserve">using </w:t>
      </w:r>
      <w:r w:rsidR="00EF5498" w:rsidRPr="00E72303">
        <w:t>NHTS dataset.</w:t>
      </w:r>
      <w:r w:rsidR="001946C0" w:rsidRPr="00E72303">
        <w:t xml:space="preserve"> </w:t>
      </w:r>
      <w:r w:rsidRPr="00E72303">
        <w:t xml:space="preserve">Second, </w:t>
      </w:r>
      <w:r w:rsidR="001946C0" w:rsidRPr="00E72303">
        <w:t xml:space="preserve">the new car records in NHTS dataset were fused </w:t>
      </w:r>
      <w:r w:rsidR="00BB01D2" w:rsidRPr="00E72303">
        <w:t xml:space="preserve">with </w:t>
      </w:r>
      <w:proofErr w:type="spellStart"/>
      <w:r w:rsidR="001946C0" w:rsidRPr="00E72303">
        <w:t>MaritzCX</w:t>
      </w:r>
      <w:proofErr w:type="spellEnd"/>
      <w:r w:rsidR="001946C0" w:rsidRPr="00E72303">
        <w:t xml:space="preserve"> dataset</w:t>
      </w:r>
      <w:r w:rsidR="00437E77" w:rsidRPr="00E72303">
        <w:t xml:space="preserve"> following the procedure described above</w:t>
      </w:r>
      <w:r w:rsidR="001946C0" w:rsidRPr="00E72303">
        <w:t xml:space="preserve">, and a multinomial logit model </w:t>
      </w:r>
      <w:r w:rsidR="00437E77" w:rsidRPr="00E72303">
        <w:t xml:space="preserve">with </w:t>
      </w:r>
      <w:r w:rsidR="00DB1390" w:rsidRPr="00E72303">
        <w:t>probabilistic</w:t>
      </w:r>
      <w:r w:rsidR="00437E77" w:rsidRPr="00E72303">
        <w:t xml:space="preserve"> weighting </w:t>
      </w:r>
      <w:r w:rsidR="001946C0" w:rsidRPr="00E72303">
        <w:t xml:space="preserve">was developed to estimate the choice of a new car. The estimation results of the models with </w:t>
      </w:r>
      <w:r w:rsidR="00114DC9" w:rsidRPr="00E72303">
        <w:t xml:space="preserve">statistically </w:t>
      </w:r>
      <w:r w:rsidR="001946C0" w:rsidRPr="00E72303">
        <w:t>significant coefficients</w:t>
      </w:r>
      <w:r w:rsidR="00114DC9" w:rsidRPr="00E72303">
        <w:t xml:space="preserve"> (at 90% confidence level) </w:t>
      </w:r>
      <w:r w:rsidR="001946C0" w:rsidRPr="00E72303">
        <w:t>are described here.</w:t>
      </w:r>
    </w:p>
    <w:p w14:paraId="4E78D3AC" w14:textId="77777777" w:rsidR="00DA5FF9" w:rsidRPr="00E72303" w:rsidRDefault="00DA5FF9" w:rsidP="007B178E">
      <w:pPr>
        <w:pStyle w:val="1stParagraph"/>
      </w:pPr>
    </w:p>
    <w:p w14:paraId="2EBE4753" w14:textId="0E7A0D9C" w:rsidR="00BA6FD0" w:rsidRPr="00E72303" w:rsidRDefault="00BA6FD0" w:rsidP="007B178E">
      <w:pPr>
        <w:pStyle w:val="Heading2"/>
        <w:rPr>
          <w:color w:val="auto"/>
        </w:rPr>
      </w:pPr>
      <w:r w:rsidRPr="00E72303">
        <w:rPr>
          <w:color w:val="auto"/>
        </w:rPr>
        <w:t>Binary Logit Model</w:t>
      </w:r>
    </w:p>
    <w:p w14:paraId="04641797" w14:textId="147D07A4" w:rsidR="00246733" w:rsidRPr="00E72303" w:rsidRDefault="00633366" w:rsidP="007B178E">
      <w:pPr>
        <w:pStyle w:val="1stParagraph"/>
      </w:pPr>
      <w:r w:rsidRPr="00E72303">
        <w:t>The estimation results of the binary logit model are shown in Table</w:t>
      </w:r>
      <w:r w:rsidR="00691CD0" w:rsidRPr="00E72303">
        <w:t xml:space="preserve"> </w:t>
      </w:r>
      <w:r w:rsidR="000466A2" w:rsidRPr="00E72303">
        <w:t>3</w:t>
      </w:r>
      <w:r w:rsidRPr="00E72303">
        <w:t>.</w:t>
      </w:r>
    </w:p>
    <w:p w14:paraId="4789BDE0" w14:textId="77777777" w:rsidR="00DA5FF9" w:rsidRPr="00E72303" w:rsidRDefault="00DA5FF9" w:rsidP="007B178E">
      <w:pPr>
        <w:pStyle w:val="1stParagraph"/>
      </w:pPr>
    </w:p>
    <w:p w14:paraId="1B46787B" w14:textId="5AA777B1" w:rsidR="00BA6FD0" w:rsidRPr="00E72303" w:rsidRDefault="00324ACA" w:rsidP="007B178E">
      <w:pPr>
        <w:pStyle w:val="Heading3"/>
        <w:rPr>
          <w:color w:val="auto"/>
        </w:rPr>
      </w:pPr>
      <w:r w:rsidRPr="00E72303">
        <w:rPr>
          <w:color w:val="auto"/>
        </w:rPr>
        <w:t xml:space="preserve">Household </w:t>
      </w:r>
      <w:r w:rsidR="00BA6FD0" w:rsidRPr="00E72303">
        <w:rPr>
          <w:color w:val="auto"/>
        </w:rPr>
        <w:t>Economic Characteristics</w:t>
      </w:r>
    </w:p>
    <w:p w14:paraId="57392899" w14:textId="2D3F81B6" w:rsidR="00D27ECC" w:rsidRPr="00E72303" w:rsidRDefault="006D0EC3" w:rsidP="007B178E">
      <w:pPr>
        <w:pStyle w:val="1stParagraph"/>
      </w:pPr>
      <w:r w:rsidRPr="00E72303">
        <w:t xml:space="preserve">Several characteristics of the </w:t>
      </w:r>
      <w:r w:rsidR="00324ACA" w:rsidRPr="00E72303">
        <w:t xml:space="preserve">household </w:t>
      </w:r>
      <w:r w:rsidRPr="00E72303">
        <w:t xml:space="preserve">were </w:t>
      </w:r>
      <w:r w:rsidR="00C97B33" w:rsidRPr="00E72303">
        <w:t xml:space="preserve">tested </w:t>
      </w:r>
      <w:r w:rsidRPr="00E72303">
        <w:t>in o</w:t>
      </w:r>
      <w:r w:rsidR="00AE69FF" w:rsidRPr="00E72303">
        <w:t xml:space="preserve">ur </w:t>
      </w:r>
      <w:r w:rsidRPr="00E72303">
        <w:t xml:space="preserve">model. Among them household income, household ownership, and number of workers were found to offer significant impact on purchasing a new car. It </w:t>
      </w:r>
      <w:r w:rsidR="00A92BCD" w:rsidRPr="00E72303">
        <w:t xml:space="preserve">is noticeable </w:t>
      </w:r>
      <w:r w:rsidR="00D3526E" w:rsidRPr="00E72303">
        <w:t>that</w:t>
      </w:r>
      <w:r w:rsidRPr="00E72303">
        <w:t xml:space="preserve"> </w:t>
      </w:r>
      <w:r w:rsidR="00D94C01" w:rsidRPr="00E72303">
        <w:t>medium</w:t>
      </w:r>
      <w:r w:rsidRPr="00E72303">
        <w:t xml:space="preserve"> and </w:t>
      </w:r>
      <w:r w:rsidR="00A92BCD" w:rsidRPr="00E72303">
        <w:t>high-income</w:t>
      </w:r>
      <w:r w:rsidRPr="00E72303">
        <w:t xml:space="preserve"> household</w:t>
      </w:r>
      <w:r w:rsidR="00A92BCD" w:rsidRPr="00E72303">
        <w:t>s</w:t>
      </w:r>
      <w:r w:rsidRPr="00E72303">
        <w:t xml:space="preserve"> </w:t>
      </w:r>
      <w:r w:rsidR="00256532" w:rsidRPr="00E72303">
        <w:t>are more likely to purchase a new car compared to</w:t>
      </w:r>
      <w:r w:rsidR="00A92BCD" w:rsidRPr="00E72303">
        <w:t xml:space="preserve"> low-income households. </w:t>
      </w:r>
      <w:r w:rsidR="00256532" w:rsidRPr="00E72303">
        <w:t>H</w:t>
      </w:r>
      <w:r w:rsidR="00A92BCD" w:rsidRPr="00E72303">
        <w:t>ouseholds not owning a house are less likely</w:t>
      </w:r>
      <w:r w:rsidR="001457A2" w:rsidRPr="00E72303">
        <w:t xml:space="preserve"> to buy a new car. Finally, the positive impact of </w:t>
      </w:r>
      <w:r w:rsidR="00B971BD" w:rsidRPr="00E72303">
        <w:t>the number</w:t>
      </w:r>
      <w:r w:rsidR="001457A2" w:rsidRPr="00E72303">
        <w:t xml:space="preserve"> of workers </w:t>
      </w:r>
      <w:r w:rsidR="004B6B93" w:rsidRPr="00E72303">
        <w:t>indicates that</w:t>
      </w:r>
      <w:r w:rsidR="001457A2" w:rsidRPr="00E72303">
        <w:t xml:space="preserve"> </w:t>
      </w:r>
      <w:r w:rsidR="00506B7B" w:rsidRPr="00E72303">
        <w:t xml:space="preserve">an </w:t>
      </w:r>
      <w:r w:rsidR="001457A2" w:rsidRPr="00E72303">
        <w:t>increase</w:t>
      </w:r>
      <w:r w:rsidR="00506B7B" w:rsidRPr="00E72303">
        <w:t xml:space="preserve"> in the </w:t>
      </w:r>
      <w:r w:rsidR="001457A2" w:rsidRPr="00E72303">
        <w:t>number of workers in a household increase</w:t>
      </w:r>
      <w:r w:rsidR="004B6B93" w:rsidRPr="00E72303">
        <w:t>s</w:t>
      </w:r>
      <w:r w:rsidR="001457A2" w:rsidRPr="00E72303">
        <w:t xml:space="preserve"> the likelihood of purchasing </w:t>
      </w:r>
      <w:r w:rsidR="00D27ECC" w:rsidRPr="00E72303">
        <w:t>a car</w:t>
      </w:r>
      <w:r w:rsidR="001457A2" w:rsidRPr="00E72303">
        <w:t xml:space="preserve">. </w:t>
      </w:r>
    </w:p>
    <w:p w14:paraId="04EA1DA9" w14:textId="77777777" w:rsidR="00DA5FF9" w:rsidRPr="00E72303" w:rsidRDefault="00DA5FF9" w:rsidP="007B178E">
      <w:pPr>
        <w:pStyle w:val="1stParagraph"/>
      </w:pPr>
    </w:p>
    <w:p w14:paraId="4E660DAC" w14:textId="2DC90E49" w:rsidR="00E73C1C" w:rsidRPr="00E72303" w:rsidRDefault="00324ACA" w:rsidP="007B178E">
      <w:pPr>
        <w:pStyle w:val="Heading3"/>
        <w:rPr>
          <w:color w:val="auto"/>
        </w:rPr>
      </w:pPr>
      <w:r w:rsidRPr="00E72303">
        <w:rPr>
          <w:color w:val="auto"/>
        </w:rPr>
        <w:t xml:space="preserve">Household </w:t>
      </w:r>
      <w:r w:rsidR="00E73C1C" w:rsidRPr="00E72303">
        <w:rPr>
          <w:color w:val="auto"/>
        </w:rPr>
        <w:t>Demographic Characteristics</w:t>
      </w:r>
    </w:p>
    <w:p w14:paraId="316C1990" w14:textId="77777777" w:rsidR="00DA5FF9" w:rsidRPr="00E72303" w:rsidRDefault="00E73C1C" w:rsidP="007B178E">
      <w:pPr>
        <w:pStyle w:val="1stParagraph"/>
        <w:rPr>
          <w:rFonts w:cs="Times New Roman"/>
          <w:sz w:val="22"/>
        </w:rPr>
      </w:pPr>
      <w:r w:rsidRPr="00E72303">
        <w:t>In terms of demographic characteristics, several variables were found to significant</w:t>
      </w:r>
      <w:r w:rsidR="00506B7B" w:rsidRPr="00E72303">
        <w:t xml:space="preserve">ly affect </w:t>
      </w:r>
      <w:r w:rsidRPr="00E72303">
        <w:t>car purchasing</w:t>
      </w:r>
      <w:r w:rsidR="00506B7B" w:rsidRPr="00E72303">
        <w:t xml:space="preserve"> </w:t>
      </w:r>
      <w:r w:rsidR="00F86310" w:rsidRPr="00E72303">
        <w:t>decisions</w:t>
      </w:r>
      <w:r w:rsidRPr="00E72303">
        <w:t>.</w:t>
      </w:r>
      <w:r w:rsidR="00A909E4" w:rsidRPr="00E72303">
        <w:t xml:space="preserve"> </w:t>
      </w:r>
      <w:r w:rsidR="00506B7B" w:rsidRPr="00E72303">
        <w:t>The</w:t>
      </w:r>
      <w:r w:rsidR="00A909E4" w:rsidRPr="00E72303">
        <w:t xml:space="preserve"> number of children was found to </w:t>
      </w:r>
      <w:r w:rsidR="00980CDB" w:rsidRPr="00E72303">
        <w:t>have</w:t>
      </w:r>
      <w:r w:rsidR="00A909E4" w:rsidRPr="00E72303">
        <w:t xml:space="preserve"> a negative impact indicating a </w:t>
      </w:r>
      <w:r w:rsidR="00506B7B" w:rsidRPr="00E72303">
        <w:rPr>
          <w:szCs w:val="24"/>
        </w:rPr>
        <w:t xml:space="preserve">lower </w:t>
      </w:r>
      <w:r w:rsidR="00A909E4" w:rsidRPr="00E72303">
        <w:rPr>
          <w:szCs w:val="24"/>
        </w:rPr>
        <w:t xml:space="preserve">likelihood of purchasing a car with </w:t>
      </w:r>
      <w:r w:rsidR="000D0E27" w:rsidRPr="00E72303">
        <w:rPr>
          <w:szCs w:val="24"/>
        </w:rPr>
        <w:t xml:space="preserve">an </w:t>
      </w:r>
      <w:r w:rsidR="00A909E4" w:rsidRPr="00E72303">
        <w:rPr>
          <w:szCs w:val="24"/>
        </w:rPr>
        <w:t xml:space="preserve">increased number of children. </w:t>
      </w:r>
      <w:r w:rsidR="000D0E27" w:rsidRPr="00E72303">
        <w:rPr>
          <w:szCs w:val="24"/>
        </w:rPr>
        <w:t>W</w:t>
      </w:r>
      <w:r w:rsidR="00AF7137" w:rsidRPr="00E72303">
        <w:rPr>
          <w:szCs w:val="24"/>
        </w:rPr>
        <w:t xml:space="preserve">ith respect to the proportion of female members in a household, proportion of male </w:t>
      </w:r>
      <w:r w:rsidR="000D0E27" w:rsidRPr="00E72303">
        <w:rPr>
          <w:szCs w:val="24"/>
        </w:rPr>
        <w:t xml:space="preserve">members offers a </w:t>
      </w:r>
      <w:r w:rsidR="00AF7137" w:rsidRPr="00E72303">
        <w:rPr>
          <w:szCs w:val="24"/>
        </w:rPr>
        <w:t xml:space="preserve">negative impact on car purchasing. </w:t>
      </w:r>
      <w:r w:rsidR="000D0E27" w:rsidRPr="00E72303">
        <w:rPr>
          <w:szCs w:val="24"/>
        </w:rPr>
        <w:t>H</w:t>
      </w:r>
      <w:r w:rsidR="00AF7137" w:rsidRPr="00E72303">
        <w:rPr>
          <w:szCs w:val="24"/>
        </w:rPr>
        <w:t xml:space="preserve">ouseholds with a higher proportion of </w:t>
      </w:r>
      <w:r w:rsidR="00EB4768" w:rsidRPr="00E72303">
        <w:rPr>
          <w:szCs w:val="24"/>
        </w:rPr>
        <w:t>African American</w:t>
      </w:r>
      <w:r w:rsidR="00AF7137" w:rsidRPr="00E72303">
        <w:rPr>
          <w:szCs w:val="24"/>
        </w:rPr>
        <w:t xml:space="preserve"> individuals are found to have </w:t>
      </w:r>
      <w:r w:rsidR="000D0E27" w:rsidRPr="00E72303">
        <w:rPr>
          <w:szCs w:val="24"/>
        </w:rPr>
        <w:t xml:space="preserve">lower </w:t>
      </w:r>
      <w:r w:rsidR="00AF7137" w:rsidRPr="00E72303">
        <w:rPr>
          <w:szCs w:val="24"/>
        </w:rPr>
        <w:t>likelihood of buying a new car</w:t>
      </w:r>
      <w:r w:rsidR="00EB4768" w:rsidRPr="00E72303">
        <w:rPr>
          <w:szCs w:val="24"/>
        </w:rPr>
        <w:t xml:space="preserve">. </w:t>
      </w:r>
      <w:r w:rsidR="000D0E27" w:rsidRPr="00E72303">
        <w:rPr>
          <w:szCs w:val="24"/>
        </w:rPr>
        <w:t>A</w:t>
      </w:r>
      <w:r w:rsidR="00EB4768" w:rsidRPr="00E72303">
        <w:rPr>
          <w:szCs w:val="24"/>
        </w:rPr>
        <w:t xml:space="preserve">cross different age categories </w:t>
      </w:r>
      <w:r w:rsidR="00EB4768" w:rsidRPr="00E72303">
        <w:rPr>
          <w:rFonts w:cs="Times New Roman"/>
          <w:szCs w:val="24"/>
        </w:rPr>
        <w:t xml:space="preserve">individuals in the age between 51 and 65 years old are found to have </w:t>
      </w:r>
      <w:r w:rsidR="000D0E27" w:rsidRPr="00E72303">
        <w:rPr>
          <w:rFonts w:cs="Times New Roman"/>
          <w:szCs w:val="24"/>
        </w:rPr>
        <w:t xml:space="preserve">a lower </w:t>
      </w:r>
      <w:r w:rsidR="00EB4768" w:rsidRPr="00E72303">
        <w:rPr>
          <w:rFonts w:cs="Times New Roman"/>
          <w:szCs w:val="24"/>
        </w:rPr>
        <w:t xml:space="preserve">probability of buying a new car, </w:t>
      </w:r>
      <w:r w:rsidR="000D0E27" w:rsidRPr="00E72303">
        <w:rPr>
          <w:rFonts w:cs="Times New Roman"/>
          <w:szCs w:val="24"/>
        </w:rPr>
        <w:t xml:space="preserve">while </w:t>
      </w:r>
      <w:r w:rsidR="00EB4768" w:rsidRPr="00E72303">
        <w:rPr>
          <w:rFonts w:cs="Times New Roman"/>
          <w:szCs w:val="24"/>
        </w:rPr>
        <w:t xml:space="preserve">individuals of age more than 65 years old </w:t>
      </w:r>
      <w:r w:rsidR="000D0E27" w:rsidRPr="00E72303">
        <w:rPr>
          <w:rFonts w:cs="Times New Roman"/>
          <w:szCs w:val="24"/>
        </w:rPr>
        <w:t>are more inclined toward purchasing a car</w:t>
      </w:r>
      <w:r w:rsidR="00B63F24" w:rsidRPr="00E72303">
        <w:rPr>
          <w:rFonts w:cs="Times New Roman"/>
          <w:szCs w:val="24"/>
        </w:rPr>
        <w:t>.</w:t>
      </w:r>
      <w:r w:rsidR="000D0E27" w:rsidRPr="00E72303">
        <w:rPr>
          <w:rFonts w:cs="Times New Roman"/>
          <w:szCs w:val="24"/>
        </w:rPr>
        <w:t xml:space="preserve"> </w:t>
      </w:r>
      <w:r w:rsidR="00864019" w:rsidRPr="00E72303">
        <w:rPr>
          <w:rFonts w:cs="Times New Roman"/>
          <w:szCs w:val="24"/>
        </w:rPr>
        <w:t xml:space="preserve">Finally, people residing in rural areas are </w:t>
      </w:r>
      <w:r w:rsidR="000D0E27" w:rsidRPr="00E72303">
        <w:rPr>
          <w:rFonts w:cs="Times New Roman"/>
          <w:szCs w:val="24"/>
        </w:rPr>
        <w:t xml:space="preserve">less likely to buy a </w:t>
      </w:r>
      <w:r w:rsidR="00205D8A" w:rsidRPr="00E72303">
        <w:rPr>
          <w:rFonts w:cs="Times New Roman"/>
          <w:szCs w:val="24"/>
        </w:rPr>
        <w:t>car</w:t>
      </w:r>
      <w:r w:rsidR="000D0E27" w:rsidRPr="00E72303">
        <w:rPr>
          <w:rFonts w:cs="Times New Roman"/>
          <w:szCs w:val="24"/>
        </w:rPr>
        <w:t xml:space="preserve"> relative to</w:t>
      </w:r>
      <w:r w:rsidR="00864019" w:rsidRPr="00E72303">
        <w:rPr>
          <w:rFonts w:cs="Times New Roman"/>
          <w:szCs w:val="24"/>
        </w:rPr>
        <w:t xml:space="preserve"> people residing in urban areas.</w:t>
      </w:r>
      <w:r w:rsidR="00EB4768" w:rsidRPr="00E72303">
        <w:rPr>
          <w:rFonts w:cs="Times New Roman"/>
          <w:sz w:val="22"/>
        </w:rPr>
        <w:t xml:space="preserve"> </w:t>
      </w:r>
    </w:p>
    <w:p w14:paraId="765447A7" w14:textId="24497722" w:rsidR="00246733" w:rsidRPr="00E72303" w:rsidRDefault="00EB4768" w:rsidP="007B178E">
      <w:pPr>
        <w:pStyle w:val="1stParagraph"/>
      </w:pPr>
      <w:r w:rsidRPr="00E72303">
        <w:t xml:space="preserve"> </w:t>
      </w:r>
      <w:r w:rsidR="00AF7137" w:rsidRPr="00E72303">
        <w:t xml:space="preserve"> </w:t>
      </w:r>
    </w:p>
    <w:p w14:paraId="6403F829" w14:textId="0C942DE3" w:rsidR="00864019" w:rsidRPr="00E72303" w:rsidRDefault="00864019" w:rsidP="007B178E">
      <w:pPr>
        <w:pStyle w:val="Heading3"/>
        <w:rPr>
          <w:color w:val="auto"/>
        </w:rPr>
      </w:pPr>
      <w:r w:rsidRPr="00E72303">
        <w:rPr>
          <w:color w:val="auto"/>
        </w:rPr>
        <w:t xml:space="preserve">Spatial </w:t>
      </w:r>
      <w:r w:rsidR="005B283C" w:rsidRPr="00E72303">
        <w:rPr>
          <w:color w:val="auto"/>
        </w:rPr>
        <w:t>Characteristics</w:t>
      </w:r>
    </w:p>
    <w:p w14:paraId="403F873B" w14:textId="634D3B12" w:rsidR="00D00C82" w:rsidRPr="00E72303" w:rsidRDefault="00864019" w:rsidP="007B178E">
      <w:pPr>
        <w:pStyle w:val="1stParagraph"/>
      </w:pPr>
      <w:r w:rsidRPr="00E72303">
        <w:t xml:space="preserve">Several spatial factors were found to offer significant </w:t>
      </w:r>
      <w:r w:rsidR="003146AB" w:rsidRPr="00E72303">
        <w:t>influence</w:t>
      </w:r>
      <w:r w:rsidRPr="00E72303">
        <w:t xml:space="preserve"> on household’s vehicle purchase decision. </w:t>
      </w:r>
      <w:r w:rsidR="00037A7C" w:rsidRPr="00E72303">
        <w:t>These variables represent</w:t>
      </w:r>
      <w:r w:rsidR="00DC49A6" w:rsidRPr="00E72303">
        <w:t xml:space="preserve"> vehicle purchasing fixed effects for </w:t>
      </w:r>
      <w:r w:rsidR="00037A7C" w:rsidRPr="00E72303">
        <w:t>various part</w:t>
      </w:r>
      <w:r w:rsidR="00B63F24" w:rsidRPr="00E72303">
        <w:t>s</w:t>
      </w:r>
      <w:r w:rsidR="00037A7C" w:rsidRPr="00E72303">
        <w:t xml:space="preserve"> of the country</w:t>
      </w:r>
      <w:r w:rsidR="00DC49A6" w:rsidRPr="00E72303">
        <w:t>.</w:t>
      </w:r>
    </w:p>
    <w:p w14:paraId="1155F107" w14:textId="77777777" w:rsidR="00DA5FF9" w:rsidRPr="00E72303" w:rsidRDefault="00DA5FF9" w:rsidP="007B178E">
      <w:pPr>
        <w:pStyle w:val="1stParagraph"/>
      </w:pPr>
    </w:p>
    <w:p w14:paraId="15C0BE15" w14:textId="48EDABF7" w:rsidR="00A2789B" w:rsidRPr="00E72303" w:rsidRDefault="00C23C4F" w:rsidP="007B178E">
      <w:pPr>
        <w:pStyle w:val="TableCaption"/>
      </w:pPr>
      <w:r w:rsidRPr="00E72303">
        <w:t>Table</w:t>
      </w:r>
      <w:r w:rsidR="00B7161F" w:rsidRPr="00E72303">
        <w:t xml:space="preserve"> </w:t>
      </w:r>
      <w:r w:rsidR="005F0791" w:rsidRPr="00E72303">
        <w:t>3</w:t>
      </w:r>
      <w:r w:rsidRPr="00E72303">
        <w:t>:</w:t>
      </w:r>
      <w:r w:rsidR="00A2789B" w:rsidRPr="00E72303">
        <w:t xml:space="preserve"> Estimation Result of Binary Logit </w:t>
      </w:r>
      <w:r w:rsidR="009C1087" w:rsidRPr="00E72303">
        <w:t>Model</w:t>
      </w:r>
    </w:p>
    <w:tbl>
      <w:tblPr>
        <w:tblStyle w:val="TableGrid"/>
        <w:tblW w:w="9363" w:type="dxa"/>
        <w:tblLook w:val="04A0" w:firstRow="1" w:lastRow="0" w:firstColumn="1" w:lastColumn="0" w:noHBand="0" w:noVBand="1"/>
      </w:tblPr>
      <w:tblGrid>
        <w:gridCol w:w="5737"/>
        <w:gridCol w:w="1893"/>
        <w:gridCol w:w="1733"/>
      </w:tblGrid>
      <w:tr w:rsidR="00E72303" w:rsidRPr="00E72303" w14:paraId="459A0FF5" w14:textId="77777777" w:rsidTr="0003194E">
        <w:trPr>
          <w:trHeight w:val="297"/>
        </w:trPr>
        <w:tc>
          <w:tcPr>
            <w:tcW w:w="5737" w:type="dxa"/>
            <w:noWrap/>
            <w:vAlign w:val="center"/>
            <w:hideMark/>
          </w:tcPr>
          <w:p w14:paraId="044AFACC" w14:textId="77777777" w:rsidR="00653277" w:rsidRPr="00E72303" w:rsidRDefault="00653277" w:rsidP="007B178E">
            <w:pPr>
              <w:pStyle w:val="1stParagraph"/>
              <w:jc w:val="center"/>
              <w:rPr>
                <w:rFonts w:cs="Times New Roman"/>
                <w:b/>
                <w:bCs/>
                <w:szCs w:val="24"/>
              </w:rPr>
            </w:pPr>
            <w:r w:rsidRPr="00E72303">
              <w:rPr>
                <w:rFonts w:cs="Times New Roman"/>
                <w:b/>
                <w:bCs/>
                <w:szCs w:val="24"/>
              </w:rPr>
              <w:t>Variables</w:t>
            </w:r>
          </w:p>
        </w:tc>
        <w:tc>
          <w:tcPr>
            <w:tcW w:w="1893" w:type="dxa"/>
            <w:noWrap/>
            <w:vAlign w:val="center"/>
            <w:hideMark/>
          </w:tcPr>
          <w:p w14:paraId="4B8426A6" w14:textId="77777777" w:rsidR="00653277" w:rsidRPr="00E72303" w:rsidRDefault="00653277" w:rsidP="007B178E">
            <w:pPr>
              <w:pStyle w:val="1stParagraph"/>
              <w:jc w:val="center"/>
              <w:rPr>
                <w:rFonts w:cs="Times New Roman"/>
                <w:b/>
                <w:bCs/>
                <w:szCs w:val="24"/>
              </w:rPr>
            </w:pPr>
            <w:r w:rsidRPr="00E72303">
              <w:rPr>
                <w:rFonts w:cs="Times New Roman"/>
                <w:b/>
                <w:bCs/>
                <w:szCs w:val="24"/>
              </w:rPr>
              <w:t>Estimates</w:t>
            </w:r>
          </w:p>
        </w:tc>
        <w:tc>
          <w:tcPr>
            <w:tcW w:w="1732" w:type="dxa"/>
            <w:noWrap/>
            <w:vAlign w:val="center"/>
            <w:hideMark/>
          </w:tcPr>
          <w:p w14:paraId="27CB842A" w14:textId="77777777" w:rsidR="00653277" w:rsidRPr="00E72303" w:rsidRDefault="00653277" w:rsidP="007B178E">
            <w:pPr>
              <w:pStyle w:val="1stParagraph"/>
              <w:jc w:val="center"/>
              <w:rPr>
                <w:rFonts w:cs="Times New Roman"/>
                <w:b/>
                <w:bCs/>
                <w:szCs w:val="24"/>
              </w:rPr>
            </w:pPr>
            <w:r w:rsidRPr="00E72303">
              <w:rPr>
                <w:rFonts w:cs="Times New Roman"/>
                <w:b/>
                <w:bCs/>
                <w:szCs w:val="24"/>
              </w:rPr>
              <w:t>T-stat</w:t>
            </w:r>
          </w:p>
        </w:tc>
      </w:tr>
      <w:tr w:rsidR="00E72303" w:rsidRPr="00E72303" w14:paraId="52353817" w14:textId="77777777" w:rsidTr="0003194E">
        <w:trPr>
          <w:trHeight w:val="297"/>
        </w:trPr>
        <w:tc>
          <w:tcPr>
            <w:tcW w:w="5737" w:type="dxa"/>
            <w:noWrap/>
            <w:vAlign w:val="center"/>
            <w:hideMark/>
          </w:tcPr>
          <w:p w14:paraId="4262F588" w14:textId="77777777" w:rsidR="00653277" w:rsidRPr="00E72303" w:rsidRDefault="00653277" w:rsidP="007B178E">
            <w:pPr>
              <w:pStyle w:val="1stParagraph"/>
              <w:jc w:val="left"/>
              <w:rPr>
                <w:rFonts w:cs="Times New Roman"/>
                <w:szCs w:val="24"/>
              </w:rPr>
            </w:pPr>
            <w:r w:rsidRPr="00E72303">
              <w:rPr>
                <w:rFonts w:cs="Times New Roman"/>
                <w:szCs w:val="24"/>
              </w:rPr>
              <w:t>Intercept</w:t>
            </w:r>
          </w:p>
        </w:tc>
        <w:tc>
          <w:tcPr>
            <w:tcW w:w="1893" w:type="dxa"/>
            <w:noWrap/>
            <w:vAlign w:val="center"/>
            <w:hideMark/>
          </w:tcPr>
          <w:p w14:paraId="69723FD7" w14:textId="33144596" w:rsidR="00653277" w:rsidRPr="00E72303" w:rsidRDefault="00653277" w:rsidP="007B178E">
            <w:pPr>
              <w:pStyle w:val="1stParagraph"/>
              <w:jc w:val="center"/>
              <w:rPr>
                <w:rFonts w:cs="Times New Roman"/>
                <w:szCs w:val="24"/>
              </w:rPr>
            </w:pPr>
            <w:r w:rsidRPr="00E72303">
              <w:rPr>
                <w:rFonts w:cs="Times New Roman"/>
                <w:szCs w:val="24"/>
              </w:rPr>
              <w:t>-2.48</w:t>
            </w:r>
          </w:p>
        </w:tc>
        <w:tc>
          <w:tcPr>
            <w:tcW w:w="1732" w:type="dxa"/>
            <w:noWrap/>
            <w:vAlign w:val="center"/>
            <w:hideMark/>
          </w:tcPr>
          <w:p w14:paraId="5F080859" w14:textId="43BE89DC" w:rsidR="00653277" w:rsidRPr="00E72303" w:rsidRDefault="00653277" w:rsidP="007B178E">
            <w:pPr>
              <w:pStyle w:val="1stParagraph"/>
              <w:jc w:val="center"/>
              <w:rPr>
                <w:rFonts w:cs="Times New Roman"/>
                <w:szCs w:val="24"/>
              </w:rPr>
            </w:pPr>
            <w:r w:rsidRPr="00E72303">
              <w:rPr>
                <w:rFonts w:cs="Times New Roman"/>
                <w:szCs w:val="24"/>
              </w:rPr>
              <w:t>-859.9</w:t>
            </w:r>
            <w:r w:rsidR="006D0EC3" w:rsidRPr="00E72303">
              <w:rPr>
                <w:rFonts w:cs="Times New Roman"/>
                <w:szCs w:val="24"/>
              </w:rPr>
              <w:t>1</w:t>
            </w:r>
          </w:p>
        </w:tc>
      </w:tr>
      <w:tr w:rsidR="00E72303" w:rsidRPr="00E72303" w14:paraId="7A5D38D7" w14:textId="77777777" w:rsidTr="0003194E">
        <w:trPr>
          <w:trHeight w:val="297"/>
        </w:trPr>
        <w:tc>
          <w:tcPr>
            <w:tcW w:w="9363" w:type="dxa"/>
            <w:gridSpan w:val="3"/>
            <w:noWrap/>
            <w:vAlign w:val="center"/>
          </w:tcPr>
          <w:p w14:paraId="5EB5AA90" w14:textId="77777777" w:rsidR="00653277" w:rsidRPr="00E72303" w:rsidRDefault="00653277" w:rsidP="007B178E">
            <w:pPr>
              <w:pStyle w:val="1stParagraph"/>
              <w:jc w:val="left"/>
              <w:rPr>
                <w:rFonts w:cs="Times New Roman"/>
                <w:b/>
                <w:bCs/>
                <w:i/>
                <w:iCs/>
                <w:szCs w:val="24"/>
              </w:rPr>
            </w:pPr>
            <w:r w:rsidRPr="00E72303">
              <w:rPr>
                <w:rFonts w:cs="Times New Roman"/>
                <w:b/>
                <w:bCs/>
                <w:i/>
                <w:iCs/>
                <w:szCs w:val="24"/>
              </w:rPr>
              <w:t>Economic Characteristics</w:t>
            </w:r>
          </w:p>
        </w:tc>
      </w:tr>
      <w:tr w:rsidR="00E72303" w:rsidRPr="00E72303" w14:paraId="0A5E5E1F" w14:textId="77777777" w:rsidTr="0003194E">
        <w:trPr>
          <w:trHeight w:val="297"/>
        </w:trPr>
        <w:tc>
          <w:tcPr>
            <w:tcW w:w="9363" w:type="dxa"/>
            <w:gridSpan w:val="3"/>
            <w:noWrap/>
            <w:vAlign w:val="center"/>
          </w:tcPr>
          <w:p w14:paraId="75A9B3A9" w14:textId="77999434" w:rsidR="003F4092" w:rsidRPr="00E72303" w:rsidRDefault="003F4092" w:rsidP="007B178E">
            <w:pPr>
              <w:pStyle w:val="1stParagraph"/>
              <w:jc w:val="left"/>
              <w:rPr>
                <w:rFonts w:cs="Times New Roman"/>
                <w:i/>
                <w:iCs/>
                <w:szCs w:val="24"/>
              </w:rPr>
            </w:pPr>
            <w:r w:rsidRPr="00E72303">
              <w:rPr>
                <w:rFonts w:cs="Times New Roman"/>
                <w:szCs w:val="24"/>
              </w:rPr>
              <w:t>Household income (Base: Low income)</w:t>
            </w:r>
          </w:p>
        </w:tc>
      </w:tr>
      <w:tr w:rsidR="00E72303" w:rsidRPr="00E72303" w14:paraId="2296BA20" w14:textId="77777777" w:rsidTr="0003194E">
        <w:trPr>
          <w:trHeight w:val="297"/>
        </w:trPr>
        <w:tc>
          <w:tcPr>
            <w:tcW w:w="5737" w:type="dxa"/>
            <w:noWrap/>
            <w:vAlign w:val="center"/>
            <w:hideMark/>
          </w:tcPr>
          <w:p w14:paraId="655A8AD6" w14:textId="77777777" w:rsidR="00653277" w:rsidRPr="00E72303" w:rsidRDefault="00653277" w:rsidP="007B178E">
            <w:pPr>
              <w:pStyle w:val="1stParagraph"/>
              <w:ind w:left="288"/>
              <w:jc w:val="left"/>
              <w:rPr>
                <w:rFonts w:cs="Times New Roman"/>
                <w:szCs w:val="24"/>
              </w:rPr>
            </w:pPr>
            <w:r w:rsidRPr="00E72303">
              <w:rPr>
                <w:rFonts w:cs="Times New Roman"/>
                <w:szCs w:val="24"/>
              </w:rPr>
              <w:t>High income household</w:t>
            </w:r>
          </w:p>
        </w:tc>
        <w:tc>
          <w:tcPr>
            <w:tcW w:w="1893" w:type="dxa"/>
            <w:noWrap/>
            <w:vAlign w:val="center"/>
            <w:hideMark/>
          </w:tcPr>
          <w:p w14:paraId="5D8D21F6" w14:textId="7FBB878C" w:rsidR="00653277" w:rsidRPr="00E72303" w:rsidRDefault="00653277" w:rsidP="007B178E">
            <w:pPr>
              <w:pStyle w:val="1stParagraph"/>
              <w:jc w:val="center"/>
              <w:rPr>
                <w:rFonts w:cs="Times New Roman"/>
                <w:szCs w:val="24"/>
              </w:rPr>
            </w:pPr>
            <w:r w:rsidRPr="00E72303">
              <w:rPr>
                <w:rFonts w:cs="Times New Roman"/>
                <w:szCs w:val="24"/>
              </w:rPr>
              <w:t>0.89</w:t>
            </w:r>
          </w:p>
        </w:tc>
        <w:tc>
          <w:tcPr>
            <w:tcW w:w="1732" w:type="dxa"/>
            <w:noWrap/>
            <w:vAlign w:val="center"/>
            <w:hideMark/>
          </w:tcPr>
          <w:p w14:paraId="0A5CBBA1" w14:textId="7712EB3F" w:rsidR="00653277" w:rsidRPr="00E72303" w:rsidRDefault="00653277" w:rsidP="007B178E">
            <w:pPr>
              <w:pStyle w:val="1stParagraph"/>
              <w:jc w:val="center"/>
              <w:rPr>
                <w:rFonts w:cs="Times New Roman"/>
                <w:szCs w:val="24"/>
              </w:rPr>
            </w:pPr>
            <w:r w:rsidRPr="00E72303">
              <w:rPr>
                <w:rFonts w:cs="Times New Roman"/>
                <w:szCs w:val="24"/>
              </w:rPr>
              <w:t>469.98</w:t>
            </w:r>
          </w:p>
        </w:tc>
      </w:tr>
      <w:tr w:rsidR="00E72303" w:rsidRPr="00E72303" w14:paraId="7A1795CE" w14:textId="77777777" w:rsidTr="0003194E">
        <w:trPr>
          <w:trHeight w:val="297"/>
        </w:trPr>
        <w:tc>
          <w:tcPr>
            <w:tcW w:w="5737" w:type="dxa"/>
            <w:noWrap/>
            <w:vAlign w:val="center"/>
            <w:hideMark/>
          </w:tcPr>
          <w:p w14:paraId="0B6F1EAB" w14:textId="77777777" w:rsidR="00653277" w:rsidRPr="00E72303" w:rsidRDefault="00653277" w:rsidP="007B178E">
            <w:pPr>
              <w:pStyle w:val="1stParagraph"/>
              <w:ind w:left="288"/>
              <w:jc w:val="left"/>
              <w:rPr>
                <w:rFonts w:cs="Times New Roman"/>
                <w:szCs w:val="24"/>
              </w:rPr>
            </w:pPr>
            <w:r w:rsidRPr="00E72303">
              <w:rPr>
                <w:rFonts w:cs="Times New Roman"/>
                <w:szCs w:val="24"/>
              </w:rPr>
              <w:t>Medium income household</w:t>
            </w:r>
          </w:p>
        </w:tc>
        <w:tc>
          <w:tcPr>
            <w:tcW w:w="1893" w:type="dxa"/>
            <w:noWrap/>
            <w:vAlign w:val="center"/>
            <w:hideMark/>
          </w:tcPr>
          <w:p w14:paraId="40F82CB6" w14:textId="584C02C4" w:rsidR="00653277" w:rsidRPr="00E72303" w:rsidRDefault="00653277" w:rsidP="007B178E">
            <w:pPr>
              <w:pStyle w:val="1stParagraph"/>
              <w:jc w:val="center"/>
              <w:rPr>
                <w:rFonts w:cs="Times New Roman"/>
                <w:szCs w:val="24"/>
              </w:rPr>
            </w:pPr>
            <w:r w:rsidRPr="00E72303">
              <w:rPr>
                <w:rFonts w:cs="Times New Roman"/>
                <w:szCs w:val="24"/>
              </w:rPr>
              <w:t>0.49</w:t>
            </w:r>
          </w:p>
        </w:tc>
        <w:tc>
          <w:tcPr>
            <w:tcW w:w="1732" w:type="dxa"/>
            <w:noWrap/>
            <w:vAlign w:val="center"/>
            <w:hideMark/>
          </w:tcPr>
          <w:p w14:paraId="0BD80A80" w14:textId="2BD7CC1F" w:rsidR="00653277" w:rsidRPr="00E72303" w:rsidRDefault="00653277" w:rsidP="007B178E">
            <w:pPr>
              <w:pStyle w:val="1stParagraph"/>
              <w:jc w:val="center"/>
              <w:rPr>
                <w:rFonts w:cs="Times New Roman"/>
                <w:szCs w:val="24"/>
              </w:rPr>
            </w:pPr>
            <w:r w:rsidRPr="00E72303">
              <w:rPr>
                <w:rFonts w:cs="Times New Roman"/>
                <w:szCs w:val="24"/>
              </w:rPr>
              <w:t>270.86</w:t>
            </w:r>
          </w:p>
        </w:tc>
      </w:tr>
      <w:tr w:rsidR="00E72303" w:rsidRPr="00E72303" w14:paraId="39FC4437" w14:textId="77777777" w:rsidTr="0003194E">
        <w:trPr>
          <w:trHeight w:val="297"/>
        </w:trPr>
        <w:tc>
          <w:tcPr>
            <w:tcW w:w="9363" w:type="dxa"/>
            <w:gridSpan w:val="3"/>
            <w:noWrap/>
            <w:vAlign w:val="center"/>
          </w:tcPr>
          <w:p w14:paraId="001B7FA3" w14:textId="3AB0C96B" w:rsidR="003F4092" w:rsidRPr="00E72303" w:rsidRDefault="003F4092" w:rsidP="007B178E">
            <w:pPr>
              <w:pStyle w:val="1stParagraph"/>
              <w:jc w:val="left"/>
              <w:rPr>
                <w:rFonts w:cs="Times New Roman"/>
                <w:szCs w:val="24"/>
              </w:rPr>
            </w:pPr>
            <w:r w:rsidRPr="00E72303">
              <w:rPr>
                <w:rFonts w:cs="Times New Roman"/>
                <w:szCs w:val="24"/>
              </w:rPr>
              <w:t>Household ownership (Base: Own a house)</w:t>
            </w:r>
          </w:p>
        </w:tc>
      </w:tr>
      <w:tr w:rsidR="00E72303" w:rsidRPr="00E72303" w14:paraId="596BBD91" w14:textId="77777777" w:rsidTr="0003194E">
        <w:trPr>
          <w:trHeight w:val="297"/>
        </w:trPr>
        <w:tc>
          <w:tcPr>
            <w:tcW w:w="5737" w:type="dxa"/>
            <w:noWrap/>
            <w:vAlign w:val="center"/>
            <w:hideMark/>
          </w:tcPr>
          <w:p w14:paraId="75DB00B6" w14:textId="0025426E" w:rsidR="00653277" w:rsidRPr="00E72303" w:rsidRDefault="003F4092" w:rsidP="007B178E">
            <w:pPr>
              <w:pStyle w:val="1stParagraph"/>
              <w:ind w:left="288"/>
              <w:jc w:val="left"/>
              <w:rPr>
                <w:rFonts w:cs="Times New Roman"/>
                <w:szCs w:val="24"/>
              </w:rPr>
            </w:pPr>
            <w:r w:rsidRPr="00E72303">
              <w:rPr>
                <w:rFonts w:cs="Times New Roman"/>
                <w:szCs w:val="24"/>
              </w:rPr>
              <w:t>Do not own a house</w:t>
            </w:r>
          </w:p>
        </w:tc>
        <w:tc>
          <w:tcPr>
            <w:tcW w:w="1893" w:type="dxa"/>
            <w:noWrap/>
            <w:vAlign w:val="center"/>
            <w:hideMark/>
          </w:tcPr>
          <w:p w14:paraId="6DB73023" w14:textId="446AD4E0" w:rsidR="00653277" w:rsidRPr="00E72303" w:rsidRDefault="00653277" w:rsidP="007B178E">
            <w:pPr>
              <w:pStyle w:val="1stParagraph"/>
              <w:jc w:val="center"/>
              <w:rPr>
                <w:rFonts w:cs="Times New Roman"/>
                <w:szCs w:val="24"/>
              </w:rPr>
            </w:pPr>
            <w:r w:rsidRPr="00E72303">
              <w:rPr>
                <w:rFonts w:cs="Times New Roman"/>
                <w:szCs w:val="24"/>
              </w:rPr>
              <w:t>-0.15</w:t>
            </w:r>
          </w:p>
        </w:tc>
        <w:tc>
          <w:tcPr>
            <w:tcW w:w="1732" w:type="dxa"/>
            <w:noWrap/>
            <w:vAlign w:val="center"/>
            <w:hideMark/>
          </w:tcPr>
          <w:p w14:paraId="27BEAFD1" w14:textId="23CAA50A" w:rsidR="00653277" w:rsidRPr="00E72303" w:rsidRDefault="00653277" w:rsidP="007B178E">
            <w:pPr>
              <w:pStyle w:val="1stParagraph"/>
              <w:jc w:val="center"/>
              <w:rPr>
                <w:rFonts w:cs="Times New Roman"/>
                <w:szCs w:val="24"/>
              </w:rPr>
            </w:pPr>
            <w:r w:rsidRPr="00E72303">
              <w:rPr>
                <w:rFonts w:cs="Times New Roman"/>
                <w:szCs w:val="24"/>
              </w:rPr>
              <w:t>-91.09</w:t>
            </w:r>
          </w:p>
        </w:tc>
      </w:tr>
      <w:tr w:rsidR="00E72303" w:rsidRPr="00E72303" w14:paraId="2B7E72D0" w14:textId="77777777" w:rsidTr="0003194E">
        <w:trPr>
          <w:trHeight w:val="297"/>
        </w:trPr>
        <w:tc>
          <w:tcPr>
            <w:tcW w:w="5737" w:type="dxa"/>
            <w:noWrap/>
            <w:vAlign w:val="center"/>
            <w:hideMark/>
          </w:tcPr>
          <w:p w14:paraId="155438F2" w14:textId="77777777" w:rsidR="00653277" w:rsidRPr="00E72303" w:rsidRDefault="00653277" w:rsidP="007B178E">
            <w:pPr>
              <w:pStyle w:val="1stParagraph"/>
              <w:jc w:val="left"/>
              <w:rPr>
                <w:rFonts w:cs="Times New Roman"/>
                <w:szCs w:val="24"/>
              </w:rPr>
            </w:pPr>
            <w:r w:rsidRPr="00E72303">
              <w:rPr>
                <w:rFonts w:cs="Times New Roman"/>
                <w:szCs w:val="24"/>
              </w:rPr>
              <w:lastRenderedPageBreak/>
              <w:t>Number of workers</w:t>
            </w:r>
          </w:p>
        </w:tc>
        <w:tc>
          <w:tcPr>
            <w:tcW w:w="1893" w:type="dxa"/>
            <w:noWrap/>
            <w:vAlign w:val="center"/>
            <w:hideMark/>
          </w:tcPr>
          <w:p w14:paraId="5B196A83" w14:textId="5175805F" w:rsidR="00653277" w:rsidRPr="00E72303" w:rsidRDefault="00653277" w:rsidP="007B178E">
            <w:pPr>
              <w:pStyle w:val="1stParagraph"/>
              <w:jc w:val="center"/>
              <w:rPr>
                <w:rFonts w:cs="Times New Roman"/>
                <w:szCs w:val="24"/>
              </w:rPr>
            </w:pPr>
            <w:r w:rsidRPr="00E72303">
              <w:rPr>
                <w:rFonts w:cs="Times New Roman"/>
                <w:szCs w:val="24"/>
              </w:rPr>
              <w:t>0.12</w:t>
            </w:r>
          </w:p>
        </w:tc>
        <w:tc>
          <w:tcPr>
            <w:tcW w:w="1732" w:type="dxa"/>
            <w:noWrap/>
            <w:vAlign w:val="center"/>
            <w:hideMark/>
          </w:tcPr>
          <w:p w14:paraId="7918122E" w14:textId="302A3305" w:rsidR="00653277" w:rsidRPr="00E72303" w:rsidRDefault="00653277" w:rsidP="007B178E">
            <w:pPr>
              <w:pStyle w:val="1stParagraph"/>
              <w:jc w:val="center"/>
              <w:rPr>
                <w:rFonts w:cs="Times New Roman"/>
                <w:szCs w:val="24"/>
              </w:rPr>
            </w:pPr>
            <w:r w:rsidRPr="00E72303">
              <w:rPr>
                <w:rFonts w:cs="Times New Roman"/>
                <w:szCs w:val="24"/>
              </w:rPr>
              <w:t>141.79</w:t>
            </w:r>
          </w:p>
        </w:tc>
      </w:tr>
      <w:tr w:rsidR="00E72303" w:rsidRPr="00E72303" w14:paraId="0CE2C6CA" w14:textId="77777777" w:rsidTr="0003194E">
        <w:trPr>
          <w:trHeight w:val="297"/>
        </w:trPr>
        <w:tc>
          <w:tcPr>
            <w:tcW w:w="9363" w:type="dxa"/>
            <w:gridSpan w:val="3"/>
            <w:noWrap/>
            <w:vAlign w:val="center"/>
          </w:tcPr>
          <w:p w14:paraId="2D075208" w14:textId="77777777" w:rsidR="00653277" w:rsidRPr="00E72303" w:rsidRDefault="00653277" w:rsidP="007B178E">
            <w:pPr>
              <w:pStyle w:val="1stParagraph"/>
              <w:jc w:val="left"/>
              <w:rPr>
                <w:rFonts w:cs="Times New Roman"/>
                <w:b/>
                <w:bCs/>
                <w:i/>
                <w:iCs/>
                <w:szCs w:val="24"/>
              </w:rPr>
            </w:pPr>
            <w:r w:rsidRPr="00E72303">
              <w:rPr>
                <w:rFonts w:cs="Times New Roman"/>
                <w:b/>
                <w:bCs/>
                <w:i/>
                <w:iCs/>
                <w:szCs w:val="24"/>
              </w:rPr>
              <w:t>Demographic Characteristics</w:t>
            </w:r>
          </w:p>
        </w:tc>
      </w:tr>
      <w:tr w:rsidR="00E72303" w:rsidRPr="00E72303" w14:paraId="0579480A" w14:textId="77777777" w:rsidTr="0003194E">
        <w:trPr>
          <w:trHeight w:val="297"/>
        </w:trPr>
        <w:tc>
          <w:tcPr>
            <w:tcW w:w="5737" w:type="dxa"/>
            <w:noWrap/>
            <w:vAlign w:val="center"/>
          </w:tcPr>
          <w:p w14:paraId="72F0EA9A" w14:textId="77777777" w:rsidR="00653277" w:rsidRPr="00E72303" w:rsidRDefault="00653277" w:rsidP="007B178E">
            <w:pPr>
              <w:pStyle w:val="1stParagraph"/>
              <w:jc w:val="left"/>
              <w:rPr>
                <w:rFonts w:cs="Times New Roman"/>
                <w:szCs w:val="24"/>
              </w:rPr>
            </w:pPr>
            <w:r w:rsidRPr="00E72303">
              <w:rPr>
                <w:rFonts w:cs="Times New Roman"/>
                <w:szCs w:val="24"/>
              </w:rPr>
              <w:t>Number of children</w:t>
            </w:r>
          </w:p>
        </w:tc>
        <w:tc>
          <w:tcPr>
            <w:tcW w:w="1893" w:type="dxa"/>
            <w:noWrap/>
            <w:vAlign w:val="center"/>
          </w:tcPr>
          <w:p w14:paraId="1F651121" w14:textId="7933E319" w:rsidR="00653277" w:rsidRPr="00E72303" w:rsidRDefault="00653277" w:rsidP="007B178E">
            <w:pPr>
              <w:pStyle w:val="1stParagraph"/>
              <w:jc w:val="center"/>
              <w:rPr>
                <w:rFonts w:cs="Times New Roman"/>
                <w:szCs w:val="24"/>
              </w:rPr>
            </w:pPr>
            <w:r w:rsidRPr="00E72303">
              <w:rPr>
                <w:rFonts w:cs="Times New Roman"/>
                <w:szCs w:val="24"/>
              </w:rPr>
              <w:t>-0.01</w:t>
            </w:r>
          </w:p>
        </w:tc>
        <w:tc>
          <w:tcPr>
            <w:tcW w:w="1732" w:type="dxa"/>
            <w:noWrap/>
            <w:vAlign w:val="center"/>
          </w:tcPr>
          <w:p w14:paraId="034EEA25" w14:textId="5DF41E1B" w:rsidR="00653277" w:rsidRPr="00E72303" w:rsidRDefault="00653277" w:rsidP="007B178E">
            <w:pPr>
              <w:pStyle w:val="1stParagraph"/>
              <w:jc w:val="center"/>
              <w:rPr>
                <w:rFonts w:cs="Times New Roman"/>
                <w:szCs w:val="24"/>
              </w:rPr>
            </w:pPr>
            <w:r w:rsidRPr="00E72303">
              <w:rPr>
                <w:rFonts w:cs="Times New Roman"/>
                <w:szCs w:val="24"/>
              </w:rPr>
              <w:t>-18.19</w:t>
            </w:r>
          </w:p>
        </w:tc>
      </w:tr>
      <w:tr w:rsidR="00E72303" w:rsidRPr="00E72303" w14:paraId="6C1183D9" w14:textId="77777777" w:rsidTr="0003194E">
        <w:trPr>
          <w:trHeight w:val="297"/>
        </w:trPr>
        <w:tc>
          <w:tcPr>
            <w:tcW w:w="9363" w:type="dxa"/>
            <w:gridSpan w:val="3"/>
            <w:noWrap/>
            <w:vAlign w:val="center"/>
          </w:tcPr>
          <w:p w14:paraId="6F2EA8E0" w14:textId="768FB15C" w:rsidR="00F12285" w:rsidRPr="00E72303" w:rsidRDefault="00F12285" w:rsidP="007B178E">
            <w:pPr>
              <w:pStyle w:val="1stParagraph"/>
              <w:jc w:val="left"/>
              <w:rPr>
                <w:rFonts w:cs="Times New Roman"/>
                <w:szCs w:val="24"/>
              </w:rPr>
            </w:pPr>
            <w:r w:rsidRPr="00E72303">
              <w:rPr>
                <w:rFonts w:cs="Times New Roman"/>
                <w:szCs w:val="24"/>
              </w:rPr>
              <w:t>Gender (Base: Proportion of female</w:t>
            </w:r>
            <w:r w:rsidR="003D6910" w:rsidRPr="00E72303">
              <w:rPr>
                <w:rFonts w:cs="Times New Roman"/>
                <w:szCs w:val="24"/>
              </w:rPr>
              <w:t>s</w:t>
            </w:r>
            <w:r w:rsidRPr="00E72303">
              <w:rPr>
                <w:rFonts w:cs="Times New Roman"/>
                <w:szCs w:val="24"/>
              </w:rPr>
              <w:t>)</w:t>
            </w:r>
          </w:p>
        </w:tc>
      </w:tr>
      <w:tr w:rsidR="00E72303" w:rsidRPr="00E72303" w14:paraId="22A952CB" w14:textId="77777777" w:rsidTr="0003194E">
        <w:trPr>
          <w:trHeight w:val="297"/>
        </w:trPr>
        <w:tc>
          <w:tcPr>
            <w:tcW w:w="5737" w:type="dxa"/>
            <w:noWrap/>
            <w:vAlign w:val="center"/>
            <w:hideMark/>
          </w:tcPr>
          <w:p w14:paraId="18CD5CC3" w14:textId="49AC6AF2" w:rsidR="00653277" w:rsidRPr="00E72303" w:rsidRDefault="00653277" w:rsidP="007B178E">
            <w:pPr>
              <w:pStyle w:val="1stParagraph"/>
              <w:ind w:left="288"/>
              <w:jc w:val="left"/>
              <w:rPr>
                <w:rFonts w:cs="Times New Roman"/>
                <w:szCs w:val="24"/>
              </w:rPr>
            </w:pPr>
            <w:r w:rsidRPr="00E72303">
              <w:rPr>
                <w:rFonts w:cs="Times New Roman"/>
                <w:szCs w:val="24"/>
              </w:rPr>
              <w:t>Proportion of male</w:t>
            </w:r>
            <w:r w:rsidR="003D6910" w:rsidRPr="00E72303">
              <w:rPr>
                <w:rFonts w:cs="Times New Roman"/>
                <w:szCs w:val="24"/>
              </w:rPr>
              <w:t>s</w:t>
            </w:r>
          </w:p>
        </w:tc>
        <w:tc>
          <w:tcPr>
            <w:tcW w:w="1893" w:type="dxa"/>
            <w:noWrap/>
            <w:vAlign w:val="center"/>
            <w:hideMark/>
          </w:tcPr>
          <w:p w14:paraId="196C66FF" w14:textId="569C287F" w:rsidR="00653277" w:rsidRPr="00E72303" w:rsidRDefault="00653277" w:rsidP="007B178E">
            <w:pPr>
              <w:pStyle w:val="1stParagraph"/>
              <w:jc w:val="center"/>
              <w:rPr>
                <w:rFonts w:cs="Times New Roman"/>
                <w:szCs w:val="24"/>
              </w:rPr>
            </w:pPr>
            <w:r w:rsidRPr="00E72303">
              <w:rPr>
                <w:rFonts w:cs="Times New Roman"/>
                <w:szCs w:val="24"/>
              </w:rPr>
              <w:t>-0.04</w:t>
            </w:r>
          </w:p>
        </w:tc>
        <w:tc>
          <w:tcPr>
            <w:tcW w:w="1732" w:type="dxa"/>
            <w:noWrap/>
            <w:vAlign w:val="center"/>
            <w:hideMark/>
          </w:tcPr>
          <w:p w14:paraId="6EB7F7C6" w14:textId="3FCA7810" w:rsidR="00653277" w:rsidRPr="00E72303" w:rsidRDefault="00653277" w:rsidP="007B178E">
            <w:pPr>
              <w:pStyle w:val="1stParagraph"/>
              <w:jc w:val="center"/>
              <w:rPr>
                <w:rFonts w:cs="Times New Roman"/>
                <w:szCs w:val="24"/>
              </w:rPr>
            </w:pPr>
            <w:r w:rsidRPr="00E72303">
              <w:rPr>
                <w:rFonts w:cs="Times New Roman"/>
                <w:szCs w:val="24"/>
              </w:rPr>
              <w:t>-19.02</w:t>
            </w:r>
          </w:p>
        </w:tc>
      </w:tr>
      <w:tr w:rsidR="00E72303" w:rsidRPr="00E72303" w14:paraId="6B2BDAD0" w14:textId="77777777" w:rsidTr="0003194E">
        <w:trPr>
          <w:trHeight w:val="297"/>
        </w:trPr>
        <w:tc>
          <w:tcPr>
            <w:tcW w:w="9363" w:type="dxa"/>
            <w:gridSpan w:val="3"/>
            <w:noWrap/>
            <w:vAlign w:val="center"/>
          </w:tcPr>
          <w:p w14:paraId="3106C121" w14:textId="52A15EA1" w:rsidR="00F12285" w:rsidRPr="00E72303" w:rsidRDefault="00F12285" w:rsidP="007B178E">
            <w:pPr>
              <w:pStyle w:val="1stParagraph"/>
              <w:jc w:val="left"/>
              <w:rPr>
                <w:rFonts w:cs="Times New Roman"/>
                <w:szCs w:val="24"/>
              </w:rPr>
            </w:pPr>
            <w:r w:rsidRPr="00E72303">
              <w:rPr>
                <w:rFonts w:cs="Times New Roman"/>
                <w:szCs w:val="24"/>
              </w:rPr>
              <w:t>Ethnicity (base: Other categories)</w:t>
            </w:r>
          </w:p>
        </w:tc>
      </w:tr>
      <w:tr w:rsidR="00E72303" w:rsidRPr="00E72303" w14:paraId="7471EEDF" w14:textId="77777777" w:rsidTr="0003194E">
        <w:trPr>
          <w:trHeight w:val="297"/>
        </w:trPr>
        <w:tc>
          <w:tcPr>
            <w:tcW w:w="5737" w:type="dxa"/>
            <w:noWrap/>
            <w:vAlign w:val="center"/>
            <w:hideMark/>
          </w:tcPr>
          <w:p w14:paraId="54D9E82C" w14:textId="665094B3" w:rsidR="00653277" w:rsidRPr="00E72303" w:rsidRDefault="00653277" w:rsidP="007B178E">
            <w:pPr>
              <w:pStyle w:val="1stParagraph"/>
              <w:ind w:left="288"/>
              <w:jc w:val="left"/>
              <w:rPr>
                <w:rFonts w:cs="Times New Roman"/>
                <w:szCs w:val="24"/>
              </w:rPr>
            </w:pPr>
            <w:r w:rsidRPr="00E72303">
              <w:rPr>
                <w:rFonts w:cs="Times New Roman"/>
                <w:szCs w:val="24"/>
              </w:rPr>
              <w:t xml:space="preserve">Proportion of African </w:t>
            </w:r>
            <w:r w:rsidR="00E73C1C" w:rsidRPr="00E72303">
              <w:rPr>
                <w:rFonts w:cs="Times New Roman"/>
                <w:szCs w:val="24"/>
              </w:rPr>
              <w:t>–</w:t>
            </w:r>
            <w:r w:rsidRPr="00E72303">
              <w:rPr>
                <w:rFonts w:cs="Times New Roman"/>
                <w:szCs w:val="24"/>
              </w:rPr>
              <w:t xml:space="preserve"> American individual</w:t>
            </w:r>
            <w:r w:rsidR="005532A6" w:rsidRPr="00E72303">
              <w:rPr>
                <w:rFonts w:cs="Times New Roman"/>
                <w:szCs w:val="24"/>
              </w:rPr>
              <w:t>s</w:t>
            </w:r>
          </w:p>
        </w:tc>
        <w:tc>
          <w:tcPr>
            <w:tcW w:w="1893" w:type="dxa"/>
            <w:noWrap/>
            <w:vAlign w:val="center"/>
            <w:hideMark/>
          </w:tcPr>
          <w:p w14:paraId="46ACC330" w14:textId="4B3B179B" w:rsidR="00653277" w:rsidRPr="00E72303" w:rsidRDefault="00653277" w:rsidP="007B178E">
            <w:pPr>
              <w:pStyle w:val="1stParagraph"/>
              <w:jc w:val="center"/>
              <w:rPr>
                <w:rFonts w:cs="Times New Roman"/>
                <w:szCs w:val="24"/>
              </w:rPr>
            </w:pPr>
            <w:r w:rsidRPr="00E72303">
              <w:rPr>
                <w:rFonts w:cs="Times New Roman"/>
                <w:szCs w:val="24"/>
              </w:rPr>
              <w:t>-0.07</w:t>
            </w:r>
          </w:p>
        </w:tc>
        <w:tc>
          <w:tcPr>
            <w:tcW w:w="1732" w:type="dxa"/>
            <w:noWrap/>
            <w:vAlign w:val="center"/>
            <w:hideMark/>
          </w:tcPr>
          <w:p w14:paraId="6CC8F528" w14:textId="556CD52E" w:rsidR="00653277" w:rsidRPr="00E72303" w:rsidRDefault="00653277" w:rsidP="007B178E">
            <w:pPr>
              <w:pStyle w:val="1stParagraph"/>
              <w:jc w:val="center"/>
              <w:rPr>
                <w:rFonts w:cs="Times New Roman"/>
                <w:szCs w:val="24"/>
              </w:rPr>
            </w:pPr>
            <w:r w:rsidRPr="00E72303">
              <w:rPr>
                <w:rFonts w:cs="Times New Roman"/>
                <w:szCs w:val="24"/>
              </w:rPr>
              <w:t>-28.08</w:t>
            </w:r>
          </w:p>
        </w:tc>
      </w:tr>
      <w:tr w:rsidR="00E72303" w:rsidRPr="00E72303" w14:paraId="5664B293" w14:textId="77777777" w:rsidTr="0003194E">
        <w:trPr>
          <w:trHeight w:val="297"/>
        </w:trPr>
        <w:tc>
          <w:tcPr>
            <w:tcW w:w="9363" w:type="dxa"/>
            <w:gridSpan w:val="3"/>
            <w:noWrap/>
            <w:vAlign w:val="center"/>
          </w:tcPr>
          <w:p w14:paraId="03D9D247" w14:textId="3F3CD427" w:rsidR="00F12285" w:rsidRPr="00E72303" w:rsidRDefault="00F12285" w:rsidP="007B178E">
            <w:pPr>
              <w:pStyle w:val="1stParagraph"/>
              <w:jc w:val="left"/>
              <w:rPr>
                <w:rFonts w:cs="Times New Roman"/>
                <w:szCs w:val="24"/>
              </w:rPr>
            </w:pPr>
            <w:r w:rsidRPr="00E72303">
              <w:rPr>
                <w:rFonts w:cs="Times New Roman"/>
                <w:szCs w:val="24"/>
              </w:rPr>
              <w:t>Age (Base: Other categories)</w:t>
            </w:r>
          </w:p>
        </w:tc>
      </w:tr>
      <w:tr w:rsidR="00E72303" w:rsidRPr="00E72303" w14:paraId="264C7B9B" w14:textId="77777777" w:rsidTr="0003194E">
        <w:trPr>
          <w:trHeight w:val="297"/>
        </w:trPr>
        <w:tc>
          <w:tcPr>
            <w:tcW w:w="5737" w:type="dxa"/>
            <w:noWrap/>
            <w:vAlign w:val="center"/>
            <w:hideMark/>
          </w:tcPr>
          <w:p w14:paraId="51E5DE37" w14:textId="60FD7D9B" w:rsidR="00653277" w:rsidRPr="00E72303" w:rsidRDefault="00653277" w:rsidP="007B178E">
            <w:pPr>
              <w:pStyle w:val="1stParagraph"/>
              <w:ind w:left="288"/>
              <w:jc w:val="left"/>
              <w:rPr>
                <w:rFonts w:cs="Times New Roman"/>
                <w:szCs w:val="24"/>
              </w:rPr>
            </w:pPr>
            <w:r w:rsidRPr="00E72303">
              <w:rPr>
                <w:rFonts w:cs="Times New Roman"/>
                <w:szCs w:val="24"/>
              </w:rPr>
              <w:t>Proportion of individuals age</w:t>
            </w:r>
            <w:r w:rsidR="007C1128" w:rsidRPr="00E72303">
              <w:rPr>
                <w:rFonts w:cs="Times New Roman"/>
                <w:szCs w:val="24"/>
              </w:rPr>
              <w:t>d</w:t>
            </w:r>
            <w:r w:rsidRPr="00E72303">
              <w:rPr>
                <w:rFonts w:cs="Times New Roman"/>
                <w:szCs w:val="24"/>
              </w:rPr>
              <w:t xml:space="preserve"> between 51 and 65</w:t>
            </w:r>
            <w:r w:rsidR="004A0CFF" w:rsidRPr="00E72303">
              <w:rPr>
                <w:rFonts w:cs="Times New Roman"/>
                <w:szCs w:val="24"/>
              </w:rPr>
              <w:t xml:space="preserve"> years</w:t>
            </w:r>
          </w:p>
        </w:tc>
        <w:tc>
          <w:tcPr>
            <w:tcW w:w="1893" w:type="dxa"/>
            <w:noWrap/>
            <w:vAlign w:val="center"/>
            <w:hideMark/>
          </w:tcPr>
          <w:p w14:paraId="7A8AD1E6" w14:textId="3505839B" w:rsidR="00653277" w:rsidRPr="00E72303" w:rsidRDefault="00653277" w:rsidP="007B178E">
            <w:pPr>
              <w:pStyle w:val="1stParagraph"/>
              <w:jc w:val="center"/>
              <w:rPr>
                <w:rFonts w:cs="Times New Roman"/>
                <w:szCs w:val="24"/>
              </w:rPr>
            </w:pPr>
            <w:r w:rsidRPr="00E72303">
              <w:rPr>
                <w:rFonts w:cs="Times New Roman"/>
                <w:szCs w:val="24"/>
              </w:rPr>
              <w:t>-0.10</w:t>
            </w:r>
          </w:p>
        </w:tc>
        <w:tc>
          <w:tcPr>
            <w:tcW w:w="1732" w:type="dxa"/>
            <w:noWrap/>
            <w:vAlign w:val="center"/>
            <w:hideMark/>
          </w:tcPr>
          <w:p w14:paraId="3AA3504D" w14:textId="2F96932C" w:rsidR="00653277" w:rsidRPr="00E72303" w:rsidRDefault="00653277" w:rsidP="007B178E">
            <w:pPr>
              <w:pStyle w:val="1stParagraph"/>
              <w:jc w:val="center"/>
              <w:rPr>
                <w:rFonts w:cs="Times New Roman"/>
                <w:szCs w:val="24"/>
              </w:rPr>
            </w:pPr>
            <w:r w:rsidRPr="00E72303">
              <w:rPr>
                <w:rFonts w:cs="Times New Roman"/>
                <w:szCs w:val="24"/>
              </w:rPr>
              <w:t>-48.49</w:t>
            </w:r>
          </w:p>
        </w:tc>
      </w:tr>
      <w:tr w:rsidR="00E72303" w:rsidRPr="00E72303" w14:paraId="3AAF09E3" w14:textId="77777777" w:rsidTr="0003194E">
        <w:trPr>
          <w:trHeight w:val="297"/>
        </w:trPr>
        <w:tc>
          <w:tcPr>
            <w:tcW w:w="5737" w:type="dxa"/>
            <w:noWrap/>
            <w:vAlign w:val="center"/>
            <w:hideMark/>
          </w:tcPr>
          <w:p w14:paraId="5F2EB6C8" w14:textId="02C568E2" w:rsidR="00653277" w:rsidRPr="00E72303" w:rsidRDefault="00653277" w:rsidP="007B178E">
            <w:pPr>
              <w:pStyle w:val="1stParagraph"/>
              <w:ind w:left="288"/>
              <w:jc w:val="left"/>
              <w:rPr>
                <w:rFonts w:cs="Times New Roman"/>
                <w:szCs w:val="24"/>
              </w:rPr>
            </w:pPr>
            <w:r w:rsidRPr="00E72303">
              <w:rPr>
                <w:rFonts w:cs="Times New Roman"/>
                <w:szCs w:val="24"/>
              </w:rPr>
              <w:t>Proportion of individuals of age more than 65</w:t>
            </w:r>
            <w:r w:rsidR="004A0CFF" w:rsidRPr="00E72303">
              <w:rPr>
                <w:rFonts w:cs="Times New Roman"/>
                <w:szCs w:val="24"/>
              </w:rPr>
              <w:t xml:space="preserve"> years</w:t>
            </w:r>
          </w:p>
        </w:tc>
        <w:tc>
          <w:tcPr>
            <w:tcW w:w="1893" w:type="dxa"/>
            <w:noWrap/>
            <w:vAlign w:val="center"/>
            <w:hideMark/>
          </w:tcPr>
          <w:p w14:paraId="1E270FD1" w14:textId="06D19EB4" w:rsidR="00653277" w:rsidRPr="00E72303" w:rsidRDefault="00653277" w:rsidP="007B178E">
            <w:pPr>
              <w:pStyle w:val="1stParagraph"/>
              <w:jc w:val="center"/>
              <w:rPr>
                <w:rFonts w:cs="Times New Roman"/>
                <w:szCs w:val="24"/>
              </w:rPr>
            </w:pPr>
            <w:r w:rsidRPr="00E72303">
              <w:rPr>
                <w:rFonts w:cs="Times New Roman"/>
                <w:szCs w:val="24"/>
              </w:rPr>
              <w:t>0.06</w:t>
            </w:r>
          </w:p>
        </w:tc>
        <w:tc>
          <w:tcPr>
            <w:tcW w:w="1732" w:type="dxa"/>
            <w:noWrap/>
            <w:vAlign w:val="center"/>
            <w:hideMark/>
          </w:tcPr>
          <w:p w14:paraId="5B9693C0" w14:textId="3E98CBDC" w:rsidR="00653277" w:rsidRPr="00E72303" w:rsidRDefault="00653277" w:rsidP="007B178E">
            <w:pPr>
              <w:pStyle w:val="1stParagraph"/>
              <w:jc w:val="center"/>
              <w:rPr>
                <w:rFonts w:cs="Times New Roman"/>
                <w:szCs w:val="24"/>
              </w:rPr>
            </w:pPr>
            <w:r w:rsidRPr="00E72303">
              <w:rPr>
                <w:rFonts w:cs="Times New Roman"/>
                <w:szCs w:val="24"/>
              </w:rPr>
              <w:t>25.56</w:t>
            </w:r>
          </w:p>
        </w:tc>
      </w:tr>
      <w:tr w:rsidR="00E72303" w:rsidRPr="00E72303" w14:paraId="42F5D6A3" w14:textId="77777777" w:rsidTr="0003194E">
        <w:trPr>
          <w:trHeight w:val="297"/>
        </w:trPr>
        <w:tc>
          <w:tcPr>
            <w:tcW w:w="9363" w:type="dxa"/>
            <w:gridSpan w:val="3"/>
            <w:noWrap/>
            <w:vAlign w:val="center"/>
          </w:tcPr>
          <w:p w14:paraId="2A66C08E" w14:textId="6FEFE4E5" w:rsidR="000012D9" w:rsidRPr="00E72303" w:rsidRDefault="000012D9" w:rsidP="007B178E">
            <w:pPr>
              <w:pStyle w:val="1stParagraph"/>
              <w:jc w:val="left"/>
              <w:rPr>
                <w:rFonts w:cs="Times New Roman"/>
                <w:szCs w:val="24"/>
              </w:rPr>
            </w:pPr>
            <w:r w:rsidRPr="00E72303">
              <w:rPr>
                <w:rFonts w:cs="Times New Roman"/>
                <w:szCs w:val="24"/>
              </w:rPr>
              <w:t>Location (Base: Urban areas)</w:t>
            </w:r>
          </w:p>
        </w:tc>
      </w:tr>
      <w:tr w:rsidR="00E72303" w:rsidRPr="00E72303" w14:paraId="5EE47536" w14:textId="77777777" w:rsidTr="0003194E">
        <w:trPr>
          <w:trHeight w:val="297"/>
        </w:trPr>
        <w:tc>
          <w:tcPr>
            <w:tcW w:w="5737" w:type="dxa"/>
            <w:noWrap/>
            <w:vAlign w:val="center"/>
            <w:hideMark/>
          </w:tcPr>
          <w:p w14:paraId="681B1AD6" w14:textId="05EB6CD0" w:rsidR="00653277" w:rsidRPr="00E72303" w:rsidRDefault="00653277" w:rsidP="007B178E">
            <w:pPr>
              <w:pStyle w:val="1stParagraph"/>
              <w:ind w:left="288"/>
              <w:jc w:val="left"/>
              <w:rPr>
                <w:rFonts w:cs="Times New Roman"/>
                <w:szCs w:val="24"/>
              </w:rPr>
            </w:pPr>
            <w:r w:rsidRPr="00E72303">
              <w:rPr>
                <w:rFonts w:cs="Times New Roman"/>
                <w:szCs w:val="24"/>
              </w:rPr>
              <w:t>Rural area</w:t>
            </w:r>
            <w:r w:rsidR="000012D9" w:rsidRPr="00E72303">
              <w:rPr>
                <w:rFonts w:cs="Times New Roman"/>
                <w:szCs w:val="24"/>
              </w:rPr>
              <w:t>s</w:t>
            </w:r>
          </w:p>
        </w:tc>
        <w:tc>
          <w:tcPr>
            <w:tcW w:w="1893" w:type="dxa"/>
            <w:noWrap/>
            <w:vAlign w:val="center"/>
            <w:hideMark/>
          </w:tcPr>
          <w:p w14:paraId="72E1679E" w14:textId="32C20275" w:rsidR="00653277" w:rsidRPr="00E72303" w:rsidRDefault="00653277" w:rsidP="007B178E">
            <w:pPr>
              <w:pStyle w:val="1stParagraph"/>
              <w:jc w:val="center"/>
              <w:rPr>
                <w:rFonts w:cs="Times New Roman"/>
                <w:szCs w:val="24"/>
              </w:rPr>
            </w:pPr>
            <w:r w:rsidRPr="00E72303">
              <w:rPr>
                <w:rFonts w:cs="Times New Roman"/>
                <w:szCs w:val="24"/>
              </w:rPr>
              <w:t>-0.11</w:t>
            </w:r>
          </w:p>
        </w:tc>
        <w:tc>
          <w:tcPr>
            <w:tcW w:w="1732" w:type="dxa"/>
            <w:noWrap/>
            <w:vAlign w:val="center"/>
            <w:hideMark/>
          </w:tcPr>
          <w:p w14:paraId="4C511D78" w14:textId="57E51CA4" w:rsidR="00653277" w:rsidRPr="00E72303" w:rsidRDefault="00653277" w:rsidP="007B178E">
            <w:pPr>
              <w:pStyle w:val="1stParagraph"/>
              <w:jc w:val="center"/>
              <w:rPr>
                <w:rFonts w:cs="Times New Roman"/>
                <w:szCs w:val="24"/>
              </w:rPr>
            </w:pPr>
            <w:r w:rsidRPr="00E72303">
              <w:rPr>
                <w:rFonts w:cs="Times New Roman"/>
                <w:szCs w:val="24"/>
              </w:rPr>
              <w:t>-62.75</w:t>
            </w:r>
          </w:p>
        </w:tc>
      </w:tr>
      <w:tr w:rsidR="00E72303" w:rsidRPr="00E72303" w14:paraId="044963CB" w14:textId="77777777" w:rsidTr="0003194E">
        <w:trPr>
          <w:trHeight w:val="297"/>
        </w:trPr>
        <w:tc>
          <w:tcPr>
            <w:tcW w:w="9363" w:type="dxa"/>
            <w:gridSpan w:val="3"/>
            <w:noWrap/>
            <w:vAlign w:val="center"/>
          </w:tcPr>
          <w:p w14:paraId="7D7172AD" w14:textId="3F579C8D" w:rsidR="00653277" w:rsidRPr="00E72303" w:rsidRDefault="00653277" w:rsidP="007B178E">
            <w:pPr>
              <w:pStyle w:val="1stParagraph"/>
              <w:jc w:val="left"/>
              <w:rPr>
                <w:rFonts w:cs="Times New Roman"/>
                <w:b/>
                <w:bCs/>
                <w:i/>
                <w:iCs/>
                <w:szCs w:val="24"/>
              </w:rPr>
            </w:pPr>
            <w:r w:rsidRPr="00E72303">
              <w:rPr>
                <w:rFonts w:cs="Times New Roman"/>
                <w:b/>
                <w:bCs/>
                <w:i/>
                <w:iCs/>
                <w:szCs w:val="24"/>
              </w:rPr>
              <w:t xml:space="preserve">Spatial </w:t>
            </w:r>
            <w:r w:rsidR="005B283C" w:rsidRPr="00E72303">
              <w:rPr>
                <w:rFonts w:cs="Times New Roman"/>
                <w:b/>
                <w:bCs/>
                <w:i/>
                <w:iCs/>
                <w:szCs w:val="24"/>
              </w:rPr>
              <w:t>Characteristics</w:t>
            </w:r>
            <w:r w:rsidRPr="00E72303">
              <w:rPr>
                <w:rFonts w:cs="Times New Roman"/>
                <w:b/>
                <w:bCs/>
                <w:i/>
                <w:iCs/>
                <w:szCs w:val="24"/>
              </w:rPr>
              <w:t xml:space="preserve"> (Base: South)</w:t>
            </w:r>
          </w:p>
        </w:tc>
      </w:tr>
      <w:tr w:rsidR="00E72303" w:rsidRPr="00E72303" w14:paraId="2C75F03F" w14:textId="77777777" w:rsidTr="0003194E">
        <w:trPr>
          <w:trHeight w:val="297"/>
        </w:trPr>
        <w:tc>
          <w:tcPr>
            <w:tcW w:w="5737" w:type="dxa"/>
            <w:noWrap/>
            <w:vAlign w:val="center"/>
            <w:hideMark/>
          </w:tcPr>
          <w:p w14:paraId="0E86097D" w14:textId="77777777" w:rsidR="00653277" w:rsidRPr="00E72303" w:rsidRDefault="00653277" w:rsidP="007B178E">
            <w:pPr>
              <w:pStyle w:val="1stParagraph"/>
              <w:jc w:val="left"/>
              <w:rPr>
                <w:rFonts w:cs="Times New Roman"/>
                <w:szCs w:val="24"/>
              </w:rPr>
            </w:pPr>
            <w:r w:rsidRPr="00E72303">
              <w:rPr>
                <w:rFonts w:cs="Times New Roman"/>
                <w:szCs w:val="24"/>
              </w:rPr>
              <w:t>Northeast</w:t>
            </w:r>
          </w:p>
        </w:tc>
        <w:tc>
          <w:tcPr>
            <w:tcW w:w="1893" w:type="dxa"/>
            <w:noWrap/>
            <w:vAlign w:val="center"/>
            <w:hideMark/>
          </w:tcPr>
          <w:p w14:paraId="4726B05D" w14:textId="15666D88" w:rsidR="00653277" w:rsidRPr="00E72303" w:rsidRDefault="00653277" w:rsidP="007B178E">
            <w:pPr>
              <w:pStyle w:val="1stParagraph"/>
              <w:jc w:val="center"/>
              <w:rPr>
                <w:rFonts w:cs="Times New Roman"/>
                <w:szCs w:val="24"/>
              </w:rPr>
            </w:pPr>
            <w:r w:rsidRPr="00E72303">
              <w:rPr>
                <w:rFonts w:cs="Times New Roman"/>
                <w:szCs w:val="24"/>
              </w:rPr>
              <w:t>-0.05</w:t>
            </w:r>
          </w:p>
        </w:tc>
        <w:tc>
          <w:tcPr>
            <w:tcW w:w="1732" w:type="dxa"/>
            <w:noWrap/>
            <w:vAlign w:val="center"/>
            <w:hideMark/>
          </w:tcPr>
          <w:p w14:paraId="3248C337" w14:textId="0B88AD20" w:rsidR="00653277" w:rsidRPr="00E72303" w:rsidRDefault="00653277" w:rsidP="007B178E">
            <w:pPr>
              <w:pStyle w:val="1stParagraph"/>
              <w:jc w:val="center"/>
              <w:rPr>
                <w:rFonts w:cs="Times New Roman"/>
                <w:szCs w:val="24"/>
              </w:rPr>
            </w:pPr>
            <w:r w:rsidRPr="00E72303">
              <w:rPr>
                <w:rFonts w:cs="Times New Roman"/>
                <w:szCs w:val="24"/>
              </w:rPr>
              <w:t>-29.50</w:t>
            </w:r>
          </w:p>
        </w:tc>
      </w:tr>
      <w:tr w:rsidR="00E72303" w:rsidRPr="00E72303" w14:paraId="50E2C227" w14:textId="77777777" w:rsidTr="0003194E">
        <w:trPr>
          <w:trHeight w:val="297"/>
        </w:trPr>
        <w:tc>
          <w:tcPr>
            <w:tcW w:w="5737" w:type="dxa"/>
            <w:noWrap/>
            <w:vAlign w:val="center"/>
            <w:hideMark/>
          </w:tcPr>
          <w:p w14:paraId="438E5D81" w14:textId="77777777" w:rsidR="00653277" w:rsidRPr="00E72303" w:rsidRDefault="00653277" w:rsidP="007B178E">
            <w:pPr>
              <w:pStyle w:val="1stParagraph"/>
              <w:jc w:val="left"/>
              <w:rPr>
                <w:rFonts w:cs="Times New Roman"/>
                <w:szCs w:val="24"/>
              </w:rPr>
            </w:pPr>
            <w:r w:rsidRPr="00E72303">
              <w:rPr>
                <w:rFonts w:cs="Times New Roman"/>
                <w:szCs w:val="24"/>
              </w:rPr>
              <w:t>Midwest</w:t>
            </w:r>
          </w:p>
        </w:tc>
        <w:tc>
          <w:tcPr>
            <w:tcW w:w="1893" w:type="dxa"/>
            <w:noWrap/>
            <w:vAlign w:val="center"/>
            <w:hideMark/>
          </w:tcPr>
          <w:p w14:paraId="47A5F5AE" w14:textId="1584CA22" w:rsidR="00653277" w:rsidRPr="00E72303" w:rsidRDefault="00653277" w:rsidP="007B178E">
            <w:pPr>
              <w:pStyle w:val="1stParagraph"/>
              <w:jc w:val="center"/>
              <w:rPr>
                <w:rFonts w:cs="Times New Roman"/>
                <w:szCs w:val="24"/>
              </w:rPr>
            </w:pPr>
            <w:r w:rsidRPr="00E72303">
              <w:rPr>
                <w:rFonts w:cs="Times New Roman"/>
                <w:szCs w:val="24"/>
              </w:rPr>
              <w:t>0.02</w:t>
            </w:r>
          </w:p>
        </w:tc>
        <w:tc>
          <w:tcPr>
            <w:tcW w:w="1732" w:type="dxa"/>
            <w:noWrap/>
            <w:vAlign w:val="center"/>
            <w:hideMark/>
          </w:tcPr>
          <w:p w14:paraId="44CEE98E" w14:textId="224B3805" w:rsidR="00653277" w:rsidRPr="00E72303" w:rsidRDefault="00653277" w:rsidP="007B178E">
            <w:pPr>
              <w:pStyle w:val="1stParagraph"/>
              <w:jc w:val="center"/>
              <w:rPr>
                <w:rFonts w:cs="Times New Roman"/>
                <w:szCs w:val="24"/>
              </w:rPr>
            </w:pPr>
            <w:r w:rsidRPr="00E72303">
              <w:rPr>
                <w:rFonts w:cs="Times New Roman"/>
                <w:szCs w:val="24"/>
              </w:rPr>
              <w:t>11.80</w:t>
            </w:r>
          </w:p>
        </w:tc>
      </w:tr>
      <w:tr w:rsidR="00653277" w:rsidRPr="00E72303" w14:paraId="299E34A8" w14:textId="77777777" w:rsidTr="0003194E">
        <w:trPr>
          <w:trHeight w:val="297"/>
        </w:trPr>
        <w:tc>
          <w:tcPr>
            <w:tcW w:w="5737" w:type="dxa"/>
            <w:noWrap/>
            <w:vAlign w:val="center"/>
            <w:hideMark/>
          </w:tcPr>
          <w:p w14:paraId="263F3CA5" w14:textId="77777777" w:rsidR="00653277" w:rsidRPr="00E72303" w:rsidRDefault="00653277" w:rsidP="007B178E">
            <w:pPr>
              <w:pStyle w:val="1stParagraph"/>
              <w:jc w:val="left"/>
              <w:rPr>
                <w:rFonts w:cs="Times New Roman"/>
                <w:szCs w:val="24"/>
              </w:rPr>
            </w:pPr>
            <w:r w:rsidRPr="00E72303">
              <w:rPr>
                <w:rFonts w:cs="Times New Roman"/>
                <w:szCs w:val="24"/>
              </w:rPr>
              <w:t>West</w:t>
            </w:r>
          </w:p>
        </w:tc>
        <w:tc>
          <w:tcPr>
            <w:tcW w:w="1893" w:type="dxa"/>
            <w:noWrap/>
            <w:vAlign w:val="center"/>
            <w:hideMark/>
          </w:tcPr>
          <w:p w14:paraId="63063DB0" w14:textId="3C90D6F5" w:rsidR="00653277" w:rsidRPr="00E72303" w:rsidRDefault="00653277" w:rsidP="007B178E">
            <w:pPr>
              <w:pStyle w:val="1stParagraph"/>
              <w:jc w:val="center"/>
              <w:rPr>
                <w:rFonts w:cs="Times New Roman"/>
                <w:szCs w:val="24"/>
              </w:rPr>
            </w:pPr>
            <w:r w:rsidRPr="00E72303">
              <w:rPr>
                <w:rFonts w:cs="Times New Roman"/>
                <w:szCs w:val="24"/>
              </w:rPr>
              <w:t>-0.17</w:t>
            </w:r>
          </w:p>
        </w:tc>
        <w:tc>
          <w:tcPr>
            <w:tcW w:w="1732" w:type="dxa"/>
            <w:noWrap/>
            <w:vAlign w:val="center"/>
            <w:hideMark/>
          </w:tcPr>
          <w:p w14:paraId="0179682D" w14:textId="3AB0DE1A" w:rsidR="00653277" w:rsidRPr="00E72303" w:rsidRDefault="00653277" w:rsidP="007B178E">
            <w:pPr>
              <w:pStyle w:val="1stParagraph"/>
              <w:jc w:val="center"/>
              <w:rPr>
                <w:rFonts w:cs="Times New Roman"/>
                <w:szCs w:val="24"/>
              </w:rPr>
            </w:pPr>
            <w:r w:rsidRPr="00E72303">
              <w:rPr>
                <w:rFonts w:cs="Times New Roman"/>
                <w:szCs w:val="24"/>
              </w:rPr>
              <w:t>-92.34</w:t>
            </w:r>
          </w:p>
        </w:tc>
      </w:tr>
    </w:tbl>
    <w:p w14:paraId="55CCD933" w14:textId="77777777" w:rsidR="00E67BE5" w:rsidRPr="00E72303" w:rsidRDefault="00E67BE5" w:rsidP="007B178E"/>
    <w:p w14:paraId="3DC9908D" w14:textId="6F3816BA" w:rsidR="001F2A1E" w:rsidRPr="00E72303" w:rsidRDefault="001F2A1E" w:rsidP="007B178E">
      <w:pPr>
        <w:pStyle w:val="Heading2"/>
        <w:rPr>
          <w:color w:val="auto"/>
        </w:rPr>
      </w:pPr>
      <w:r w:rsidRPr="00E72303">
        <w:rPr>
          <w:color w:val="auto"/>
        </w:rPr>
        <w:t>Multinomial Logit Model</w:t>
      </w:r>
    </w:p>
    <w:p w14:paraId="6A7FCC61" w14:textId="526BD8D4" w:rsidR="00187B80" w:rsidRPr="00E72303" w:rsidRDefault="00FA5063" w:rsidP="007B178E">
      <w:pPr>
        <w:pStyle w:val="1stParagraph"/>
      </w:pPr>
      <w:r w:rsidRPr="00E72303">
        <w:t xml:space="preserve">The multinomial logit model was estimated with a two-dimensional dependent variable. The </w:t>
      </w:r>
      <w:r w:rsidR="00E67BE5" w:rsidRPr="00E72303">
        <w:t>first dimension</w:t>
      </w:r>
      <w:r w:rsidRPr="00E72303">
        <w:t xml:space="preserve"> </w:t>
      </w:r>
      <w:r w:rsidR="00B63F24" w:rsidRPr="00E72303">
        <w:t xml:space="preserve">includes </w:t>
      </w:r>
      <w:r w:rsidRPr="00E72303">
        <w:t xml:space="preserve">fuel type, and the </w:t>
      </w:r>
      <w:r w:rsidR="00E67BE5" w:rsidRPr="00E72303">
        <w:t>second dimension</w:t>
      </w:r>
      <w:r w:rsidRPr="00E72303">
        <w:t xml:space="preserve"> </w:t>
      </w:r>
      <w:r w:rsidR="00B63F24" w:rsidRPr="00E72303">
        <w:t xml:space="preserve">includes </w:t>
      </w:r>
      <w:r w:rsidRPr="00E72303">
        <w:t xml:space="preserve">vehicle type. </w:t>
      </w:r>
      <w:r w:rsidR="00DC49A6" w:rsidRPr="00E72303">
        <w:t xml:space="preserve">The </w:t>
      </w:r>
      <w:r w:rsidR="00B8409D" w:rsidRPr="00E72303">
        <w:t>model</w:t>
      </w:r>
      <w:r w:rsidR="00DC49A6" w:rsidRPr="00E72303">
        <w:t xml:space="preserve"> estimation process </w:t>
      </w:r>
      <w:r w:rsidR="00C56E55" w:rsidRPr="00E72303">
        <w:t>employs</w:t>
      </w:r>
      <w:r w:rsidR="00DC49A6" w:rsidRPr="00E72303">
        <w:t xml:space="preserve"> a </w:t>
      </w:r>
      <w:r w:rsidR="00C96BF6" w:rsidRPr="00E72303">
        <w:t xml:space="preserve">dimension </w:t>
      </w:r>
      <w:r w:rsidR="00DC49A6" w:rsidRPr="00E72303">
        <w:t>specif</w:t>
      </w:r>
      <w:r w:rsidR="00C96BF6" w:rsidRPr="00E72303">
        <w:t>ic</w:t>
      </w:r>
      <w:r w:rsidR="00DC49A6" w:rsidRPr="00E72303">
        <w:t xml:space="preserve"> approach for variable </w:t>
      </w:r>
      <w:r w:rsidR="00C96BF6" w:rsidRPr="00E72303">
        <w:t xml:space="preserve">consideration as this will result in a more parsimonious model structure. </w:t>
      </w:r>
      <w:r w:rsidR="001F2A1E" w:rsidRPr="00E72303">
        <w:t xml:space="preserve">The estimation results of </w:t>
      </w:r>
      <w:r w:rsidRPr="00E72303">
        <w:t xml:space="preserve">the </w:t>
      </w:r>
      <w:r w:rsidR="001F2A1E" w:rsidRPr="00E72303">
        <w:t xml:space="preserve">model are shown in Table </w:t>
      </w:r>
      <w:r w:rsidR="000466A2" w:rsidRPr="00E72303">
        <w:t>4</w:t>
      </w:r>
      <w:r w:rsidR="001F2A1E" w:rsidRPr="00E72303">
        <w:t>.</w:t>
      </w:r>
      <w:r w:rsidR="00F96BD8" w:rsidRPr="00E72303">
        <w:t xml:space="preserve"> The reader would note that the variables considered in the model are drawn from </w:t>
      </w:r>
      <w:proofErr w:type="spellStart"/>
      <w:r w:rsidR="00F96BD8" w:rsidRPr="00E72303">
        <w:t>MaritxCX</w:t>
      </w:r>
      <w:proofErr w:type="spellEnd"/>
      <w:r w:rsidR="00F96BD8" w:rsidRPr="00E72303">
        <w:t xml:space="preserve"> and NHTS fused database. We discuss the results by grouping the variables </w:t>
      </w:r>
      <w:r w:rsidR="00C56E55" w:rsidRPr="00E72303">
        <w:t>into</w:t>
      </w:r>
      <w:r w:rsidR="00F96BD8" w:rsidRPr="00E72303">
        <w:t xml:space="preserve"> their source.</w:t>
      </w:r>
    </w:p>
    <w:p w14:paraId="2B4C3AF0" w14:textId="77777777" w:rsidR="00DA5FF9" w:rsidRPr="00E72303" w:rsidRDefault="00DA5FF9" w:rsidP="007B178E">
      <w:pPr>
        <w:pStyle w:val="1stParagraph"/>
      </w:pPr>
    </w:p>
    <w:p w14:paraId="1525686C" w14:textId="522CEC0D" w:rsidR="00187B80" w:rsidRPr="00E72303" w:rsidRDefault="001F2A1E" w:rsidP="007B178E">
      <w:pPr>
        <w:pStyle w:val="Heading3"/>
        <w:rPr>
          <w:color w:val="auto"/>
        </w:rPr>
      </w:pPr>
      <w:proofErr w:type="spellStart"/>
      <w:r w:rsidRPr="00E72303">
        <w:rPr>
          <w:color w:val="auto"/>
        </w:rPr>
        <w:t>MaritzCX</w:t>
      </w:r>
      <w:proofErr w:type="spellEnd"/>
      <w:r w:rsidRPr="00E72303">
        <w:rPr>
          <w:color w:val="auto"/>
        </w:rPr>
        <w:t xml:space="preserve"> Data</w:t>
      </w:r>
    </w:p>
    <w:p w14:paraId="62487660" w14:textId="77777777" w:rsidR="00DA5FF9" w:rsidRPr="00E72303" w:rsidRDefault="00DA5FF9" w:rsidP="00DA5FF9"/>
    <w:p w14:paraId="67EDBA36" w14:textId="6B57A9EE" w:rsidR="001F2A1E" w:rsidRPr="00E72303" w:rsidRDefault="001F2A1E" w:rsidP="007B178E">
      <w:pPr>
        <w:pStyle w:val="Heading4"/>
        <w:rPr>
          <w:color w:val="auto"/>
        </w:rPr>
      </w:pPr>
      <w:r w:rsidRPr="00E72303">
        <w:rPr>
          <w:color w:val="auto"/>
        </w:rPr>
        <w:t>Vehicle Characteristics</w:t>
      </w:r>
    </w:p>
    <w:p w14:paraId="41275DF0" w14:textId="124C15FE" w:rsidR="00187B80" w:rsidRPr="00E72303" w:rsidRDefault="00FA5063" w:rsidP="007B178E">
      <w:pPr>
        <w:pStyle w:val="1stParagraph"/>
      </w:pPr>
      <w:r w:rsidRPr="00E72303">
        <w:t xml:space="preserve">Several vehicle related variables were found to </w:t>
      </w:r>
      <w:r w:rsidR="00AF2177" w:rsidRPr="00E72303">
        <w:t>have</w:t>
      </w:r>
      <w:r w:rsidRPr="00E72303">
        <w:t xml:space="preserve"> </w:t>
      </w:r>
      <w:r w:rsidR="00B21B89" w:rsidRPr="00E72303">
        <w:t>a significant</w:t>
      </w:r>
      <w:r w:rsidRPr="00E72303">
        <w:t xml:space="preserve"> impact </w:t>
      </w:r>
      <w:r w:rsidR="00B21B89" w:rsidRPr="00E72303">
        <w:t>on</w:t>
      </w:r>
      <w:r w:rsidRPr="00E72303">
        <w:t xml:space="preserve"> our model. Fuel efficiency is found to offer a positive correlation with </w:t>
      </w:r>
      <w:r w:rsidR="005C019C" w:rsidRPr="00E72303">
        <w:t>non-gasoline operated vehicles</w:t>
      </w:r>
      <w:r w:rsidR="00F33FB0" w:rsidRPr="00E72303">
        <w:t xml:space="preserve">. </w:t>
      </w:r>
      <w:r w:rsidR="00947954" w:rsidRPr="00E72303">
        <w:t xml:space="preserve">In general, gasoline operated vehicles convert </w:t>
      </w:r>
      <w:r w:rsidR="00B234B0" w:rsidRPr="00E72303">
        <w:t>less than 40%</w:t>
      </w:r>
      <w:r w:rsidR="00947954" w:rsidRPr="00E72303">
        <w:t xml:space="preserve"> of their energy to the vehicle usable power, leaving the rest as waste heat. In contrast, th</w:t>
      </w:r>
      <w:r w:rsidR="00B234B0" w:rsidRPr="00E72303">
        <w:t>e</w:t>
      </w:r>
      <w:r w:rsidR="00947954" w:rsidRPr="00E72303">
        <w:t xml:space="preserve"> conversion rate is</w:t>
      </w:r>
      <w:r w:rsidR="00C654F5" w:rsidRPr="00E72303">
        <w:t xml:space="preserve"> </w:t>
      </w:r>
      <w:r w:rsidR="00B234B0" w:rsidRPr="00E72303">
        <w:t>85</w:t>
      </w:r>
      <w:r w:rsidR="00C654F5" w:rsidRPr="00E72303">
        <w:t>% or higher for the electric motors in EV or fuel cells in hydrogen vehicles</w:t>
      </w:r>
      <w:r w:rsidR="00B234B0" w:rsidRPr="00E72303">
        <w:t xml:space="preserve"> </w:t>
      </w:r>
      <w:r w:rsidR="00B234B0" w:rsidRPr="00E72303">
        <w:fldChar w:fldCharType="begin" w:fldLock="1"/>
      </w:r>
      <w:r w:rsidR="00151AD7" w:rsidRPr="00E72303">
        <w:instrText>ADDIN CSL_CITATION {"citationItems":[{"id":"ITEM-1","itemData":{"URL":"https://www.nrdc.org/bio/madhur-boloor/electric-vehicle-basics","author":[{"dropping-particle":"","family":"Boloor","given":"Madhur","non-dropping-particle":"","parse-names":false,"suffix":""},{"dropping-particle":"","family":"Valderrama","given":"Patricia","non-dropping-particle":"","parse-names":false,"suffix":""},{"dropping-particle":"","family":"Statler","given":"Ada","non-dropping-particle":"","parse-names":false,"suffix":""},{"dropping-particle":"","family":"Garcia","given":"Samuel","non-dropping-particle":"","parse-names":false,"suffix":""}],"container-title":"Natural Resources Defence Council","id":"ITEM-1","issued":{"date-parts":[["2019"]]},"title":"Electric Vehicle Basics","type":"webpage"},"uris":["http://www.mendeley.com/documents/?uuid=b840f4e7-146a-4503-9851-7db281d085f7"]}],"mendeley":{"formattedCitation":"(Boloor et al., 2019)","plainTextFormattedCitation":"(Boloor et al., 2019)","previouslyFormattedCitation":"(Boloor et al., 2019)"},"properties":{"noteIndex":0},"schema":"https://github.com/citation-style-language/schema/raw/master/csl-citation.json"}</w:instrText>
      </w:r>
      <w:r w:rsidR="00B234B0" w:rsidRPr="00E72303">
        <w:fldChar w:fldCharType="separate"/>
      </w:r>
      <w:r w:rsidR="00B234B0" w:rsidRPr="00E72303">
        <w:rPr>
          <w:noProof/>
        </w:rPr>
        <w:t>(Boloor et al., 2019)</w:t>
      </w:r>
      <w:r w:rsidR="00B234B0" w:rsidRPr="00E72303">
        <w:fldChar w:fldCharType="end"/>
      </w:r>
      <w:r w:rsidR="00C654F5" w:rsidRPr="00E72303">
        <w:t xml:space="preserve">. </w:t>
      </w:r>
      <w:r w:rsidR="00F33FB0" w:rsidRPr="00E72303">
        <w:t>Further</w:t>
      </w:r>
      <w:r w:rsidR="005C019C" w:rsidRPr="00E72303">
        <w:t xml:space="preserve">, it has been found to have similar impacts across all categories of vehicles. </w:t>
      </w:r>
      <w:r w:rsidR="00B8409D" w:rsidRPr="00E72303">
        <w:t>V</w:t>
      </w:r>
      <w:r w:rsidR="005C019C" w:rsidRPr="00E72303">
        <w:t>ehicle price offered a positive correlation with sport sedans and pickup trucks</w:t>
      </w:r>
      <w:r w:rsidR="00AA649B" w:rsidRPr="00E72303">
        <w:t xml:space="preserve">; however, it is negatively correlated with sedans. </w:t>
      </w:r>
      <w:r w:rsidR="001C2903" w:rsidRPr="00E72303">
        <w:t xml:space="preserve">The result is indicative of </w:t>
      </w:r>
      <w:r w:rsidR="002B502C" w:rsidRPr="00E72303">
        <w:t xml:space="preserve">customers opting for </w:t>
      </w:r>
      <w:r w:rsidR="001C2903" w:rsidRPr="00E72303">
        <w:t>sport sedans and pickup trucks</w:t>
      </w:r>
      <w:r w:rsidR="002B502C" w:rsidRPr="00E72303">
        <w:t xml:space="preserve"> </w:t>
      </w:r>
      <w:proofErr w:type="gramStart"/>
      <w:r w:rsidR="002B502C" w:rsidRPr="00E72303">
        <w:t>in spite of</w:t>
      </w:r>
      <w:proofErr w:type="gramEnd"/>
      <w:r w:rsidR="002B502C" w:rsidRPr="00E72303">
        <w:t xml:space="preserve"> their price</w:t>
      </w:r>
      <w:r w:rsidR="001C2903" w:rsidRPr="00E72303">
        <w:t xml:space="preserve">. </w:t>
      </w:r>
      <w:r w:rsidR="002B502C" w:rsidRPr="00E72303">
        <w:t xml:space="preserve">It is also interesting to observe that the impact of price is similar across </w:t>
      </w:r>
      <w:r w:rsidR="00C01D2F" w:rsidRPr="00E72303">
        <w:t>both fuel types</w:t>
      </w:r>
      <w:r w:rsidR="00D7158A" w:rsidRPr="00E72303">
        <w:t xml:space="preserve"> </w:t>
      </w:r>
      <w:r w:rsidR="00D7158A" w:rsidRPr="00E72303">
        <w:fldChar w:fldCharType="begin" w:fldLock="1"/>
      </w:r>
      <w:r w:rsidR="00151AD7" w:rsidRPr="00E72303">
        <w:instrText>ADDIN CSL_CITATION {"citationItems":[{"id":"ITEM-1","itemData":{"DOI":"10.1016/j.enpol.2020.111292","ISSN":"03014215","abstract":"Electric vehicles are perceived as a key alternate to internal combustion engine vehicles for a transition to a decarbonized society. However, this transition towards the electrification of transport has not made equal progress globally, and faced several impediments to consumer adoption of EVs across the Nordic region and beyond. While there has been a multitude of reasons provided in the literature, we aim to characterize the barriers that remain to electrification today, as well as their perceived interconnections and futures. To provide insight into this query, the authors conducted 227 semi-structured interviews with transportation and electricity experts from 201 institutions across seventeen cities in Denmark, Finland, Iceland, Norway, and Sweden. The qualitative results and consequent cluster analysis show that common barriers like range, price and charging infrastructure continue to persist, despite technological advancements over the recent years. At the same time, results also show that barriers are highly interconnected and are commonly connected to consumer knowledge and experience. The article concludes with a discussion of policy implications of the findings and potential future research.","author":[{"dropping-particle":"","family":"Noel","given":"Lance","non-dropping-particle":"","parse-names":false,"suffix":""},{"dropping-particle":"","family":"Zarazua de Rubens","given":"Gerardo","non-dropping-particle":"","parse-names":false,"suffix":""},{"dropping-particle":"","family":"Kester","given":"Johannes","non-dropping-particle":"","parse-names":false,"suffix":""},{"dropping-particle":"","family":"Sovacool","given":"Benjamin K.","non-dropping-particle":"","parse-names":false,"suffix":""}],"container-title":"Energy Policy","id":"ITEM-1","issue":"January","issued":{"date-parts":[["2020"]]},"title":"Understanding the socio-technical nexus of Nordic electric vehicle (EV) barriers: A qualitative discussion of range, price, charging and knowledge","type":"article-journal","volume":"138"},"uris":["http://www.mendeley.com/documents/?uuid=88229ac0-e544-434f-8985-ea33a606947e"]}],"mendeley":{"formattedCitation":"(Noel et al., 2020)","plainTextFormattedCitation":"(Noel et al., 2020)","previouslyFormattedCitation":"(Noel et al., 2020)"},"properties":{"noteIndex":0},"schema":"https://github.com/citation-style-language/schema/raw/master/csl-citation.json"}</w:instrText>
      </w:r>
      <w:r w:rsidR="00D7158A" w:rsidRPr="00E72303">
        <w:fldChar w:fldCharType="separate"/>
      </w:r>
      <w:r w:rsidR="00D7158A" w:rsidRPr="00E72303">
        <w:rPr>
          <w:noProof/>
        </w:rPr>
        <w:t>(Noel et al., 2020)</w:t>
      </w:r>
      <w:r w:rsidR="00D7158A" w:rsidRPr="00E72303">
        <w:fldChar w:fldCharType="end"/>
      </w:r>
      <w:r w:rsidR="00827F8B" w:rsidRPr="00E72303">
        <w:t xml:space="preserve">. </w:t>
      </w:r>
      <w:r w:rsidR="00630AF1" w:rsidRPr="00E72303">
        <w:t xml:space="preserve">A </w:t>
      </w:r>
      <w:r w:rsidR="00AA649B" w:rsidRPr="00E72303">
        <w:t xml:space="preserve">negative impact of engine size on sedans indicates </w:t>
      </w:r>
      <w:r w:rsidR="00AF2177" w:rsidRPr="00E72303">
        <w:t>that</w:t>
      </w:r>
      <w:r w:rsidR="00AA649B" w:rsidRPr="00E72303">
        <w:t xml:space="preserve"> preferences for larger engine size decreases the likelihood of buying sedans. </w:t>
      </w:r>
      <w:r w:rsidR="00630AF1" w:rsidRPr="00E72303">
        <w:t xml:space="preserve">In comparison </w:t>
      </w:r>
      <w:r w:rsidR="001F38DC" w:rsidRPr="00E72303">
        <w:t xml:space="preserve">to 4-door cars, 2-door cars provide a negative </w:t>
      </w:r>
      <w:r w:rsidR="00630AF1" w:rsidRPr="00E72303">
        <w:t xml:space="preserve">preference </w:t>
      </w:r>
      <w:r w:rsidR="00205D8A" w:rsidRPr="00E72303">
        <w:t>for sedans</w:t>
      </w:r>
      <w:r w:rsidR="00440E3A" w:rsidRPr="00E72303">
        <w:t>;</w:t>
      </w:r>
      <w:r w:rsidR="001F38DC" w:rsidRPr="00E72303">
        <w:t xml:space="preserve"> however, it is positively associated with pickup trucks.</w:t>
      </w:r>
      <w:r w:rsidR="00440E3A" w:rsidRPr="00E72303">
        <w:t xml:space="preserve"> Finally, several vehicle brands were found to have </w:t>
      </w:r>
      <w:r w:rsidR="00AF2177" w:rsidRPr="00E72303">
        <w:t>a significant</w:t>
      </w:r>
      <w:r w:rsidR="00440E3A" w:rsidRPr="00E72303">
        <w:t xml:space="preserve"> impact </w:t>
      </w:r>
      <w:r w:rsidR="00AF2177" w:rsidRPr="00E72303">
        <w:t>on</w:t>
      </w:r>
      <w:r w:rsidR="00440E3A" w:rsidRPr="00E72303">
        <w:t xml:space="preserve"> our model</w:t>
      </w:r>
      <w:r w:rsidR="00B63F24" w:rsidRPr="00E72303">
        <w:t xml:space="preserve"> representing brand specific fixed effects</w:t>
      </w:r>
      <w:r w:rsidR="00B204C7" w:rsidRPr="00E72303">
        <w:t>, which are not interpretable after the addition of several vehicle related attributes in the model</w:t>
      </w:r>
      <w:r w:rsidR="00440E3A" w:rsidRPr="00E72303">
        <w:t>.</w:t>
      </w:r>
      <w:r w:rsidR="00D2743F" w:rsidRPr="00E72303">
        <w:t xml:space="preserve"> </w:t>
      </w:r>
    </w:p>
    <w:p w14:paraId="103B5B50" w14:textId="37AAD036" w:rsidR="007D1B9D" w:rsidRPr="00E72303" w:rsidRDefault="003450D3" w:rsidP="007B178E">
      <w:pPr>
        <w:pStyle w:val="Heading4"/>
        <w:rPr>
          <w:color w:val="auto"/>
        </w:rPr>
      </w:pPr>
      <w:r w:rsidRPr="00E72303">
        <w:rPr>
          <w:rStyle w:val="Heading4Char"/>
          <w:b/>
          <w:i/>
          <w:iCs/>
          <w:color w:val="auto"/>
        </w:rPr>
        <w:lastRenderedPageBreak/>
        <w:t xml:space="preserve">Household </w:t>
      </w:r>
      <w:r w:rsidR="007D1B9D" w:rsidRPr="00E72303">
        <w:rPr>
          <w:rStyle w:val="Heading4Char"/>
          <w:b/>
          <w:i/>
          <w:iCs/>
          <w:color w:val="auto"/>
        </w:rPr>
        <w:t>Economic Characteristics</w:t>
      </w:r>
    </w:p>
    <w:p w14:paraId="3088842B" w14:textId="02118008" w:rsidR="00187B80" w:rsidRPr="00E72303" w:rsidRDefault="009C1087" w:rsidP="007B178E">
      <w:pPr>
        <w:pStyle w:val="1stParagraph"/>
      </w:pPr>
      <w:r w:rsidRPr="00E72303">
        <w:t xml:space="preserve">In terms of </w:t>
      </w:r>
      <w:r w:rsidR="00C306CD" w:rsidRPr="00E72303">
        <w:t xml:space="preserve">household </w:t>
      </w:r>
      <w:r w:rsidRPr="00E72303">
        <w:t>economic characteristics,</w:t>
      </w:r>
      <w:r w:rsidR="001413BD" w:rsidRPr="00E72303">
        <w:t xml:space="preserve"> </w:t>
      </w:r>
      <w:r w:rsidR="003C5D91" w:rsidRPr="00E72303">
        <w:t xml:space="preserve">high income </w:t>
      </w:r>
      <w:r w:rsidR="00EB110E" w:rsidRPr="00E72303">
        <w:t xml:space="preserve">category </w:t>
      </w:r>
      <w:r w:rsidR="003C5D91" w:rsidRPr="00E72303">
        <w:t>households</w:t>
      </w:r>
      <w:r w:rsidR="001413BD" w:rsidRPr="00E72303">
        <w:t xml:space="preserve"> </w:t>
      </w:r>
      <w:r w:rsidR="00B82FAF" w:rsidRPr="00E72303">
        <w:t xml:space="preserve">present </w:t>
      </w:r>
      <w:r w:rsidR="001413BD" w:rsidRPr="00E72303">
        <w:t>a negative association with pick-up trucks</w:t>
      </w:r>
      <w:r w:rsidR="003C5D91" w:rsidRPr="00E72303">
        <w:t xml:space="preserve"> compared with </w:t>
      </w:r>
      <w:r w:rsidR="00F53B67" w:rsidRPr="00E72303">
        <w:t>low- and medium-income</w:t>
      </w:r>
      <w:r w:rsidR="003C5D91" w:rsidRPr="00E72303">
        <w:t xml:space="preserve"> households</w:t>
      </w:r>
      <w:r w:rsidR="001413BD" w:rsidRPr="00E72303">
        <w:t>.</w:t>
      </w:r>
      <w:r w:rsidR="00FA6978" w:rsidRPr="00E72303">
        <w:t xml:space="preserve"> Surprisingly, household income was found to have no significant impact on fuel choice decision</w:t>
      </w:r>
      <w:r w:rsidR="00183816" w:rsidRPr="00E72303">
        <w:t xml:space="preserve"> (see </w:t>
      </w:r>
      <w:r w:rsidR="00FA6978" w:rsidRPr="00E72303">
        <w:fldChar w:fldCharType="begin" w:fldLock="1"/>
      </w:r>
      <w:r w:rsidR="00151AD7" w:rsidRPr="00E72303">
        <w:instrText>ADDIN CSL_CITATION {"citationItems":[{"id":"ITEM-1","itemData":{"DOI":"10.1016/j.trd.2020.102436","ISSN":"13619209","abstract":"The deployment of electric vehicles (EVs) may mitigate major issues such as environmental pollution and dependence on oil. However, the current market penetration of EV is still at the nascent stage despite many governments employing dynamic advertising policies. This paper empirically investigates the factors influencing a consumer's intention to adopt an EV. A total of 211 peer-reviewed research articles published between 2009 and 2019 covering the main categories consumer intentions – adoption intention, purchase intention, behavioural intention, and usage intention, – were selected. This study categorises influential factors, into four main types, namely demographic, situational, contextual, and psychological. A comprehensive overview of the theoretical perspectives was also developed to understand adoption behaviour and a consumer's intentions towards EVs. The findings provide the most common research methodology employed for testing, analysing and comparing the relations among EV factors. A simple meta-analysis shows that the trend of studies on the influencing factors for adopting EVs has increased significantly over the past decade. Finally, this review study has managerial implications and shows future directions for EV researchers and practitioners that may help governments and the automobile industry to increase the usage share of EVs.","author":[{"dropping-particle":"","family":"Singh","given":"Virender","non-dropping-particle":"","parse-names":false,"suffix":""},{"dropping-particle":"","family":"Singh","given":"Vedant","non-dropping-particle":"","parse-names":false,"suffix":""},{"dropping-particle":"","family":"Vaibhav","given":"S.","non-dropping-particle":"","parse-names":false,"suffix":""}],"container-title":"Transportation Research Part D: Transport and Environment","id":"ITEM-1","issue":"August","issued":{"date-parts":[["2020"]]},"title":"A review and simple meta-analysis of factors influencing adoption of electric vehicles","type":"article-journal","volume":"86"},"uris":["http://www.mendeley.com/documents/?uuid=8aa5c6f5-e2a4-4ef6-9046-464bad5a7595"]},{"id":"ITEM-2","itemData":{"DOI":"10.1016/j.tra.2018.05.011","ISSN":"09658564","abstract":"The study presents a multi-group structural equation modelling exercise to identify differences in the mindset of individuals towards electric vehicles (EVs) across seven vehicle body types in Canada. The study utilizes a sample of 15,392 households and grounds the psychographic orientation of potential EV adopters on an extended version of the Theory of Planned Behaviour. Specifically, the study measures the impact of five latent constructs; environmental concerns, attitude, subjective norm, personal moral norm, and perceived behavioural control on the intention to adopt EVs along with socio-economic-demographic (SED) variables. The results highlight that both attitude and perceived behaviour control are the strongest factors influencing individual intention to adopt EVs. However, the multi-group invariance analysis indicates that the psychographic orientation and the SED traits of potential adopters of different EV body types are significantly different, with particular standouts in the luxury and pickup truck classes. We follow this up with an analysis of mindshare towards EVs over the seven vehicle types. Insights derived from the analysis can help define potential submarkets for EVs and accelerate their adoption.","author":[{"dropping-particle":"","family":"Mohamed","given":"Moataz","non-dropping-particle":"","parse-names":false,"suffix":""},{"dropping-particle":"","family":"Higgins","given":"Christopher D.","non-dropping-particle":"","parse-names":false,"suffix":""},{"dropping-particle":"","family":"Ferguson","given":"Mark","non-dropping-particle":"","parse-names":false,"suffix":""},{"dropping-particle":"","family":"Réquia","given":"Weeberb J.","non-dropping-particle":"","parse-names":false,"suffix":""}],"container-title":"Transportation Research Part A: Policy and Practice","id":"ITEM-2","issue":"May","issued":{"date-parts":[["2018"]]},"page":"54-72","publisher":"Elsevier","title":"The influence of vehicle body type in shaping behavioural intention to acquire electric vehicles: A multi-group structural equation approach","type":"article-journal","volume":"116"},"uris":["http://www.mendeley.com/documents/?uuid=92753b20-e2aa-482a-8c82-6b1300e4034a"]}],"mendeley":{"formattedCitation":"(Mohamed et al., 2018; Singh et al., 2020)","manualFormatting":"(Mohamed et al., 2018; Singh et al., 2020)","plainTextFormattedCitation":"(Mohamed et al., 2018; Singh et al., 2020)","previouslyFormattedCitation":"(Mohamed et al., 2018; Singh et al., 2020)"},"properties":{"noteIndex":0},"schema":"https://github.com/citation-style-language/schema/raw/master/csl-citation.json"}</w:instrText>
      </w:r>
      <w:r w:rsidR="00FA6978" w:rsidRPr="00E72303">
        <w:fldChar w:fldCharType="separate"/>
      </w:r>
      <w:r w:rsidR="00FA6978" w:rsidRPr="00E72303">
        <w:rPr>
          <w:noProof/>
        </w:rPr>
        <w:t>(Mohamed et al., 2018; Singh et al., 2020)</w:t>
      </w:r>
      <w:r w:rsidR="00FA6978" w:rsidRPr="00E72303">
        <w:fldChar w:fldCharType="end"/>
      </w:r>
      <w:r w:rsidR="00183816" w:rsidRPr="00E72303">
        <w:t xml:space="preserve"> for similar findings in earlier research)</w:t>
      </w:r>
      <w:r w:rsidR="00FA6978" w:rsidRPr="00E72303">
        <w:t>.</w:t>
      </w:r>
      <w:r w:rsidR="00183816" w:rsidRPr="00E72303">
        <w:t xml:space="preserve"> It is possible that </w:t>
      </w:r>
      <w:r w:rsidR="00186CC3" w:rsidRPr="00E72303">
        <w:t>fuel choice decisions are more likely to be affected by attitudinal preferences and are not solely affected by household income.</w:t>
      </w:r>
    </w:p>
    <w:p w14:paraId="6A958519" w14:textId="77777777" w:rsidR="00DA5FF9" w:rsidRPr="00E72303" w:rsidRDefault="00DA5FF9" w:rsidP="007B178E">
      <w:pPr>
        <w:pStyle w:val="1stParagraph"/>
      </w:pPr>
    </w:p>
    <w:p w14:paraId="01A76103" w14:textId="30B4351A" w:rsidR="00107864" w:rsidRPr="00E72303" w:rsidRDefault="003450D3" w:rsidP="007B178E">
      <w:pPr>
        <w:pStyle w:val="Heading4"/>
        <w:rPr>
          <w:color w:val="auto"/>
        </w:rPr>
      </w:pPr>
      <w:r w:rsidRPr="00E72303">
        <w:rPr>
          <w:color w:val="auto"/>
        </w:rPr>
        <w:t xml:space="preserve">Household </w:t>
      </w:r>
      <w:r w:rsidR="00107864" w:rsidRPr="00E72303">
        <w:rPr>
          <w:color w:val="auto"/>
        </w:rPr>
        <w:t>Demographic Characteristics</w:t>
      </w:r>
    </w:p>
    <w:p w14:paraId="65C5C48E" w14:textId="49CD2799" w:rsidR="00187B80" w:rsidRPr="00E72303" w:rsidRDefault="00107864" w:rsidP="007B178E">
      <w:pPr>
        <w:pStyle w:val="1stParagraph"/>
      </w:pPr>
      <w:r w:rsidRPr="00E72303">
        <w:t>Only one demographic characteristic</w:t>
      </w:r>
      <w:r w:rsidR="009753E1" w:rsidRPr="00E72303">
        <w:t xml:space="preserve"> – age – </w:t>
      </w:r>
      <w:r w:rsidRPr="00E72303">
        <w:t>w</w:t>
      </w:r>
      <w:r w:rsidR="009753E1" w:rsidRPr="00E72303">
        <w:t>a</w:t>
      </w:r>
      <w:r w:rsidRPr="00E72303">
        <w:t>s present in</w:t>
      </w:r>
      <w:r w:rsidR="009753E1" w:rsidRPr="00E72303">
        <w:t xml:space="preserve"> the </w:t>
      </w:r>
      <w:proofErr w:type="spellStart"/>
      <w:r w:rsidR="009753E1" w:rsidRPr="00E72303">
        <w:t>MaritzCX</w:t>
      </w:r>
      <w:proofErr w:type="spellEnd"/>
      <w:r w:rsidR="009753E1" w:rsidRPr="00E72303">
        <w:t xml:space="preserve"> data, and it has been found to offer significant impact in </w:t>
      </w:r>
      <w:r w:rsidR="00B82FAF" w:rsidRPr="00E72303">
        <w:t xml:space="preserve">the </w:t>
      </w:r>
      <w:r w:rsidR="009753E1" w:rsidRPr="00E72303">
        <w:t xml:space="preserve">vehicle choice model. It is noticeable </w:t>
      </w:r>
      <w:r w:rsidR="00F53B67" w:rsidRPr="00E72303">
        <w:t>that</w:t>
      </w:r>
      <w:r w:rsidR="009753E1" w:rsidRPr="00E72303">
        <w:t xml:space="preserve"> individuals aged more than </w:t>
      </w:r>
      <w:r w:rsidR="003E320F" w:rsidRPr="00E72303">
        <w:t xml:space="preserve">65 years old are more likely to purchase sedans but less likely to buy sport sedans. </w:t>
      </w:r>
    </w:p>
    <w:p w14:paraId="265129AB" w14:textId="77777777" w:rsidR="00DA5FF9" w:rsidRPr="00E72303" w:rsidRDefault="00DA5FF9" w:rsidP="007B178E">
      <w:pPr>
        <w:pStyle w:val="1stParagraph"/>
      </w:pPr>
    </w:p>
    <w:p w14:paraId="6A8A2F89" w14:textId="5C0131C8" w:rsidR="007D1B9D" w:rsidRPr="00E72303" w:rsidRDefault="003D6910" w:rsidP="007B178E">
      <w:pPr>
        <w:pStyle w:val="Heading4"/>
        <w:rPr>
          <w:color w:val="auto"/>
        </w:rPr>
      </w:pPr>
      <w:r w:rsidRPr="00E72303">
        <w:rPr>
          <w:color w:val="auto"/>
        </w:rPr>
        <w:t xml:space="preserve">Spatial </w:t>
      </w:r>
      <w:r w:rsidR="005B283C" w:rsidRPr="00E72303">
        <w:rPr>
          <w:color w:val="auto"/>
        </w:rPr>
        <w:t>Characteristics</w:t>
      </w:r>
      <w:r w:rsidR="00107864" w:rsidRPr="00E72303">
        <w:rPr>
          <w:color w:val="auto"/>
        </w:rPr>
        <w:t xml:space="preserve"> </w:t>
      </w:r>
      <w:r w:rsidR="001413BD" w:rsidRPr="00E72303">
        <w:rPr>
          <w:color w:val="auto"/>
        </w:rPr>
        <w:t xml:space="preserve"> </w:t>
      </w:r>
    </w:p>
    <w:p w14:paraId="2D8C67B4" w14:textId="405C9FBB" w:rsidR="00187B80" w:rsidRPr="00E72303" w:rsidRDefault="003D6910" w:rsidP="007B178E">
      <w:pPr>
        <w:pStyle w:val="1stParagraph"/>
      </w:pPr>
      <w:r w:rsidRPr="00E72303">
        <w:t xml:space="preserve">Several spatial factors were tried in our model, but they were not found to offer any significant </w:t>
      </w:r>
      <w:r w:rsidR="00B82FAF" w:rsidRPr="00E72303">
        <w:t xml:space="preserve">effects </w:t>
      </w:r>
      <w:r w:rsidRPr="00E72303">
        <w:t>on fuel type and vehicle type.</w:t>
      </w:r>
    </w:p>
    <w:p w14:paraId="3A8FA212" w14:textId="77777777" w:rsidR="00DA5FF9" w:rsidRPr="00E72303" w:rsidRDefault="00DA5FF9" w:rsidP="007B178E">
      <w:pPr>
        <w:pStyle w:val="1stParagraph"/>
      </w:pPr>
    </w:p>
    <w:p w14:paraId="25B00AFB" w14:textId="3D798256" w:rsidR="00187B80" w:rsidRPr="00E72303" w:rsidRDefault="00E4178D" w:rsidP="007B178E">
      <w:pPr>
        <w:pStyle w:val="Heading3"/>
        <w:rPr>
          <w:color w:val="auto"/>
        </w:rPr>
      </w:pPr>
      <w:r w:rsidRPr="00E72303">
        <w:rPr>
          <w:color w:val="auto"/>
        </w:rPr>
        <w:t>NHTS Data</w:t>
      </w:r>
      <w:r w:rsidR="005C019C" w:rsidRPr="00E72303">
        <w:rPr>
          <w:color w:val="auto"/>
        </w:rPr>
        <w:t xml:space="preserve">  </w:t>
      </w:r>
      <w:r w:rsidR="00FA5063" w:rsidRPr="00E72303">
        <w:rPr>
          <w:color w:val="auto"/>
        </w:rPr>
        <w:t xml:space="preserve"> </w:t>
      </w:r>
    </w:p>
    <w:p w14:paraId="5BC8B398" w14:textId="77777777" w:rsidR="00DA5FF9" w:rsidRPr="00E72303" w:rsidRDefault="00DA5FF9" w:rsidP="00DA5FF9"/>
    <w:p w14:paraId="224A3763" w14:textId="6B334652" w:rsidR="00D769D4" w:rsidRPr="00E72303" w:rsidRDefault="00786982" w:rsidP="007B178E">
      <w:pPr>
        <w:pStyle w:val="Heading4"/>
        <w:rPr>
          <w:color w:val="auto"/>
        </w:rPr>
      </w:pPr>
      <w:r w:rsidRPr="00E72303">
        <w:rPr>
          <w:color w:val="auto"/>
        </w:rPr>
        <w:t xml:space="preserve">Household </w:t>
      </w:r>
      <w:r w:rsidR="00D769D4" w:rsidRPr="00E72303">
        <w:rPr>
          <w:color w:val="auto"/>
        </w:rPr>
        <w:t>Economic Characteristics</w:t>
      </w:r>
    </w:p>
    <w:p w14:paraId="277DDE1C" w14:textId="16536812" w:rsidR="00187B80" w:rsidRPr="00E72303" w:rsidRDefault="00D769D4" w:rsidP="007B178E">
      <w:pPr>
        <w:pStyle w:val="1stParagraph"/>
      </w:pPr>
      <w:r w:rsidRPr="00E72303">
        <w:t xml:space="preserve">Various </w:t>
      </w:r>
      <w:r w:rsidR="00DA4526" w:rsidRPr="00E72303">
        <w:t>econom</w:t>
      </w:r>
      <w:r w:rsidR="00E8541A" w:rsidRPr="00E72303">
        <w:t>ic</w:t>
      </w:r>
      <w:r w:rsidR="00DA4526" w:rsidRPr="00E72303">
        <w:t xml:space="preserve"> characteristics were </w:t>
      </w:r>
      <w:r w:rsidR="00E8541A" w:rsidRPr="00E72303">
        <w:t>tried</w:t>
      </w:r>
      <w:r w:rsidR="00DA4526" w:rsidRPr="00E72303">
        <w:t xml:space="preserve"> in our model. </w:t>
      </w:r>
      <w:r w:rsidR="00E8541A" w:rsidRPr="00E72303">
        <w:t>However, only household ownership</w:t>
      </w:r>
      <w:r w:rsidR="00AF77B1" w:rsidRPr="00E72303">
        <w:t xml:space="preserve"> is found to </w:t>
      </w:r>
      <w:r w:rsidR="00E8541A" w:rsidRPr="00E72303">
        <w:t>offer significant impact on vehicle type</w:t>
      </w:r>
      <w:r w:rsidR="00B15D01" w:rsidRPr="00E72303">
        <w:t>.</w:t>
      </w:r>
      <w:r w:rsidR="00DA4526" w:rsidRPr="00E72303">
        <w:t xml:space="preserve"> </w:t>
      </w:r>
      <w:r w:rsidR="00E8541A" w:rsidRPr="00E72303">
        <w:t>Households</w:t>
      </w:r>
      <w:r w:rsidR="00F12EAD" w:rsidRPr="00E72303">
        <w:t>, not owning a house, are more likely to buy sport sedans and less likely to buy pickup trucks.</w:t>
      </w:r>
      <w:r w:rsidR="00E8541A" w:rsidRPr="00E72303">
        <w:t xml:space="preserve"> On the other hand, </w:t>
      </w:r>
      <w:r w:rsidR="00E52D56" w:rsidRPr="00E72303">
        <w:t>they</w:t>
      </w:r>
      <w:r w:rsidR="00E8541A" w:rsidRPr="00E72303">
        <w:t xml:space="preserve"> </w:t>
      </w:r>
      <w:r w:rsidR="00B82FAF" w:rsidRPr="00E72303">
        <w:t xml:space="preserve">do not present any differential </w:t>
      </w:r>
      <w:r w:rsidR="00E8541A" w:rsidRPr="00E72303">
        <w:t>impacts across fuel types.</w:t>
      </w:r>
    </w:p>
    <w:p w14:paraId="58AD0B10" w14:textId="77777777" w:rsidR="00DA5FF9" w:rsidRPr="00E72303" w:rsidRDefault="00DA5FF9" w:rsidP="007B178E">
      <w:pPr>
        <w:pStyle w:val="1stParagraph"/>
      </w:pPr>
    </w:p>
    <w:p w14:paraId="6DE99BA7" w14:textId="6A15CF44" w:rsidR="00166D9C" w:rsidRPr="00E72303" w:rsidRDefault="00786982" w:rsidP="007B178E">
      <w:pPr>
        <w:pStyle w:val="Heading4"/>
        <w:rPr>
          <w:color w:val="auto"/>
        </w:rPr>
      </w:pPr>
      <w:r w:rsidRPr="00E72303">
        <w:rPr>
          <w:color w:val="auto"/>
        </w:rPr>
        <w:t xml:space="preserve">Household </w:t>
      </w:r>
      <w:r w:rsidR="00166D9C" w:rsidRPr="00E72303">
        <w:rPr>
          <w:color w:val="auto"/>
        </w:rPr>
        <w:t>Demographic Characteristics</w:t>
      </w:r>
    </w:p>
    <w:p w14:paraId="375EDC1E" w14:textId="38682A65" w:rsidR="00187B80" w:rsidRPr="00E72303" w:rsidRDefault="00E52D56" w:rsidP="007B178E">
      <w:pPr>
        <w:pStyle w:val="1stParagraph"/>
      </w:pPr>
      <w:r w:rsidRPr="00E72303">
        <w:t>Several</w:t>
      </w:r>
      <w:r w:rsidR="00C049F8" w:rsidRPr="00E72303">
        <w:t xml:space="preserve"> demographic attribute</w:t>
      </w:r>
      <w:r w:rsidRPr="00E72303">
        <w:t>s</w:t>
      </w:r>
      <w:r w:rsidR="00C049F8" w:rsidRPr="00E72303">
        <w:t xml:space="preserve"> w</w:t>
      </w:r>
      <w:r w:rsidRPr="00E72303">
        <w:t>ere</w:t>
      </w:r>
      <w:r w:rsidR="00C049F8" w:rsidRPr="00E72303">
        <w:t xml:space="preserve"> found to have significant influence </w:t>
      </w:r>
      <w:r w:rsidRPr="00E72303">
        <w:t>on</w:t>
      </w:r>
      <w:r w:rsidR="00C049F8" w:rsidRPr="00E72303">
        <w:t xml:space="preserve"> our model.</w:t>
      </w:r>
      <w:r w:rsidR="00045CFD" w:rsidRPr="00E72303">
        <w:t xml:space="preserve"> </w:t>
      </w:r>
      <w:r w:rsidR="00786982" w:rsidRPr="00E72303">
        <w:t>The finding</w:t>
      </w:r>
      <w:r w:rsidRPr="00E72303">
        <w:t>s</w:t>
      </w:r>
      <w:r w:rsidR="00786982" w:rsidRPr="00E72303">
        <w:t xml:space="preserve"> indicate that</w:t>
      </w:r>
      <w:r w:rsidR="00045CFD" w:rsidRPr="00E72303">
        <w:t xml:space="preserve"> households in low dense areas are more likely to buy non-gasoline operated vehicles, and less likely to buy sedans.</w:t>
      </w:r>
      <w:r w:rsidRPr="00E72303">
        <w:t xml:space="preserve"> </w:t>
      </w:r>
      <w:r w:rsidR="00786B52" w:rsidRPr="00E72303">
        <w:t xml:space="preserve">This is an interesting finding and could </w:t>
      </w:r>
      <w:proofErr w:type="gramStart"/>
      <w:r w:rsidR="00786B52" w:rsidRPr="00E72303">
        <w:t>be a reflection of</w:t>
      </w:r>
      <w:proofErr w:type="gramEnd"/>
      <w:r w:rsidR="00786B52" w:rsidRPr="00E72303">
        <w:t xml:space="preserve"> </w:t>
      </w:r>
      <w:r w:rsidR="002A1F6B" w:rsidRPr="00E72303">
        <w:t xml:space="preserve">the availability of </w:t>
      </w:r>
      <w:r w:rsidR="005145F2" w:rsidRPr="00E72303">
        <w:t xml:space="preserve">space for installing solar panels or other renewable energy sources </w:t>
      </w:r>
      <w:r w:rsidR="003032D9" w:rsidRPr="00E72303">
        <w:t>fuel</w:t>
      </w:r>
      <w:r w:rsidR="001B7D97" w:rsidRPr="00E72303">
        <w:t>ing</w:t>
      </w:r>
      <w:r w:rsidR="003032D9" w:rsidRPr="00E72303">
        <w:t xml:space="preserve"> their </w:t>
      </w:r>
      <w:r w:rsidR="001B7D97" w:rsidRPr="00E72303">
        <w:t>non-gasoline fuel operated vehicles</w:t>
      </w:r>
      <w:r w:rsidR="00477002" w:rsidRPr="00E72303">
        <w:t xml:space="preserve"> (</w:t>
      </w:r>
      <w:r w:rsidR="001B7D97" w:rsidRPr="00E72303">
        <w:t>such as b</w:t>
      </w:r>
      <w:r w:rsidR="00477002" w:rsidRPr="00E72303">
        <w:t>attery EV, plug-in EV, and plug-in-hybrid EV).</w:t>
      </w:r>
      <w:r w:rsidR="00213221" w:rsidRPr="00E72303">
        <w:t xml:space="preserve"> Further, from our two-dimensional modeling framework, the combined impact of low dense areas on non-gasoline sedans can be computed as sum of the impact of non-gasoline fuel type and sedan vehicle type as (0.41-0.30). Finally</w:t>
      </w:r>
      <w:r w:rsidRPr="00E72303">
        <w:t>, households with higher proportion of male</w:t>
      </w:r>
      <w:r w:rsidR="00B82FAF" w:rsidRPr="00E72303">
        <w:t>s</w:t>
      </w:r>
      <w:r w:rsidRPr="00E72303">
        <w:t xml:space="preserve"> are less likely to buy sport sedan and sedan</w:t>
      </w:r>
      <w:r w:rsidR="001B5119" w:rsidRPr="00E72303">
        <w:t xml:space="preserve"> vehicle types</w:t>
      </w:r>
      <w:r w:rsidRPr="00E72303">
        <w:t>, and more likely to buy pickup trucks.</w:t>
      </w:r>
      <w:r w:rsidR="00705FF6" w:rsidRPr="00E72303">
        <w:t xml:space="preserve"> However, the</w:t>
      </w:r>
      <w:r w:rsidR="00FB6B29" w:rsidRPr="00E72303">
        <w:t>y</w:t>
      </w:r>
      <w:r w:rsidR="00705FF6" w:rsidRPr="00E72303">
        <w:t xml:space="preserve"> </w:t>
      </w:r>
      <w:r w:rsidR="005072DB" w:rsidRPr="00E72303">
        <w:t>do</w:t>
      </w:r>
      <w:r w:rsidR="001B7D97" w:rsidRPr="00E72303">
        <w:t xml:space="preserve"> not</w:t>
      </w:r>
      <w:r w:rsidR="005072DB" w:rsidRPr="00E72303">
        <w:t xml:space="preserve"> show any differential</w:t>
      </w:r>
      <w:r w:rsidR="00705FF6" w:rsidRPr="00E72303">
        <w:t xml:space="preserve"> impact</w:t>
      </w:r>
      <w:r w:rsidR="003050DB" w:rsidRPr="00E72303">
        <w:t>s</w:t>
      </w:r>
      <w:r w:rsidR="00705FF6" w:rsidRPr="00E72303">
        <w:t xml:space="preserve"> across fuel types.</w:t>
      </w:r>
      <w:r w:rsidRPr="00E72303">
        <w:t xml:space="preserve"> </w:t>
      </w:r>
    </w:p>
    <w:p w14:paraId="3163270D" w14:textId="77777777" w:rsidR="00DA5FF9" w:rsidRPr="00E72303" w:rsidRDefault="00DA5FF9" w:rsidP="007B178E">
      <w:pPr>
        <w:pStyle w:val="1stParagraph"/>
      </w:pPr>
    </w:p>
    <w:p w14:paraId="78EBD31E" w14:textId="68B37D84" w:rsidR="00761A60" w:rsidRPr="00E72303" w:rsidRDefault="00761A60" w:rsidP="007B178E">
      <w:pPr>
        <w:pStyle w:val="Heading4"/>
        <w:rPr>
          <w:color w:val="auto"/>
        </w:rPr>
      </w:pPr>
      <w:r w:rsidRPr="00E72303">
        <w:rPr>
          <w:color w:val="auto"/>
        </w:rPr>
        <w:t xml:space="preserve">Spatial </w:t>
      </w:r>
      <w:r w:rsidR="005B283C" w:rsidRPr="00E72303">
        <w:rPr>
          <w:color w:val="auto"/>
        </w:rPr>
        <w:t>Characteristics</w:t>
      </w:r>
    </w:p>
    <w:p w14:paraId="135AD254" w14:textId="0DBDB85B" w:rsidR="00187B80" w:rsidRPr="00E72303" w:rsidRDefault="00761A60" w:rsidP="007B178E">
      <w:pPr>
        <w:pStyle w:val="1stParagraph"/>
      </w:pPr>
      <w:r w:rsidRPr="00E72303">
        <w:t xml:space="preserve">As discussed earlier, NHTS data was fused </w:t>
      </w:r>
      <w:r w:rsidR="00786982" w:rsidRPr="00E72303">
        <w:t xml:space="preserve">with </w:t>
      </w:r>
      <w:proofErr w:type="spellStart"/>
      <w:r w:rsidRPr="00E72303">
        <w:t>MaritzCX</w:t>
      </w:r>
      <w:proofErr w:type="spellEnd"/>
      <w:r w:rsidRPr="00E72303">
        <w:t xml:space="preserve"> data for enhancing the estimation of vehicle choice. </w:t>
      </w:r>
      <w:r w:rsidR="00D34B34" w:rsidRPr="00E72303">
        <w:t>In this context</w:t>
      </w:r>
      <w:r w:rsidR="00F871CC" w:rsidRPr="00E72303">
        <w:t>, for any common variable(s)</w:t>
      </w:r>
      <w:r w:rsidR="00D34B34" w:rsidRPr="00E72303">
        <w:t xml:space="preserve"> across both datasets,</w:t>
      </w:r>
      <w:r w:rsidR="00F871CC" w:rsidRPr="00E72303">
        <w:t xml:space="preserve"> </w:t>
      </w:r>
      <w:proofErr w:type="spellStart"/>
      <w:r w:rsidR="00F871CC" w:rsidRPr="00E72303">
        <w:t>MaritzCX</w:t>
      </w:r>
      <w:proofErr w:type="spellEnd"/>
      <w:r w:rsidR="00F871CC" w:rsidRPr="00E72303">
        <w:t xml:space="preserve"> data</w:t>
      </w:r>
      <w:r w:rsidR="00F11775" w:rsidRPr="00E72303">
        <w:t>, being the host data,</w:t>
      </w:r>
      <w:r w:rsidR="00F871CC" w:rsidRPr="00E72303">
        <w:t xml:space="preserve"> will be </w:t>
      </w:r>
      <w:r w:rsidR="00786982" w:rsidRPr="00E72303">
        <w:t xml:space="preserve">preferred </w:t>
      </w:r>
      <w:r w:rsidR="00F871CC" w:rsidRPr="00E72303">
        <w:t xml:space="preserve">for </w:t>
      </w:r>
      <w:r w:rsidR="00D34B34" w:rsidRPr="00E72303">
        <w:t xml:space="preserve">model </w:t>
      </w:r>
      <w:r w:rsidR="00F871CC" w:rsidRPr="00E72303">
        <w:t xml:space="preserve">estimation. </w:t>
      </w:r>
      <w:r w:rsidR="00786982" w:rsidRPr="00E72303">
        <w:t xml:space="preserve">Hence, these variables from NHTS were not considered </w:t>
      </w:r>
      <w:r w:rsidR="008D1F6F" w:rsidRPr="00E72303">
        <w:t xml:space="preserve">in the </w:t>
      </w:r>
      <w:r w:rsidR="00D34B34" w:rsidRPr="00E72303">
        <w:t xml:space="preserve">multinomial logit </w:t>
      </w:r>
      <w:r w:rsidR="008D1F6F" w:rsidRPr="00E72303">
        <w:t>model.</w:t>
      </w:r>
      <w:r w:rsidR="00F871CC" w:rsidRPr="00E72303">
        <w:t xml:space="preserve"> </w:t>
      </w:r>
    </w:p>
    <w:p w14:paraId="5D2CFB7D" w14:textId="77777777" w:rsidR="00DA5FF9" w:rsidRPr="00E72303" w:rsidRDefault="00DA5FF9" w:rsidP="007B178E">
      <w:pPr>
        <w:pStyle w:val="1stParagraph"/>
      </w:pPr>
    </w:p>
    <w:p w14:paraId="09ADD7F1" w14:textId="36896A31" w:rsidR="00C049F8" w:rsidRPr="00E72303" w:rsidRDefault="005B2CCE" w:rsidP="007B178E">
      <w:pPr>
        <w:pStyle w:val="Heading3"/>
        <w:rPr>
          <w:color w:val="auto"/>
        </w:rPr>
      </w:pPr>
      <w:r w:rsidRPr="00E72303">
        <w:rPr>
          <w:color w:val="auto"/>
        </w:rPr>
        <w:t>Weight Variable</w:t>
      </w:r>
    </w:p>
    <w:p w14:paraId="2CA59A1F" w14:textId="46AFA5A7" w:rsidR="00D00C82" w:rsidRPr="00E72303" w:rsidRDefault="00786982" w:rsidP="007B178E">
      <w:pPr>
        <w:pStyle w:val="1stParagraph"/>
      </w:pPr>
      <w:r w:rsidRPr="00E72303">
        <w:t xml:space="preserve">There were 4 common variables in </w:t>
      </w:r>
      <w:proofErr w:type="spellStart"/>
      <w:r w:rsidRPr="00E72303">
        <w:t>MartizCX</w:t>
      </w:r>
      <w:proofErr w:type="spellEnd"/>
      <w:r w:rsidRPr="00E72303">
        <w:t xml:space="preserve"> and NHTS data. Of these 4 variables, the fusion employed a </w:t>
      </w:r>
      <w:r w:rsidR="000B7B68" w:rsidRPr="00E72303">
        <w:t>2</w:t>
      </w:r>
      <w:r w:rsidR="00205D8A" w:rsidRPr="00E72303">
        <w:t>-variable</w:t>
      </w:r>
      <w:r w:rsidRPr="00E72303">
        <w:t xml:space="preserve"> </w:t>
      </w:r>
      <w:r w:rsidR="008C3E49" w:rsidRPr="00E72303">
        <w:t>combination (income, and location)</w:t>
      </w:r>
      <w:r w:rsidRPr="00E72303">
        <w:t xml:space="preserve">. </w:t>
      </w:r>
      <w:r w:rsidR="00205D8A" w:rsidRPr="00E72303">
        <w:t xml:space="preserve">Hence, </w:t>
      </w:r>
      <w:r w:rsidR="000B7B68" w:rsidRPr="00E72303">
        <w:t>two</w:t>
      </w:r>
      <w:r w:rsidRPr="00E72303">
        <w:t xml:space="preserve"> common variable</w:t>
      </w:r>
      <w:r w:rsidR="000B7B68" w:rsidRPr="00E72303">
        <w:t xml:space="preserve">s (state, </w:t>
      </w:r>
      <w:r w:rsidR="000B7B68" w:rsidRPr="00E72303">
        <w:lastRenderedPageBreak/>
        <w:t>and age)</w:t>
      </w:r>
      <w:r w:rsidRPr="00E72303">
        <w:t xml:space="preserve"> existed in the fused data to parameterize the weight. So, </w:t>
      </w:r>
      <w:r w:rsidR="000B7B68" w:rsidRPr="00E72303">
        <w:t>two</w:t>
      </w:r>
      <w:r w:rsidR="00A31B0B" w:rsidRPr="00E72303">
        <w:t xml:space="preserve"> indicator variable</w:t>
      </w:r>
      <w:r w:rsidR="000B7B68" w:rsidRPr="00E72303">
        <w:t>s</w:t>
      </w:r>
      <w:r w:rsidR="00A31B0B" w:rsidRPr="00E72303">
        <w:t xml:space="preserve"> </w:t>
      </w:r>
      <w:r w:rsidR="000B7B68" w:rsidRPr="00E72303">
        <w:t>were</w:t>
      </w:r>
      <w:r w:rsidR="00A31B0B" w:rsidRPr="00E72303">
        <w:t xml:space="preserve"> created as </w:t>
      </w:r>
      <w:r w:rsidR="000B7B68" w:rsidRPr="00E72303">
        <w:t xml:space="preserve">one </w:t>
      </w:r>
      <w:r w:rsidR="00A31B0B" w:rsidRPr="00E72303">
        <w:t>if the state</w:t>
      </w:r>
      <w:r w:rsidR="000B7B68" w:rsidRPr="00E72303">
        <w:t xml:space="preserve"> (age)</w:t>
      </w:r>
      <w:r w:rsidR="00A31B0B" w:rsidRPr="00E72303">
        <w:t xml:space="preserve"> variable matches in both datasets </w:t>
      </w:r>
      <w:r w:rsidR="00A17117" w:rsidRPr="00E72303">
        <w:t xml:space="preserve">and zero </w:t>
      </w:r>
      <w:r w:rsidR="00205D8A" w:rsidRPr="00E72303">
        <w:t>otherwise.</w:t>
      </w:r>
      <w:r w:rsidR="008C3E49" w:rsidRPr="00E72303">
        <w:t xml:space="preserve"> </w:t>
      </w:r>
      <w:r w:rsidR="000B7B68" w:rsidRPr="00E72303">
        <w:t xml:space="preserve"> Between these two variables age is found to offer significant impact on our model as a weight variable. </w:t>
      </w:r>
      <w:r w:rsidR="008C3E49" w:rsidRPr="00E72303">
        <w:t>The positive</w:t>
      </w:r>
      <w:r w:rsidR="000A0561" w:rsidRPr="00E72303">
        <w:t xml:space="preserve"> and</w:t>
      </w:r>
      <w:r w:rsidR="008C3E49" w:rsidRPr="00E72303">
        <w:t xml:space="preserve"> significant coefficient of the weight variable </w:t>
      </w:r>
      <w:r w:rsidR="005B2CCE" w:rsidRPr="00E72303">
        <w:t xml:space="preserve">implies </w:t>
      </w:r>
      <w:r w:rsidR="000B7B68" w:rsidRPr="00E72303">
        <w:t>that</w:t>
      </w:r>
      <w:r w:rsidR="005B2CCE" w:rsidRPr="00E72303">
        <w:t xml:space="preserve"> the contribution of records </w:t>
      </w:r>
      <w:r w:rsidR="004B29AB" w:rsidRPr="00E72303">
        <w:t>is</w:t>
      </w:r>
      <w:r w:rsidR="005B2CCE" w:rsidRPr="00E72303">
        <w:t xml:space="preserve"> significantly higher when the </w:t>
      </w:r>
      <w:r w:rsidR="000B7B68" w:rsidRPr="00E72303">
        <w:t>age</w:t>
      </w:r>
      <w:r w:rsidR="005B2CCE" w:rsidRPr="00E72303">
        <w:t xml:space="preserve"> of </w:t>
      </w:r>
      <w:proofErr w:type="spellStart"/>
      <w:r w:rsidR="005B2CCE" w:rsidRPr="00E72303">
        <w:t>MaritzCX</w:t>
      </w:r>
      <w:proofErr w:type="spellEnd"/>
      <w:r w:rsidR="005B2CCE" w:rsidRPr="00E72303">
        <w:t xml:space="preserve"> data matches with the </w:t>
      </w:r>
      <w:r w:rsidR="000B7B68" w:rsidRPr="00E72303">
        <w:t>age</w:t>
      </w:r>
      <w:r w:rsidR="005B2CCE" w:rsidRPr="00E72303">
        <w:t xml:space="preserve"> of NHTS data. </w:t>
      </w:r>
      <w:r w:rsidR="008C3E49" w:rsidRPr="00E72303">
        <w:t xml:space="preserve"> </w:t>
      </w:r>
      <w:r w:rsidR="00A17117" w:rsidRPr="00E72303">
        <w:t xml:space="preserve">Thus, we </w:t>
      </w:r>
      <w:proofErr w:type="gramStart"/>
      <w:r w:rsidR="00A17117" w:rsidRPr="00E72303">
        <w:t>are able to</w:t>
      </w:r>
      <w:proofErr w:type="gramEnd"/>
      <w:r w:rsidR="00A17117" w:rsidRPr="00E72303">
        <w:t xml:space="preserve"> differentiate between contribution of same </w:t>
      </w:r>
      <w:r w:rsidR="000B7B68" w:rsidRPr="00E72303">
        <w:t>age</w:t>
      </w:r>
      <w:r w:rsidR="00A17117" w:rsidRPr="00E72303">
        <w:t xml:space="preserve"> records to the overall model fit.</w:t>
      </w:r>
    </w:p>
    <w:p w14:paraId="29B39DF8" w14:textId="77777777" w:rsidR="00DA5FF9" w:rsidRPr="00E72303" w:rsidRDefault="00DA5FF9" w:rsidP="007B178E">
      <w:pPr>
        <w:pStyle w:val="1stParagraph"/>
      </w:pPr>
    </w:p>
    <w:p w14:paraId="450FBE0C" w14:textId="029691F7" w:rsidR="00112D28" w:rsidRPr="00E72303" w:rsidRDefault="00E67BE5" w:rsidP="007B178E">
      <w:pPr>
        <w:pStyle w:val="TableCaption"/>
      </w:pPr>
      <w:r w:rsidRPr="00E72303">
        <w:t>Table</w:t>
      </w:r>
      <w:r w:rsidR="00B7161F" w:rsidRPr="00E72303">
        <w:t xml:space="preserve"> </w:t>
      </w:r>
      <w:r w:rsidR="005F0791" w:rsidRPr="00E72303">
        <w:t>4</w:t>
      </w:r>
      <w:r w:rsidRPr="00E72303">
        <w:t>:</w:t>
      </w:r>
      <w:r w:rsidR="00251F1E" w:rsidRPr="00E72303">
        <w:t xml:space="preserve"> Estimation Result of Multinomial Logit </w:t>
      </w:r>
      <w:r w:rsidR="00755881" w:rsidRPr="00E72303">
        <w:t>Model</w:t>
      </w:r>
    </w:p>
    <w:tbl>
      <w:tblPr>
        <w:tblStyle w:val="TableGrid"/>
        <w:tblW w:w="0" w:type="auto"/>
        <w:tblLook w:val="04A0" w:firstRow="1" w:lastRow="0" w:firstColumn="1" w:lastColumn="0" w:noHBand="0" w:noVBand="1"/>
      </w:tblPr>
      <w:tblGrid>
        <w:gridCol w:w="3145"/>
        <w:gridCol w:w="1530"/>
        <w:gridCol w:w="1530"/>
        <w:gridCol w:w="1620"/>
        <w:gridCol w:w="1525"/>
      </w:tblGrid>
      <w:tr w:rsidR="00E72303" w:rsidRPr="00E72303" w14:paraId="60D8E261" w14:textId="77777777" w:rsidTr="0003194E">
        <w:trPr>
          <w:trHeight w:val="20"/>
        </w:trPr>
        <w:tc>
          <w:tcPr>
            <w:tcW w:w="3145" w:type="dxa"/>
            <w:vMerge w:val="restart"/>
            <w:noWrap/>
            <w:vAlign w:val="center"/>
            <w:hideMark/>
          </w:tcPr>
          <w:p w14:paraId="34B97EBA" w14:textId="77777777" w:rsidR="00D002CE" w:rsidRPr="00E72303" w:rsidRDefault="00D002CE" w:rsidP="007B178E">
            <w:pPr>
              <w:pStyle w:val="1stParagraph"/>
              <w:jc w:val="center"/>
              <w:rPr>
                <w:b/>
                <w:bCs/>
                <w:sz w:val="22"/>
              </w:rPr>
            </w:pPr>
            <w:r w:rsidRPr="00E72303">
              <w:rPr>
                <w:b/>
                <w:bCs/>
                <w:sz w:val="22"/>
              </w:rPr>
              <w:t>Parameters</w:t>
            </w:r>
          </w:p>
        </w:tc>
        <w:tc>
          <w:tcPr>
            <w:tcW w:w="1530" w:type="dxa"/>
            <w:noWrap/>
            <w:vAlign w:val="center"/>
          </w:tcPr>
          <w:p w14:paraId="4B3F6602" w14:textId="77777777" w:rsidR="00D002CE" w:rsidRPr="00E72303" w:rsidRDefault="00D002CE" w:rsidP="007B178E">
            <w:pPr>
              <w:pStyle w:val="1stParagraph"/>
              <w:jc w:val="center"/>
              <w:rPr>
                <w:b/>
                <w:bCs/>
                <w:sz w:val="22"/>
              </w:rPr>
            </w:pPr>
            <w:r w:rsidRPr="00E72303">
              <w:rPr>
                <w:b/>
                <w:bCs/>
                <w:sz w:val="22"/>
              </w:rPr>
              <w:t>Base: Gasoline</w:t>
            </w:r>
          </w:p>
        </w:tc>
        <w:tc>
          <w:tcPr>
            <w:tcW w:w="4675" w:type="dxa"/>
            <w:gridSpan w:val="3"/>
            <w:noWrap/>
            <w:vAlign w:val="center"/>
          </w:tcPr>
          <w:p w14:paraId="5A393CA8" w14:textId="77777777" w:rsidR="00D002CE" w:rsidRPr="00E72303" w:rsidRDefault="00D002CE" w:rsidP="007B178E">
            <w:pPr>
              <w:pStyle w:val="1stParagraph"/>
              <w:jc w:val="center"/>
              <w:rPr>
                <w:b/>
                <w:bCs/>
                <w:sz w:val="22"/>
              </w:rPr>
            </w:pPr>
            <w:r w:rsidRPr="00E72303">
              <w:rPr>
                <w:b/>
                <w:bCs/>
                <w:sz w:val="22"/>
              </w:rPr>
              <w:t>Base: Utility vehicles</w:t>
            </w:r>
          </w:p>
        </w:tc>
      </w:tr>
      <w:tr w:rsidR="00E72303" w:rsidRPr="00E72303" w14:paraId="13F73013" w14:textId="77777777" w:rsidTr="0003194E">
        <w:trPr>
          <w:trHeight w:val="20"/>
        </w:trPr>
        <w:tc>
          <w:tcPr>
            <w:tcW w:w="3145" w:type="dxa"/>
            <w:vMerge/>
            <w:noWrap/>
            <w:vAlign w:val="center"/>
          </w:tcPr>
          <w:p w14:paraId="7B718BE9" w14:textId="77777777" w:rsidR="00D002CE" w:rsidRPr="00E72303" w:rsidRDefault="00D002CE" w:rsidP="007B178E">
            <w:pPr>
              <w:pStyle w:val="1stParagraph"/>
              <w:jc w:val="center"/>
              <w:rPr>
                <w:b/>
                <w:bCs/>
                <w:sz w:val="22"/>
              </w:rPr>
            </w:pPr>
          </w:p>
        </w:tc>
        <w:tc>
          <w:tcPr>
            <w:tcW w:w="1530" w:type="dxa"/>
            <w:noWrap/>
            <w:vAlign w:val="center"/>
          </w:tcPr>
          <w:p w14:paraId="4E116055" w14:textId="77777777" w:rsidR="00D002CE" w:rsidRPr="00E72303" w:rsidRDefault="00D002CE" w:rsidP="007B178E">
            <w:pPr>
              <w:pStyle w:val="1stParagraph"/>
              <w:jc w:val="center"/>
              <w:rPr>
                <w:b/>
                <w:bCs/>
                <w:sz w:val="22"/>
              </w:rPr>
            </w:pPr>
            <w:r w:rsidRPr="00E72303">
              <w:rPr>
                <w:b/>
                <w:bCs/>
                <w:sz w:val="22"/>
              </w:rPr>
              <w:t>Non-gasoline</w:t>
            </w:r>
          </w:p>
        </w:tc>
        <w:tc>
          <w:tcPr>
            <w:tcW w:w="1530" w:type="dxa"/>
            <w:noWrap/>
            <w:vAlign w:val="center"/>
          </w:tcPr>
          <w:p w14:paraId="0BA96BEF" w14:textId="77777777" w:rsidR="00D002CE" w:rsidRPr="00E72303" w:rsidRDefault="00D002CE" w:rsidP="007B178E">
            <w:pPr>
              <w:pStyle w:val="1stParagraph"/>
              <w:jc w:val="center"/>
              <w:rPr>
                <w:b/>
                <w:bCs/>
                <w:sz w:val="22"/>
              </w:rPr>
            </w:pPr>
            <w:r w:rsidRPr="00E72303">
              <w:rPr>
                <w:b/>
                <w:bCs/>
                <w:sz w:val="22"/>
              </w:rPr>
              <w:t>Sport sedans</w:t>
            </w:r>
          </w:p>
        </w:tc>
        <w:tc>
          <w:tcPr>
            <w:tcW w:w="1620" w:type="dxa"/>
            <w:noWrap/>
            <w:vAlign w:val="center"/>
          </w:tcPr>
          <w:p w14:paraId="7D9E5523" w14:textId="77777777" w:rsidR="00D002CE" w:rsidRPr="00E72303" w:rsidRDefault="00D002CE" w:rsidP="007B178E">
            <w:pPr>
              <w:pStyle w:val="1stParagraph"/>
              <w:jc w:val="center"/>
              <w:rPr>
                <w:b/>
                <w:bCs/>
                <w:sz w:val="22"/>
              </w:rPr>
            </w:pPr>
            <w:r w:rsidRPr="00E72303">
              <w:rPr>
                <w:b/>
                <w:bCs/>
                <w:sz w:val="22"/>
              </w:rPr>
              <w:t>Sedans</w:t>
            </w:r>
          </w:p>
        </w:tc>
        <w:tc>
          <w:tcPr>
            <w:tcW w:w="1525" w:type="dxa"/>
            <w:noWrap/>
            <w:vAlign w:val="center"/>
          </w:tcPr>
          <w:p w14:paraId="3E350B16" w14:textId="77777777" w:rsidR="00D002CE" w:rsidRPr="00E72303" w:rsidRDefault="00D002CE" w:rsidP="007B178E">
            <w:pPr>
              <w:pStyle w:val="1stParagraph"/>
              <w:jc w:val="center"/>
              <w:rPr>
                <w:b/>
                <w:bCs/>
                <w:sz w:val="22"/>
              </w:rPr>
            </w:pPr>
            <w:r w:rsidRPr="00E72303">
              <w:rPr>
                <w:b/>
                <w:bCs/>
                <w:sz w:val="22"/>
              </w:rPr>
              <w:t>Pickup trucks</w:t>
            </w:r>
          </w:p>
        </w:tc>
      </w:tr>
      <w:tr w:rsidR="00E72303" w:rsidRPr="00E72303" w14:paraId="3E85BC1F" w14:textId="77777777" w:rsidTr="0003194E">
        <w:trPr>
          <w:trHeight w:val="20"/>
        </w:trPr>
        <w:tc>
          <w:tcPr>
            <w:tcW w:w="3145" w:type="dxa"/>
            <w:vMerge/>
            <w:noWrap/>
            <w:vAlign w:val="center"/>
          </w:tcPr>
          <w:p w14:paraId="0CFBFDA8" w14:textId="77777777" w:rsidR="00D002CE" w:rsidRPr="00E72303" w:rsidRDefault="00D002CE" w:rsidP="007B178E">
            <w:pPr>
              <w:pStyle w:val="1stParagraph"/>
              <w:jc w:val="center"/>
              <w:rPr>
                <w:b/>
                <w:bCs/>
                <w:sz w:val="22"/>
              </w:rPr>
            </w:pPr>
          </w:p>
        </w:tc>
        <w:tc>
          <w:tcPr>
            <w:tcW w:w="1530" w:type="dxa"/>
            <w:noWrap/>
            <w:vAlign w:val="center"/>
          </w:tcPr>
          <w:p w14:paraId="4166052D" w14:textId="77777777" w:rsidR="00D002CE" w:rsidRPr="00E72303" w:rsidRDefault="00D002CE" w:rsidP="007B178E">
            <w:pPr>
              <w:pStyle w:val="1stParagraph"/>
              <w:jc w:val="center"/>
              <w:rPr>
                <w:b/>
                <w:bCs/>
                <w:sz w:val="22"/>
              </w:rPr>
            </w:pPr>
            <w:r w:rsidRPr="00E72303">
              <w:rPr>
                <w:b/>
                <w:bCs/>
                <w:sz w:val="22"/>
              </w:rPr>
              <w:t>Coefficient</w:t>
            </w:r>
          </w:p>
          <w:p w14:paraId="150D5A2E" w14:textId="305758CC" w:rsidR="00D002CE" w:rsidRPr="00E72303" w:rsidRDefault="00894D80" w:rsidP="007B178E">
            <w:pPr>
              <w:pStyle w:val="1stParagraph"/>
              <w:jc w:val="center"/>
              <w:rPr>
                <w:b/>
                <w:bCs/>
                <w:sz w:val="22"/>
              </w:rPr>
            </w:pPr>
            <w:r w:rsidRPr="00E72303">
              <w:rPr>
                <w:b/>
                <w:bCs/>
                <w:sz w:val="22"/>
              </w:rPr>
              <w:t>(</w:t>
            </w:r>
            <w:r w:rsidR="00D002CE" w:rsidRPr="00E72303">
              <w:rPr>
                <w:b/>
                <w:bCs/>
                <w:sz w:val="22"/>
              </w:rPr>
              <w:t>T-value</w:t>
            </w:r>
            <w:r w:rsidRPr="00E72303">
              <w:rPr>
                <w:b/>
                <w:bCs/>
                <w:sz w:val="22"/>
              </w:rPr>
              <w:t>)</w:t>
            </w:r>
          </w:p>
        </w:tc>
        <w:tc>
          <w:tcPr>
            <w:tcW w:w="1530" w:type="dxa"/>
            <w:noWrap/>
            <w:vAlign w:val="center"/>
          </w:tcPr>
          <w:p w14:paraId="128487DC" w14:textId="77777777" w:rsidR="00D002CE" w:rsidRPr="00E72303" w:rsidRDefault="00D002CE" w:rsidP="007B178E">
            <w:pPr>
              <w:pStyle w:val="1stParagraph"/>
              <w:jc w:val="center"/>
              <w:rPr>
                <w:b/>
                <w:bCs/>
                <w:sz w:val="22"/>
              </w:rPr>
            </w:pPr>
            <w:r w:rsidRPr="00E72303">
              <w:rPr>
                <w:b/>
                <w:bCs/>
                <w:sz w:val="22"/>
              </w:rPr>
              <w:t>Coefficient</w:t>
            </w:r>
          </w:p>
          <w:p w14:paraId="61E6AE29" w14:textId="21F64C6C" w:rsidR="00D002CE" w:rsidRPr="00E72303" w:rsidRDefault="00894D80" w:rsidP="007B178E">
            <w:pPr>
              <w:pStyle w:val="1stParagraph"/>
              <w:jc w:val="center"/>
              <w:rPr>
                <w:b/>
                <w:bCs/>
                <w:sz w:val="22"/>
              </w:rPr>
            </w:pPr>
            <w:r w:rsidRPr="00E72303">
              <w:rPr>
                <w:b/>
                <w:bCs/>
                <w:sz w:val="22"/>
              </w:rPr>
              <w:t>(</w:t>
            </w:r>
            <w:r w:rsidR="00D002CE" w:rsidRPr="00E72303">
              <w:rPr>
                <w:b/>
                <w:bCs/>
                <w:sz w:val="22"/>
              </w:rPr>
              <w:t>T-value</w:t>
            </w:r>
            <w:r w:rsidRPr="00E72303">
              <w:rPr>
                <w:b/>
                <w:bCs/>
                <w:sz w:val="22"/>
              </w:rPr>
              <w:t>)</w:t>
            </w:r>
          </w:p>
        </w:tc>
        <w:tc>
          <w:tcPr>
            <w:tcW w:w="1620" w:type="dxa"/>
            <w:noWrap/>
            <w:vAlign w:val="center"/>
          </w:tcPr>
          <w:p w14:paraId="49B43E95" w14:textId="77777777" w:rsidR="00D002CE" w:rsidRPr="00E72303" w:rsidRDefault="00D002CE" w:rsidP="007B178E">
            <w:pPr>
              <w:pStyle w:val="1stParagraph"/>
              <w:jc w:val="center"/>
              <w:rPr>
                <w:b/>
                <w:bCs/>
                <w:sz w:val="22"/>
              </w:rPr>
            </w:pPr>
            <w:r w:rsidRPr="00E72303">
              <w:rPr>
                <w:b/>
                <w:bCs/>
                <w:sz w:val="22"/>
              </w:rPr>
              <w:t>Coefficient</w:t>
            </w:r>
          </w:p>
          <w:p w14:paraId="44434058" w14:textId="00DE9B90" w:rsidR="00D002CE" w:rsidRPr="00E72303" w:rsidRDefault="00894D80" w:rsidP="007B178E">
            <w:pPr>
              <w:pStyle w:val="1stParagraph"/>
              <w:jc w:val="center"/>
              <w:rPr>
                <w:b/>
                <w:bCs/>
                <w:sz w:val="22"/>
              </w:rPr>
            </w:pPr>
            <w:r w:rsidRPr="00E72303">
              <w:rPr>
                <w:b/>
                <w:bCs/>
                <w:sz w:val="22"/>
              </w:rPr>
              <w:t>(</w:t>
            </w:r>
            <w:r w:rsidR="00D002CE" w:rsidRPr="00E72303">
              <w:rPr>
                <w:b/>
                <w:bCs/>
                <w:sz w:val="22"/>
              </w:rPr>
              <w:t>T-value</w:t>
            </w:r>
            <w:r w:rsidRPr="00E72303">
              <w:rPr>
                <w:b/>
                <w:bCs/>
                <w:sz w:val="22"/>
              </w:rPr>
              <w:t>)</w:t>
            </w:r>
          </w:p>
        </w:tc>
        <w:tc>
          <w:tcPr>
            <w:tcW w:w="1525" w:type="dxa"/>
            <w:noWrap/>
            <w:vAlign w:val="center"/>
          </w:tcPr>
          <w:p w14:paraId="7DAE6EE9" w14:textId="77777777" w:rsidR="00D002CE" w:rsidRPr="00E72303" w:rsidRDefault="00D002CE" w:rsidP="007B178E">
            <w:pPr>
              <w:pStyle w:val="1stParagraph"/>
              <w:jc w:val="center"/>
              <w:rPr>
                <w:b/>
                <w:bCs/>
                <w:sz w:val="22"/>
              </w:rPr>
            </w:pPr>
            <w:r w:rsidRPr="00E72303">
              <w:rPr>
                <w:b/>
                <w:bCs/>
                <w:sz w:val="22"/>
              </w:rPr>
              <w:t>Coefficient</w:t>
            </w:r>
          </w:p>
          <w:p w14:paraId="505A97FE" w14:textId="1FE877D9" w:rsidR="00D002CE" w:rsidRPr="00E72303" w:rsidRDefault="00D002CE" w:rsidP="007B178E">
            <w:pPr>
              <w:pStyle w:val="1stParagraph"/>
              <w:jc w:val="center"/>
              <w:rPr>
                <w:b/>
                <w:bCs/>
                <w:sz w:val="22"/>
              </w:rPr>
            </w:pPr>
            <w:r w:rsidRPr="00E72303">
              <w:rPr>
                <w:b/>
                <w:bCs/>
                <w:sz w:val="22"/>
              </w:rPr>
              <w:t>(T-value)</w:t>
            </w:r>
          </w:p>
        </w:tc>
      </w:tr>
      <w:tr w:rsidR="00E72303" w:rsidRPr="00E72303" w14:paraId="5BDC437E" w14:textId="77777777" w:rsidTr="0003194E">
        <w:trPr>
          <w:trHeight w:val="20"/>
        </w:trPr>
        <w:tc>
          <w:tcPr>
            <w:tcW w:w="3145" w:type="dxa"/>
            <w:noWrap/>
            <w:vAlign w:val="center"/>
          </w:tcPr>
          <w:p w14:paraId="52A1C618" w14:textId="34E87446" w:rsidR="009C5B73" w:rsidRPr="00E72303" w:rsidRDefault="009C5B73" w:rsidP="007B178E">
            <w:pPr>
              <w:pStyle w:val="1stParagraph"/>
              <w:jc w:val="left"/>
              <w:rPr>
                <w:sz w:val="22"/>
              </w:rPr>
            </w:pPr>
            <w:r w:rsidRPr="00E72303">
              <w:rPr>
                <w:sz w:val="22"/>
              </w:rPr>
              <w:t>Intercept</w:t>
            </w:r>
          </w:p>
        </w:tc>
        <w:tc>
          <w:tcPr>
            <w:tcW w:w="1530" w:type="dxa"/>
            <w:noWrap/>
            <w:vAlign w:val="center"/>
          </w:tcPr>
          <w:p w14:paraId="23396DF9" w14:textId="54C17739" w:rsidR="009C5B73" w:rsidRPr="00E72303" w:rsidRDefault="009C5B73" w:rsidP="007B178E">
            <w:pPr>
              <w:pStyle w:val="1stParagraph"/>
              <w:jc w:val="center"/>
              <w:rPr>
                <w:sz w:val="22"/>
              </w:rPr>
            </w:pPr>
            <w:r w:rsidRPr="00E72303">
              <w:rPr>
                <w:sz w:val="22"/>
              </w:rPr>
              <w:t>-6.19 (-22.11)</w:t>
            </w:r>
          </w:p>
        </w:tc>
        <w:tc>
          <w:tcPr>
            <w:tcW w:w="1530" w:type="dxa"/>
            <w:noWrap/>
            <w:vAlign w:val="center"/>
          </w:tcPr>
          <w:p w14:paraId="6D3CA878" w14:textId="1D079EB9" w:rsidR="009C5B73" w:rsidRPr="00E72303" w:rsidRDefault="009C5B73" w:rsidP="007B178E">
            <w:pPr>
              <w:pStyle w:val="1stParagraph"/>
              <w:jc w:val="center"/>
              <w:rPr>
                <w:sz w:val="22"/>
              </w:rPr>
            </w:pPr>
            <w:r w:rsidRPr="00E72303">
              <w:rPr>
                <w:sz w:val="22"/>
              </w:rPr>
              <w:t>-8.15 (-12.49)</w:t>
            </w:r>
          </w:p>
        </w:tc>
        <w:tc>
          <w:tcPr>
            <w:tcW w:w="1620" w:type="dxa"/>
            <w:noWrap/>
            <w:vAlign w:val="center"/>
          </w:tcPr>
          <w:p w14:paraId="4B17FA94" w14:textId="4860F0F4" w:rsidR="009C5B73" w:rsidRPr="00E72303" w:rsidRDefault="009C5B73" w:rsidP="007B178E">
            <w:pPr>
              <w:pStyle w:val="1stParagraph"/>
              <w:jc w:val="center"/>
              <w:rPr>
                <w:sz w:val="22"/>
              </w:rPr>
            </w:pPr>
            <w:r w:rsidRPr="00E72303">
              <w:rPr>
                <w:sz w:val="22"/>
              </w:rPr>
              <w:t>8.78 (25.22)</w:t>
            </w:r>
          </w:p>
        </w:tc>
        <w:tc>
          <w:tcPr>
            <w:tcW w:w="1525" w:type="dxa"/>
            <w:noWrap/>
            <w:vAlign w:val="center"/>
          </w:tcPr>
          <w:p w14:paraId="71F4EAB0" w14:textId="4A08A100" w:rsidR="009C5B73" w:rsidRPr="00E72303" w:rsidRDefault="009C5B73" w:rsidP="007B178E">
            <w:pPr>
              <w:pStyle w:val="1stParagraph"/>
              <w:jc w:val="center"/>
              <w:rPr>
                <w:sz w:val="22"/>
              </w:rPr>
            </w:pPr>
            <w:r w:rsidRPr="00E72303">
              <w:rPr>
                <w:sz w:val="22"/>
              </w:rPr>
              <w:t>-8.55 (-9.94)</w:t>
            </w:r>
          </w:p>
        </w:tc>
      </w:tr>
      <w:tr w:rsidR="00E72303" w:rsidRPr="00E72303" w14:paraId="5FC1F1FE" w14:textId="77777777" w:rsidTr="0003194E">
        <w:trPr>
          <w:trHeight w:val="20"/>
        </w:trPr>
        <w:tc>
          <w:tcPr>
            <w:tcW w:w="9350" w:type="dxa"/>
            <w:gridSpan w:val="5"/>
            <w:noWrap/>
            <w:vAlign w:val="center"/>
          </w:tcPr>
          <w:p w14:paraId="166FF2CA" w14:textId="7654F8E6" w:rsidR="009C5B73" w:rsidRPr="00E72303" w:rsidRDefault="009C5B73" w:rsidP="007B178E">
            <w:pPr>
              <w:pStyle w:val="1stParagraph"/>
              <w:jc w:val="center"/>
              <w:rPr>
                <w:b/>
                <w:bCs/>
                <w:sz w:val="22"/>
              </w:rPr>
            </w:pPr>
            <w:proofErr w:type="spellStart"/>
            <w:r w:rsidRPr="00E72303">
              <w:rPr>
                <w:b/>
                <w:bCs/>
                <w:sz w:val="22"/>
              </w:rPr>
              <w:t>MaritzCX</w:t>
            </w:r>
            <w:proofErr w:type="spellEnd"/>
            <w:r w:rsidRPr="00E72303">
              <w:rPr>
                <w:b/>
                <w:bCs/>
                <w:sz w:val="22"/>
              </w:rPr>
              <w:t xml:space="preserve"> Data</w:t>
            </w:r>
          </w:p>
        </w:tc>
      </w:tr>
      <w:tr w:rsidR="00E72303" w:rsidRPr="00E72303" w14:paraId="3D533F60" w14:textId="77777777" w:rsidTr="0003194E">
        <w:trPr>
          <w:trHeight w:val="20"/>
        </w:trPr>
        <w:tc>
          <w:tcPr>
            <w:tcW w:w="9350" w:type="dxa"/>
            <w:gridSpan w:val="5"/>
            <w:noWrap/>
            <w:vAlign w:val="center"/>
          </w:tcPr>
          <w:p w14:paraId="5A425211" w14:textId="41A9993F" w:rsidR="009C5B73" w:rsidRPr="00E72303" w:rsidRDefault="009C5B73" w:rsidP="007B178E">
            <w:pPr>
              <w:pStyle w:val="1stParagraph"/>
              <w:jc w:val="left"/>
              <w:rPr>
                <w:b/>
                <w:bCs/>
                <w:sz w:val="22"/>
              </w:rPr>
            </w:pPr>
            <w:r w:rsidRPr="00E72303">
              <w:rPr>
                <w:b/>
                <w:bCs/>
                <w:i/>
                <w:iCs/>
                <w:sz w:val="22"/>
              </w:rPr>
              <w:t>Vehicle Characteristics</w:t>
            </w:r>
          </w:p>
        </w:tc>
      </w:tr>
      <w:tr w:rsidR="00E72303" w:rsidRPr="00E72303" w14:paraId="12A74643" w14:textId="77777777" w:rsidTr="0003194E">
        <w:trPr>
          <w:trHeight w:val="20"/>
        </w:trPr>
        <w:tc>
          <w:tcPr>
            <w:tcW w:w="3145" w:type="dxa"/>
            <w:noWrap/>
            <w:vAlign w:val="center"/>
            <w:hideMark/>
          </w:tcPr>
          <w:p w14:paraId="2E6D8979" w14:textId="77777777" w:rsidR="009C5B73" w:rsidRPr="00E72303" w:rsidRDefault="009C5B73" w:rsidP="007B178E">
            <w:pPr>
              <w:pStyle w:val="1stParagraph"/>
              <w:jc w:val="left"/>
              <w:rPr>
                <w:sz w:val="22"/>
              </w:rPr>
            </w:pPr>
            <w:r w:rsidRPr="00E72303">
              <w:rPr>
                <w:sz w:val="22"/>
              </w:rPr>
              <w:t>Fuel efficiency (mpg)</w:t>
            </w:r>
          </w:p>
        </w:tc>
        <w:tc>
          <w:tcPr>
            <w:tcW w:w="1530" w:type="dxa"/>
            <w:noWrap/>
            <w:vAlign w:val="center"/>
            <w:hideMark/>
          </w:tcPr>
          <w:p w14:paraId="13BDD2DC" w14:textId="6A886A98" w:rsidR="009C5B73" w:rsidRPr="00E72303" w:rsidRDefault="009C5B73" w:rsidP="007B178E">
            <w:pPr>
              <w:pStyle w:val="1stParagraph"/>
              <w:jc w:val="center"/>
              <w:rPr>
                <w:sz w:val="22"/>
              </w:rPr>
            </w:pPr>
            <w:r w:rsidRPr="00E72303">
              <w:rPr>
                <w:sz w:val="22"/>
              </w:rPr>
              <w:t>0.15 (14.76)</w:t>
            </w:r>
          </w:p>
        </w:tc>
        <w:tc>
          <w:tcPr>
            <w:tcW w:w="1530" w:type="dxa"/>
            <w:noWrap/>
            <w:vAlign w:val="center"/>
            <w:hideMark/>
          </w:tcPr>
          <w:p w14:paraId="14AD55C8" w14:textId="15060F5A" w:rsidR="009C5B73" w:rsidRPr="00E72303" w:rsidRDefault="00DA3452" w:rsidP="007B178E">
            <w:pPr>
              <w:pStyle w:val="1stParagraph"/>
              <w:jc w:val="center"/>
              <w:rPr>
                <w:sz w:val="22"/>
              </w:rPr>
            </w:pPr>
            <w:r w:rsidRPr="00E72303">
              <w:rPr>
                <w:sz w:val="22"/>
              </w:rPr>
              <w:t>--</w:t>
            </w:r>
          </w:p>
        </w:tc>
        <w:tc>
          <w:tcPr>
            <w:tcW w:w="1620" w:type="dxa"/>
            <w:noWrap/>
            <w:vAlign w:val="center"/>
            <w:hideMark/>
          </w:tcPr>
          <w:p w14:paraId="6E381FEB" w14:textId="29F2A9E8" w:rsidR="009C5B73" w:rsidRPr="00E72303" w:rsidRDefault="00DA3452" w:rsidP="007B178E">
            <w:pPr>
              <w:pStyle w:val="1stParagraph"/>
              <w:jc w:val="center"/>
              <w:rPr>
                <w:sz w:val="22"/>
              </w:rPr>
            </w:pPr>
            <w:r w:rsidRPr="00E72303">
              <w:rPr>
                <w:sz w:val="22"/>
              </w:rPr>
              <w:t>--</w:t>
            </w:r>
          </w:p>
        </w:tc>
        <w:tc>
          <w:tcPr>
            <w:tcW w:w="1525" w:type="dxa"/>
            <w:noWrap/>
            <w:vAlign w:val="center"/>
            <w:hideMark/>
          </w:tcPr>
          <w:p w14:paraId="3A601235" w14:textId="4880BC5F" w:rsidR="009C5B73" w:rsidRPr="00E72303" w:rsidRDefault="00DA3452" w:rsidP="007B178E">
            <w:pPr>
              <w:pStyle w:val="1stParagraph"/>
              <w:jc w:val="center"/>
              <w:rPr>
                <w:sz w:val="22"/>
              </w:rPr>
            </w:pPr>
            <w:r w:rsidRPr="00E72303">
              <w:rPr>
                <w:sz w:val="22"/>
              </w:rPr>
              <w:t>--</w:t>
            </w:r>
          </w:p>
        </w:tc>
      </w:tr>
      <w:tr w:rsidR="00E72303" w:rsidRPr="00E72303" w14:paraId="38E072BE" w14:textId="77777777" w:rsidTr="0003194E">
        <w:trPr>
          <w:trHeight w:val="20"/>
        </w:trPr>
        <w:tc>
          <w:tcPr>
            <w:tcW w:w="3145" w:type="dxa"/>
            <w:noWrap/>
            <w:vAlign w:val="center"/>
            <w:hideMark/>
          </w:tcPr>
          <w:p w14:paraId="363F24FF" w14:textId="77777777" w:rsidR="009C5B73" w:rsidRPr="00E72303" w:rsidRDefault="009C5B73" w:rsidP="007B178E">
            <w:pPr>
              <w:pStyle w:val="1stParagraph"/>
              <w:jc w:val="left"/>
              <w:rPr>
                <w:sz w:val="22"/>
              </w:rPr>
            </w:pPr>
            <w:r w:rsidRPr="00E72303">
              <w:rPr>
                <w:sz w:val="22"/>
              </w:rPr>
              <w:t>Vehicle price (in thousands)</w:t>
            </w:r>
          </w:p>
        </w:tc>
        <w:tc>
          <w:tcPr>
            <w:tcW w:w="1530" w:type="dxa"/>
            <w:noWrap/>
            <w:vAlign w:val="center"/>
            <w:hideMark/>
          </w:tcPr>
          <w:p w14:paraId="23AE9CEC" w14:textId="41B7D3B7" w:rsidR="009C5B73" w:rsidRPr="00E72303" w:rsidRDefault="00DA3452" w:rsidP="007B178E">
            <w:pPr>
              <w:pStyle w:val="1stParagraph"/>
              <w:jc w:val="center"/>
              <w:rPr>
                <w:sz w:val="22"/>
              </w:rPr>
            </w:pPr>
            <w:r w:rsidRPr="00E72303">
              <w:rPr>
                <w:sz w:val="22"/>
              </w:rPr>
              <w:t>--</w:t>
            </w:r>
          </w:p>
        </w:tc>
        <w:tc>
          <w:tcPr>
            <w:tcW w:w="1530" w:type="dxa"/>
            <w:noWrap/>
            <w:vAlign w:val="center"/>
            <w:hideMark/>
          </w:tcPr>
          <w:p w14:paraId="73FB9CBF" w14:textId="58AA629B" w:rsidR="009C5B73" w:rsidRPr="00E72303" w:rsidRDefault="009C5B73" w:rsidP="007B178E">
            <w:pPr>
              <w:pStyle w:val="1stParagraph"/>
              <w:jc w:val="center"/>
              <w:rPr>
                <w:sz w:val="22"/>
              </w:rPr>
            </w:pPr>
            <w:r w:rsidRPr="00E72303">
              <w:rPr>
                <w:sz w:val="22"/>
              </w:rPr>
              <w:t>0.16 (10.86)</w:t>
            </w:r>
          </w:p>
        </w:tc>
        <w:tc>
          <w:tcPr>
            <w:tcW w:w="1620" w:type="dxa"/>
            <w:noWrap/>
            <w:vAlign w:val="center"/>
            <w:hideMark/>
          </w:tcPr>
          <w:p w14:paraId="5ACCD1AC" w14:textId="2F1AD699" w:rsidR="009C5B73" w:rsidRPr="00E72303" w:rsidRDefault="009C5B73" w:rsidP="007B178E">
            <w:pPr>
              <w:pStyle w:val="1stParagraph"/>
              <w:jc w:val="center"/>
              <w:rPr>
                <w:sz w:val="22"/>
              </w:rPr>
            </w:pPr>
            <w:r w:rsidRPr="00E72303">
              <w:rPr>
                <w:sz w:val="22"/>
              </w:rPr>
              <w:t>-0.03 (-3.98)</w:t>
            </w:r>
          </w:p>
        </w:tc>
        <w:tc>
          <w:tcPr>
            <w:tcW w:w="1525" w:type="dxa"/>
            <w:noWrap/>
            <w:vAlign w:val="center"/>
            <w:hideMark/>
          </w:tcPr>
          <w:p w14:paraId="28A76528" w14:textId="5245A32F" w:rsidR="009C5B73" w:rsidRPr="00E72303" w:rsidRDefault="009C5B73" w:rsidP="007B178E">
            <w:pPr>
              <w:pStyle w:val="1stParagraph"/>
              <w:jc w:val="center"/>
              <w:rPr>
                <w:sz w:val="22"/>
              </w:rPr>
            </w:pPr>
            <w:r w:rsidRPr="00E72303">
              <w:rPr>
                <w:sz w:val="22"/>
              </w:rPr>
              <w:t>0.14 (9.21)</w:t>
            </w:r>
          </w:p>
        </w:tc>
      </w:tr>
      <w:tr w:rsidR="00E72303" w:rsidRPr="00E72303" w14:paraId="11422027" w14:textId="77777777" w:rsidTr="0003194E">
        <w:trPr>
          <w:trHeight w:val="20"/>
        </w:trPr>
        <w:tc>
          <w:tcPr>
            <w:tcW w:w="3145" w:type="dxa"/>
            <w:noWrap/>
            <w:vAlign w:val="center"/>
            <w:hideMark/>
          </w:tcPr>
          <w:p w14:paraId="159EBA3E" w14:textId="77777777" w:rsidR="009C5B73" w:rsidRPr="00E72303" w:rsidRDefault="009C5B73" w:rsidP="007B178E">
            <w:pPr>
              <w:pStyle w:val="1stParagraph"/>
              <w:jc w:val="left"/>
              <w:rPr>
                <w:sz w:val="22"/>
              </w:rPr>
            </w:pPr>
            <w:r w:rsidRPr="00E72303">
              <w:rPr>
                <w:sz w:val="22"/>
              </w:rPr>
              <w:t>Engine size (liters)</w:t>
            </w:r>
          </w:p>
        </w:tc>
        <w:tc>
          <w:tcPr>
            <w:tcW w:w="1530" w:type="dxa"/>
            <w:noWrap/>
            <w:vAlign w:val="center"/>
            <w:hideMark/>
          </w:tcPr>
          <w:p w14:paraId="27288539" w14:textId="1C0A1629" w:rsidR="009C5B73" w:rsidRPr="00E72303" w:rsidRDefault="00DA3452" w:rsidP="007B178E">
            <w:pPr>
              <w:pStyle w:val="1stParagraph"/>
              <w:jc w:val="center"/>
              <w:rPr>
                <w:sz w:val="22"/>
              </w:rPr>
            </w:pPr>
            <w:r w:rsidRPr="00E72303">
              <w:rPr>
                <w:sz w:val="22"/>
              </w:rPr>
              <w:t>--</w:t>
            </w:r>
          </w:p>
        </w:tc>
        <w:tc>
          <w:tcPr>
            <w:tcW w:w="1530" w:type="dxa"/>
            <w:noWrap/>
            <w:vAlign w:val="center"/>
            <w:hideMark/>
          </w:tcPr>
          <w:p w14:paraId="7F0BF835" w14:textId="68758DAC" w:rsidR="009C5B73" w:rsidRPr="00E72303" w:rsidRDefault="00DA3452" w:rsidP="007B178E">
            <w:pPr>
              <w:pStyle w:val="1stParagraph"/>
              <w:jc w:val="center"/>
              <w:rPr>
                <w:sz w:val="22"/>
              </w:rPr>
            </w:pPr>
            <w:r w:rsidRPr="00E72303">
              <w:rPr>
                <w:sz w:val="22"/>
              </w:rPr>
              <w:t>--</w:t>
            </w:r>
          </w:p>
        </w:tc>
        <w:tc>
          <w:tcPr>
            <w:tcW w:w="1620" w:type="dxa"/>
            <w:noWrap/>
            <w:vAlign w:val="center"/>
            <w:hideMark/>
          </w:tcPr>
          <w:p w14:paraId="28C1C480" w14:textId="671A5D51" w:rsidR="009C5B73" w:rsidRPr="00E72303" w:rsidRDefault="009C5B73" w:rsidP="007B178E">
            <w:pPr>
              <w:pStyle w:val="1stParagraph"/>
              <w:jc w:val="center"/>
              <w:rPr>
                <w:sz w:val="22"/>
              </w:rPr>
            </w:pPr>
            <w:r w:rsidRPr="00E72303">
              <w:rPr>
                <w:sz w:val="22"/>
              </w:rPr>
              <w:t>-2.87 (-26.25)</w:t>
            </w:r>
          </w:p>
        </w:tc>
        <w:tc>
          <w:tcPr>
            <w:tcW w:w="1525" w:type="dxa"/>
            <w:noWrap/>
            <w:vAlign w:val="center"/>
            <w:hideMark/>
          </w:tcPr>
          <w:p w14:paraId="7BA20260" w14:textId="1D2BC74D" w:rsidR="009C5B73" w:rsidRPr="00E72303" w:rsidRDefault="00DA3452" w:rsidP="007B178E">
            <w:pPr>
              <w:pStyle w:val="1stParagraph"/>
              <w:jc w:val="center"/>
              <w:rPr>
                <w:sz w:val="22"/>
              </w:rPr>
            </w:pPr>
            <w:r w:rsidRPr="00E72303">
              <w:rPr>
                <w:sz w:val="22"/>
              </w:rPr>
              <w:t>--</w:t>
            </w:r>
          </w:p>
        </w:tc>
      </w:tr>
      <w:tr w:rsidR="00E72303" w:rsidRPr="00E72303" w14:paraId="71681B17" w14:textId="77777777" w:rsidTr="0003194E">
        <w:trPr>
          <w:trHeight w:val="20"/>
        </w:trPr>
        <w:tc>
          <w:tcPr>
            <w:tcW w:w="9350" w:type="dxa"/>
            <w:gridSpan w:val="5"/>
            <w:noWrap/>
            <w:vAlign w:val="center"/>
          </w:tcPr>
          <w:p w14:paraId="30D834A3" w14:textId="77777777" w:rsidR="009C5B73" w:rsidRPr="00E72303" w:rsidRDefault="009C5B73" w:rsidP="007B178E">
            <w:pPr>
              <w:pStyle w:val="1stParagraph"/>
              <w:jc w:val="left"/>
              <w:rPr>
                <w:sz w:val="22"/>
              </w:rPr>
            </w:pPr>
            <w:r w:rsidRPr="00E72303">
              <w:rPr>
                <w:sz w:val="22"/>
              </w:rPr>
              <w:t>Number of doors (base: 4-door car)</w:t>
            </w:r>
          </w:p>
        </w:tc>
      </w:tr>
      <w:tr w:rsidR="00E72303" w:rsidRPr="00E72303" w14:paraId="517B6545" w14:textId="77777777" w:rsidTr="0003194E">
        <w:trPr>
          <w:trHeight w:val="20"/>
        </w:trPr>
        <w:tc>
          <w:tcPr>
            <w:tcW w:w="3145" w:type="dxa"/>
            <w:noWrap/>
            <w:vAlign w:val="center"/>
            <w:hideMark/>
          </w:tcPr>
          <w:p w14:paraId="41E4454E" w14:textId="77777777" w:rsidR="009C5B73" w:rsidRPr="00E72303" w:rsidRDefault="009C5B73" w:rsidP="007B178E">
            <w:pPr>
              <w:pStyle w:val="1stParagraph"/>
              <w:ind w:left="288"/>
              <w:jc w:val="left"/>
              <w:rPr>
                <w:sz w:val="22"/>
              </w:rPr>
            </w:pPr>
            <w:r w:rsidRPr="00E72303">
              <w:rPr>
                <w:sz w:val="22"/>
              </w:rPr>
              <w:t>2-door car</w:t>
            </w:r>
          </w:p>
        </w:tc>
        <w:tc>
          <w:tcPr>
            <w:tcW w:w="1530" w:type="dxa"/>
            <w:noWrap/>
            <w:vAlign w:val="center"/>
            <w:hideMark/>
          </w:tcPr>
          <w:p w14:paraId="54E7278E" w14:textId="57BD2B4E" w:rsidR="009C5B73" w:rsidRPr="00E72303" w:rsidRDefault="00DA3452" w:rsidP="007B178E">
            <w:pPr>
              <w:pStyle w:val="1stParagraph"/>
              <w:jc w:val="center"/>
              <w:rPr>
                <w:sz w:val="22"/>
              </w:rPr>
            </w:pPr>
            <w:r w:rsidRPr="00E72303">
              <w:rPr>
                <w:sz w:val="22"/>
              </w:rPr>
              <w:t>--</w:t>
            </w:r>
          </w:p>
        </w:tc>
        <w:tc>
          <w:tcPr>
            <w:tcW w:w="1530" w:type="dxa"/>
            <w:noWrap/>
            <w:vAlign w:val="center"/>
            <w:hideMark/>
          </w:tcPr>
          <w:p w14:paraId="7224BE18" w14:textId="2FFA63F9" w:rsidR="009C5B73" w:rsidRPr="00E72303" w:rsidRDefault="00DA3452" w:rsidP="007B178E">
            <w:pPr>
              <w:pStyle w:val="1stParagraph"/>
              <w:jc w:val="center"/>
              <w:rPr>
                <w:sz w:val="22"/>
              </w:rPr>
            </w:pPr>
            <w:r w:rsidRPr="00E72303">
              <w:rPr>
                <w:sz w:val="22"/>
              </w:rPr>
              <w:t>--</w:t>
            </w:r>
          </w:p>
        </w:tc>
        <w:tc>
          <w:tcPr>
            <w:tcW w:w="1620" w:type="dxa"/>
            <w:noWrap/>
            <w:vAlign w:val="center"/>
            <w:hideMark/>
          </w:tcPr>
          <w:p w14:paraId="662069EA" w14:textId="68F1710B" w:rsidR="009C5B73" w:rsidRPr="00E72303" w:rsidRDefault="009C5B73" w:rsidP="007B178E">
            <w:pPr>
              <w:pStyle w:val="1stParagraph"/>
              <w:jc w:val="center"/>
              <w:rPr>
                <w:sz w:val="22"/>
              </w:rPr>
            </w:pPr>
            <w:r w:rsidRPr="00E72303">
              <w:rPr>
                <w:sz w:val="22"/>
              </w:rPr>
              <w:t>-1.73 (-6.28)</w:t>
            </w:r>
          </w:p>
        </w:tc>
        <w:tc>
          <w:tcPr>
            <w:tcW w:w="1525" w:type="dxa"/>
            <w:noWrap/>
            <w:vAlign w:val="center"/>
            <w:hideMark/>
          </w:tcPr>
          <w:p w14:paraId="0D1AA011" w14:textId="457B7DED" w:rsidR="009C5B73" w:rsidRPr="00E72303" w:rsidRDefault="009C5B73" w:rsidP="007B178E">
            <w:pPr>
              <w:pStyle w:val="1stParagraph"/>
              <w:jc w:val="center"/>
              <w:rPr>
                <w:sz w:val="22"/>
              </w:rPr>
            </w:pPr>
            <w:r w:rsidRPr="00E72303">
              <w:rPr>
                <w:sz w:val="22"/>
              </w:rPr>
              <w:t>3.16 (12.30)</w:t>
            </w:r>
          </w:p>
        </w:tc>
      </w:tr>
      <w:tr w:rsidR="00E72303" w:rsidRPr="00E72303" w14:paraId="548AF7CB" w14:textId="77777777" w:rsidTr="0003194E">
        <w:trPr>
          <w:trHeight w:val="20"/>
        </w:trPr>
        <w:tc>
          <w:tcPr>
            <w:tcW w:w="9350" w:type="dxa"/>
            <w:gridSpan w:val="5"/>
            <w:noWrap/>
            <w:vAlign w:val="center"/>
          </w:tcPr>
          <w:p w14:paraId="05E8F1A5" w14:textId="77777777" w:rsidR="009C5B73" w:rsidRPr="00E72303" w:rsidRDefault="009C5B73" w:rsidP="007B178E">
            <w:pPr>
              <w:pStyle w:val="1stParagraph"/>
              <w:jc w:val="left"/>
              <w:rPr>
                <w:sz w:val="22"/>
              </w:rPr>
            </w:pPr>
            <w:r w:rsidRPr="00E72303">
              <w:rPr>
                <w:sz w:val="22"/>
              </w:rPr>
              <w:t>Vehicle brands (Base: Other brands)</w:t>
            </w:r>
          </w:p>
        </w:tc>
      </w:tr>
      <w:tr w:rsidR="00E72303" w:rsidRPr="00E72303" w14:paraId="5BF9C05A" w14:textId="77777777" w:rsidTr="0003194E">
        <w:trPr>
          <w:trHeight w:val="20"/>
        </w:trPr>
        <w:tc>
          <w:tcPr>
            <w:tcW w:w="3145" w:type="dxa"/>
            <w:noWrap/>
            <w:vAlign w:val="center"/>
            <w:hideMark/>
          </w:tcPr>
          <w:p w14:paraId="72511111" w14:textId="77777777" w:rsidR="009C5B73" w:rsidRPr="00E72303" w:rsidRDefault="009C5B73" w:rsidP="007B178E">
            <w:pPr>
              <w:pStyle w:val="1stParagraph"/>
              <w:ind w:left="288"/>
              <w:jc w:val="left"/>
              <w:rPr>
                <w:sz w:val="22"/>
              </w:rPr>
            </w:pPr>
            <w:r w:rsidRPr="00E72303">
              <w:rPr>
                <w:sz w:val="22"/>
              </w:rPr>
              <w:t>Toyota</w:t>
            </w:r>
          </w:p>
        </w:tc>
        <w:tc>
          <w:tcPr>
            <w:tcW w:w="1530" w:type="dxa"/>
            <w:noWrap/>
            <w:vAlign w:val="center"/>
            <w:hideMark/>
          </w:tcPr>
          <w:p w14:paraId="0749C0BF" w14:textId="1E7E4CAD" w:rsidR="009C5B73" w:rsidRPr="00E72303" w:rsidRDefault="009C5B73" w:rsidP="007B178E">
            <w:pPr>
              <w:pStyle w:val="1stParagraph"/>
              <w:jc w:val="center"/>
              <w:rPr>
                <w:sz w:val="22"/>
              </w:rPr>
            </w:pPr>
            <w:r w:rsidRPr="00E72303">
              <w:rPr>
                <w:sz w:val="22"/>
              </w:rPr>
              <w:t>0.98 (7.67)</w:t>
            </w:r>
          </w:p>
        </w:tc>
        <w:tc>
          <w:tcPr>
            <w:tcW w:w="1530" w:type="dxa"/>
            <w:noWrap/>
            <w:vAlign w:val="center"/>
            <w:hideMark/>
          </w:tcPr>
          <w:p w14:paraId="08380C1F" w14:textId="7D3FD194" w:rsidR="009C5B73" w:rsidRPr="00E72303" w:rsidRDefault="009C5B73" w:rsidP="007B178E">
            <w:pPr>
              <w:pStyle w:val="1stParagraph"/>
              <w:jc w:val="center"/>
              <w:rPr>
                <w:sz w:val="22"/>
              </w:rPr>
            </w:pPr>
            <w:r w:rsidRPr="00E72303">
              <w:rPr>
                <w:sz w:val="22"/>
              </w:rPr>
              <w:t>-1.39 (-3.25)</w:t>
            </w:r>
          </w:p>
        </w:tc>
        <w:tc>
          <w:tcPr>
            <w:tcW w:w="1620" w:type="dxa"/>
            <w:noWrap/>
            <w:vAlign w:val="center"/>
            <w:hideMark/>
          </w:tcPr>
          <w:p w14:paraId="4F3AC79D" w14:textId="67728C10" w:rsidR="009C5B73" w:rsidRPr="00E72303" w:rsidRDefault="00DA3452" w:rsidP="007B178E">
            <w:pPr>
              <w:pStyle w:val="1stParagraph"/>
              <w:jc w:val="center"/>
              <w:rPr>
                <w:sz w:val="22"/>
              </w:rPr>
            </w:pPr>
            <w:r w:rsidRPr="00E72303">
              <w:rPr>
                <w:sz w:val="22"/>
              </w:rPr>
              <w:t>--</w:t>
            </w:r>
          </w:p>
        </w:tc>
        <w:tc>
          <w:tcPr>
            <w:tcW w:w="1525" w:type="dxa"/>
            <w:noWrap/>
            <w:vAlign w:val="center"/>
            <w:hideMark/>
          </w:tcPr>
          <w:p w14:paraId="6F9FAE97" w14:textId="38FFC15A" w:rsidR="009C5B73" w:rsidRPr="00E72303" w:rsidRDefault="009C5B73" w:rsidP="007B178E">
            <w:pPr>
              <w:pStyle w:val="1stParagraph"/>
              <w:jc w:val="center"/>
              <w:rPr>
                <w:sz w:val="22"/>
              </w:rPr>
            </w:pPr>
            <w:r w:rsidRPr="00E72303">
              <w:rPr>
                <w:sz w:val="22"/>
              </w:rPr>
              <w:t>2.96 (16.07)</w:t>
            </w:r>
          </w:p>
        </w:tc>
      </w:tr>
      <w:tr w:rsidR="00E72303" w:rsidRPr="00E72303" w14:paraId="41616421" w14:textId="77777777" w:rsidTr="0003194E">
        <w:trPr>
          <w:trHeight w:val="20"/>
        </w:trPr>
        <w:tc>
          <w:tcPr>
            <w:tcW w:w="3145" w:type="dxa"/>
            <w:noWrap/>
            <w:vAlign w:val="center"/>
            <w:hideMark/>
          </w:tcPr>
          <w:p w14:paraId="1755334F" w14:textId="77777777" w:rsidR="009C5B73" w:rsidRPr="00E72303" w:rsidRDefault="009C5B73" w:rsidP="007B178E">
            <w:pPr>
              <w:pStyle w:val="1stParagraph"/>
              <w:ind w:left="288"/>
              <w:jc w:val="left"/>
              <w:rPr>
                <w:sz w:val="22"/>
              </w:rPr>
            </w:pPr>
            <w:r w:rsidRPr="00E72303">
              <w:rPr>
                <w:sz w:val="22"/>
              </w:rPr>
              <w:t>Chevrolet</w:t>
            </w:r>
          </w:p>
        </w:tc>
        <w:tc>
          <w:tcPr>
            <w:tcW w:w="1530" w:type="dxa"/>
            <w:noWrap/>
            <w:vAlign w:val="center"/>
            <w:hideMark/>
          </w:tcPr>
          <w:p w14:paraId="601C3974" w14:textId="1A5C51FD" w:rsidR="009C5B73" w:rsidRPr="00E72303" w:rsidRDefault="00DA3452" w:rsidP="007B178E">
            <w:pPr>
              <w:pStyle w:val="1stParagraph"/>
              <w:jc w:val="center"/>
              <w:rPr>
                <w:sz w:val="22"/>
              </w:rPr>
            </w:pPr>
            <w:r w:rsidRPr="00E72303">
              <w:rPr>
                <w:sz w:val="22"/>
              </w:rPr>
              <w:t>--</w:t>
            </w:r>
          </w:p>
        </w:tc>
        <w:tc>
          <w:tcPr>
            <w:tcW w:w="1530" w:type="dxa"/>
            <w:noWrap/>
            <w:vAlign w:val="center"/>
            <w:hideMark/>
          </w:tcPr>
          <w:p w14:paraId="47BFE13D" w14:textId="19F062D1" w:rsidR="009C5B73" w:rsidRPr="00E72303" w:rsidRDefault="00DA3452" w:rsidP="007B178E">
            <w:pPr>
              <w:pStyle w:val="1stParagraph"/>
              <w:jc w:val="center"/>
              <w:rPr>
                <w:sz w:val="22"/>
              </w:rPr>
            </w:pPr>
            <w:r w:rsidRPr="00E72303">
              <w:rPr>
                <w:sz w:val="22"/>
              </w:rPr>
              <w:t>--</w:t>
            </w:r>
          </w:p>
        </w:tc>
        <w:tc>
          <w:tcPr>
            <w:tcW w:w="1620" w:type="dxa"/>
            <w:noWrap/>
            <w:vAlign w:val="center"/>
            <w:hideMark/>
          </w:tcPr>
          <w:p w14:paraId="15BEC6F0" w14:textId="7545EF7D" w:rsidR="009C5B73" w:rsidRPr="00E72303" w:rsidRDefault="009C5B73" w:rsidP="007B178E">
            <w:pPr>
              <w:pStyle w:val="1stParagraph"/>
              <w:jc w:val="center"/>
              <w:rPr>
                <w:sz w:val="22"/>
              </w:rPr>
            </w:pPr>
            <w:r w:rsidRPr="00E72303">
              <w:rPr>
                <w:sz w:val="22"/>
              </w:rPr>
              <w:t>-0.66 (-3.42)</w:t>
            </w:r>
          </w:p>
        </w:tc>
        <w:tc>
          <w:tcPr>
            <w:tcW w:w="1525" w:type="dxa"/>
            <w:noWrap/>
            <w:vAlign w:val="center"/>
            <w:hideMark/>
          </w:tcPr>
          <w:p w14:paraId="5D8B3AF3" w14:textId="13236EA1" w:rsidR="009C5B73" w:rsidRPr="00E72303" w:rsidRDefault="009C5B73" w:rsidP="007B178E">
            <w:pPr>
              <w:pStyle w:val="1stParagraph"/>
              <w:jc w:val="center"/>
              <w:rPr>
                <w:sz w:val="22"/>
              </w:rPr>
            </w:pPr>
            <w:r w:rsidRPr="00E72303">
              <w:rPr>
                <w:sz w:val="22"/>
              </w:rPr>
              <w:t>2.45 (12.44)</w:t>
            </w:r>
          </w:p>
        </w:tc>
      </w:tr>
      <w:tr w:rsidR="00E72303" w:rsidRPr="00E72303" w14:paraId="0C1B1E5B" w14:textId="77777777" w:rsidTr="0003194E">
        <w:trPr>
          <w:trHeight w:val="20"/>
        </w:trPr>
        <w:tc>
          <w:tcPr>
            <w:tcW w:w="3145" w:type="dxa"/>
            <w:noWrap/>
            <w:vAlign w:val="center"/>
            <w:hideMark/>
          </w:tcPr>
          <w:p w14:paraId="504B1663" w14:textId="77777777" w:rsidR="009C5B73" w:rsidRPr="00E72303" w:rsidRDefault="009C5B73" w:rsidP="007B178E">
            <w:pPr>
              <w:pStyle w:val="1stParagraph"/>
              <w:ind w:left="288"/>
              <w:jc w:val="left"/>
              <w:rPr>
                <w:sz w:val="22"/>
              </w:rPr>
            </w:pPr>
            <w:r w:rsidRPr="00E72303">
              <w:rPr>
                <w:sz w:val="22"/>
              </w:rPr>
              <w:t>Subaru</w:t>
            </w:r>
          </w:p>
        </w:tc>
        <w:tc>
          <w:tcPr>
            <w:tcW w:w="1530" w:type="dxa"/>
            <w:noWrap/>
            <w:vAlign w:val="center"/>
            <w:hideMark/>
          </w:tcPr>
          <w:p w14:paraId="73D3F01A" w14:textId="300F830D" w:rsidR="009C5B73" w:rsidRPr="00E72303" w:rsidRDefault="00DA3452" w:rsidP="007B178E">
            <w:pPr>
              <w:pStyle w:val="1stParagraph"/>
              <w:jc w:val="center"/>
              <w:rPr>
                <w:sz w:val="22"/>
              </w:rPr>
            </w:pPr>
            <w:r w:rsidRPr="00E72303">
              <w:rPr>
                <w:sz w:val="22"/>
              </w:rPr>
              <w:t>--</w:t>
            </w:r>
          </w:p>
        </w:tc>
        <w:tc>
          <w:tcPr>
            <w:tcW w:w="1530" w:type="dxa"/>
            <w:noWrap/>
            <w:vAlign w:val="center"/>
            <w:hideMark/>
          </w:tcPr>
          <w:p w14:paraId="68D0763A" w14:textId="2F8C8D6F" w:rsidR="009C5B73" w:rsidRPr="00E72303" w:rsidRDefault="009C5B73" w:rsidP="007B178E">
            <w:pPr>
              <w:pStyle w:val="1stParagraph"/>
              <w:jc w:val="center"/>
              <w:rPr>
                <w:sz w:val="22"/>
              </w:rPr>
            </w:pPr>
            <w:r w:rsidRPr="00E72303">
              <w:rPr>
                <w:sz w:val="22"/>
              </w:rPr>
              <w:t>-1.42 (-3.35)</w:t>
            </w:r>
          </w:p>
        </w:tc>
        <w:tc>
          <w:tcPr>
            <w:tcW w:w="1620" w:type="dxa"/>
            <w:noWrap/>
            <w:vAlign w:val="center"/>
            <w:hideMark/>
          </w:tcPr>
          <w:p w14:paraId="63858A94" w14:textId="7551A865" w:rsidR="009C5B73" w:rsidRPr="00E72303" w:rsidRDefault="009C5B73" w:rsidP="007B178E">
            <w:pPr>
              <w:pStyle w:val="1stParagraph"/>
              <w:jc w:val="center"/>
              <w:rPr>
                <w:sz w:val="22"/>
              </w:rPr>
            </w:pPr>
            <w:r w:rsidRPr="00E72303">
              <w:rPr>
                <w:sz w:val="22"/>
              </w:rPr>
              <w:t>-0.64 (-4.54)</w:t>
            </w:r>
          </w:p>
        </w:tc>
        <w:tc>
          <w:tcPr>
            <w:tcW w:w="1525" w:type="dxa"/>
            <w:noWrap/>
            <w:vAlign w:val="center"/>
            <w:hideMark/>
          </w:tcPr>
          <w:p w14:paraId="5E26A880" w14:textId="77777777" w:rsidR="009C5B73" w:rsidRPr="00E72303" w:rsidRDefault="009C5B73" w:rsidP="007B178E">
            <w:pPr>
              <w:pStyle w:val="1stParagraph"/>
              <w:jc w:val="center"/>
              <w:rPr>
                <w:sz w:val="22"/>
              </w:rPr>
            </w:pPr>
          </w:p>
        </w:tc>
      </w:tr>
      <w:tr w:rsidR="00E72303" w:rsidRPr="00E72303" w14:paraId="0B6997AC" w14:textId="77777777" w:rsidTr="0003194E">
        <w:trPr>
          <w:trHeight w:val="20"/>
        </w:trPr>
        <w:tc>
          <w:tcPr>
            <w:tcW w:w="3145" w:type="dxa"/>
            <w:noWrap/>
            <w:vAlign w:val="center"/>
            <w:hideMark/>
          </w:tcPr>
          <w:p w14:paraId="07683319" w14:textId="77777777" w:rsidR="009C5B73" w:rsidRPr="00E72303" w:rsidRDefault="009C5B73" w:rsidP="007B178E">
            <w:pPr>
              <w:pStyle w:val="1stParagraph"/>
              <w:ind w:left="288"/>
              <w:jc w:val="left"/>
              <w:rPr>
                <w:sz w:val="22"/>
              </w:rPr>
            </w:pPr>
            <w:r w:rsidRPr="00E72303">
              <w:rPr>
                <w:sz w:val="22"/>
              </w:rPr>
              <w:t>Ford</w:t>
            </w:r>
          </w:p>
        </w:tc>
        <w:tc>
          <w:tcPr>
            <w:tcW w:w="1530" w:type="dxa"/>
            <w:noWrap/>
            <w:vAlign w:val="center"/>
            <w:hideMark/>
          </w:tcPr>
          <w:p w14:paraId="2BEC1B38" w14:textId="27CA26EB" w:rsidR="009C5B73" w:rsidRPr="00E72303" w:rsidRDefault="009C5B73" w:rsidP="007B178E">
            <w:pPr>
              <w:pStyle w:val="1stParagraph"/>
              <w:jc w:val="center"/>
              <w:rPr>
                <w:sz w:val="22"/>
              </w:rPr>
            </w:pPr>
            <w:r w:rsidRPr="00E72303">
              <w:rPr>
                <w:sz w:val="22"/>
              </w:rPr>
              <w:t>-1.04 (-4.31)</w:t>
            </w:r>
          </w:p>
        </w:tc>
        <w:tc>
          <w:tcPr>
            <w:tcW w:w="1530" w:type="dxa"/>
            <w:noWrap/>
            <w:vAlign w:val="center"/>
            <w:hideMark/>
          </w:tcPr>
          <w:p w14:paraId="073ED90E" w14:textId="038F25D2" w:rsidR="009C5B73" w:rsidRPr="00E72303" w:rsidRDefault="00DA3452" w:rsidP="007B178E">
            <w:pPr>
              <w:pStyle w:val="1stParagraph"/>
              <w:jc w:val="center"/>
              <w:rPr>
                <w:sz w:val="22"/>
              </w:rPr>
            </w:pPr>
            <w:r w:rsidRPr="00E72303">
              <w:rPr>
                <w:sz w:val="22"/>
              </w:rPr>
              <w:t>--</w:t>
            </w:r>
          </w:p>
        </w:tc>
        <w:tc>
          <w:tcPr>
            <w:tcW w:w="1620" w:type="dxa"/>
            <w:noWrap/>
            <w:vAlign w:val="center"/>
            <w:hideMark/>
          </w:tcPr>
          <w:p w14:paraId="2126AE2A" w14:textId="6D72B4A2" w:rsidR="009C5B73" w:rsidRPr="00E72303" w:rsidRDefault="00DA3452" w:rsidP="007B178E">
            <w:pPr>
              <w:pStyle w:val="1stParagraph"/>
              <w:jc w:val="center"/>
              <w:rPr>
                <w:sz w:val="22"/>
              </w:rPr>
            </w:pPr>
            <w:r w:rsidRPr="00E72303">
              <w:rPr>
                <w:sz w:val="22"/>
              </w:rPr>
              <w:t>--</w:t>
            </w:r>
          </w:p>
        </w:tc>
        <w:tc>
          <w:tcPr>
            <w:tcW w:w="1525" w:type="dxa"/>
            <w:noWrap/>
            <w:vAlign w:val="center"/>
            <w:hideMark/>
          </w:tcPr>
          <w:p w14:paraId="2E94540F" w14:textId="76F202EA" w:rsidR="009C5B73" w:rsidRPr="00E72303" w:rsidRDefault="009C5B73" w:rsidP="007B178E">
            <w:pPr>
              <w:pStyle w:val="1stParagraph"/>
              <w:jc w:val="center"/>
              <w:rPr>
                <w:sz w:val="22"/>
              </w:rPr>
            </w:pPr>
            <w:r w:rsidRPr="00E72303">
              <w:rPr>
                <w:sz w:val="22"/>
              </w:rPr>
              <w:t>2.23 (11.65)</w:t>
            </w:r>
          </w:p>
        </w:tc>
      </w:tr>
      <w:tr w:rsidR="00E72303" w:rsidRPr="00E72303" w14:paraId="2F4C1251" w14:textId="77777777" w:rsidTr="0003194E">
        <w:trPr>
          <w:trHeight w:val="20"/>
        </w:trPr>
        <w:tc>
          <w:tcPr>
            <w:tcW w:w="3145" w:type="dxa"/>
            <w:noWrap/>
            <w:vAlign w:val="center"/>
            <w:hideMark/>
          </w:tcPr>
          <w:p w14:paraId="6CEC5B40" w14:textId="77777777" w:rsidR="009C5B73" w:rsidRPr="00E72303" w:rsidRDefault="009C5B73" w:rsidP="007B178E">
            <w:pPr>
              <w:pStyle w:val="1stParagraph"/>
              <w:ind w:left="288"/>
              <w:jc w:val="left"/>
              <w:rPr>
                <w:sz w:val="22"/>
              </w:rPr>
            </w:pPr>
            <w:r w:rsidRPr="00E72303">
              <w:rPr>
                <w:sz w:val="22"/>
              </w:rPr>
              <w:t>Honda</w:t>
            </w:r>
          </w:p>
        </w:tc>
        <w:tc>
          <w:tcPr>
            <w:tcW w:w="1530" w:type="dxa"/>
            <w:noWrap/>
            <w:vAlign w:val="center"/>
            <w:hideMark/>
          </w:tcPr>
          <w:p w14:paraId="36C19EFD" w14:textId="607BBDEB" w:rsidR="009C5B73" w:rsidRPr="00E72303" w:rsidRDefault="009C5B73" w:rsidP="007B178E">
            <w:pPr>
              <w:pStyle w:val="1stParagraph"/>
              <w:jc w:val="center"/>
              <w:rPr>
                <w:sz w:val="22"/>
              </w:rPr>
            </w:pPr>
            <w:r w:rsidRPr="00E72303">
              <w:rPr>
                <w:sz w:val="22"/>
              </w:rPr>
              <w:t>-1.65 (-4.00)</w:t>
            </w:r>
          </w:p>
        </w:tc>
        <w:tc>
          <w:tcPr>
            <w:tcW w:w="1530" w:type="dxa"/>
            <w:noWrap/>
            <w:vAlign w:val="center"/>
            <w:hideMark/>
          </w:tcPr>
          <w:p w14:paraId="5688244F" w14:textId="144965E1" w:rsidR="009C5B73" w:rsidRPr="00E72303" w:rsidRDefault="00DA3452" w:rsidP="007B178E">
            <w:pPr>
              <w:pStyle w:val="1stParagraph"/>
              <w:jc w:val="center"/>
              <w:rPr>
                <w:sz w:val="22"/>
              </w:rPr>
            </w:pPr>
            <w:r w:rsidRPr="00E72303">
              <w:rPr>
                <w:sz w:val="22"/>
              </w:rPr>
              <w:t>--</w:t>
            </w:r>
          </w:p>
        </w:tc>
        <w:tc>
          <w:tcPr>
            <w:tcW w:w="1620" w:type="dxa"/>
            <w:noWrap/>
            <w:vAlign w:val="center"/>
            <w:hideMark/>
          </w:tcPr>
          <w:p w14:paraId="6FCDEFFB" w14:textId="287660FB" w:rsidR="009C5B73" w:rsidRPr="00E72303" w:rsidRDefault="009C5B73" w:rsidP="007B178E">
            <w:pPr>
              <w:pStyle w:val="1stParagraph"/>
              <w:jc w:val="center"/>
              <w:rPr>
                <w:sz w:val="22"/>
              </w:rPr>
            </w:pPr>
            <w:r w:rsidRPr="00E72303">
              <w:rPr>
                <w:sz w:val="22"/>
              </w:rPr>
              <w:t>-0.51 (-2.65)</w:t>
            </w:r>
          </w:p>
        </w:tc>
        <w:tc>
          <w:tcPr>
            <w:tcW w:w="1525" w:type="dxa"/>
            <w:noWrap/>
            <w:vAlign w:val="center"/>
            <w:hideMark/>
          </w:tcPr>
          <w:p w14:paraId="1E86AA9D" w14:textId="3032E9B5" w:rsidR="009C5B73" w:rsidRPr="00E72303" w:rsidRDefault="00553C2C" w:rsidP="007B178E">
            <w:pPr>
              <w:pStyle w:val="1stParagraph"/>
              <w:jc w:val="center"/>
              <w:rPr>
                <w:sz w:val="22"/>
              </w:rPr>
            </w:pPr>
            <w:r w:rsidRPr="00E72303">
              <w:rPr>
                <w:sz w:val="22"/>
              </w:rPr>
              <w:t>1.34 (4.85)</w:t>
            </w:r>
          </w:p>
        </w:tc>
      </w:tr>
      <w:tr w:rsidR="00E72303" w:rsidRPr="00E72303" w14:paraId="57B86580" w14:textId="77777777" w:rsidTr="0003194E">
        <w:trPr>
          <w:trHeight w:val="20"/>
        </w:trPr>
        <w:tc>
          <w:tcPr>
            <w:tcW w:w="9350" w:type="dxa"/>
            <w:gridSpan w:val="5"/>
            <w:noWrap/>
            <w:vAlign w:val="center"/>
          </w:tcPr>
          <w:p w14:paraId="2D92118F" w14:textId="0711DDB6" w:rsidR="009C5B73" w:rsidRPr="00E72303" w:rsidRDefault="009C5B73" w:rsidP="007B178E">
            <w:pPr>
              <w:pStyle w:val="1stParagraph"/>
              <w:jc w:val="left"/>
              <w:rPr>
                <w:b/>
                <w:bCs/>
                <w:sz w:val="22"/>
              </w:rPr>
            </w:pPr>
            <w:r w:rsidRPr="00E72303">
              <w:rPr>
                <w:b/>
                <w:bCs/>
                <w:i/>
                <w:iCs/>
                <w:sz w:val="22"/>
              </w:rPr>
              <w:t>Economic Characteristics</w:t>
            </w:r>
          </w:p>
        </w:tc>
      </w:tr>
      <w:tr w:rsidR="00E72303" w:rsidRPr="00E72303" w14:paraId="60B1E4E9" w14:textId="77777777" w:rsidTr="0003194E">
        <w:trPr>
          <w:trHeight w:val="20"/>
        </w:trPr>
        <w:tc>
          <w:tcPr>
            <w:tcW w:w="9350" w:type="dxa"/>
            <w:gridSpan w:val="5"/>
            <w:noWrap/>
            <w:vAlign w:val="center"/>
          </w:tcPr>
          <w:p w14:paraId="146779A1" w14:textId="6D5B6382" w:rsidR="009C5B73" w:rsidRPr="00E72303" w:rsidRDefault="009C5B73" w:rsidP="007B178E">
            <w:pPr>
              <w:pStyle w:val="1stParagraph"/>
              <w:jc w:val="left"/>
              <w:rPr>
                <w:sz w:val="22"/>
              </w:rPr>
            </w:pPr>
            <w:r w:rsidRPr="00E72303">
              <w:rPr>
                <w:sz w:val="22"/>
              </w:rPr>
              <w:t>Household income (base: Low and medium income)</w:t>
            </w:r>
          </w:p>
        </w:tc>
      </w:tr>
      <w:tr w:rsidR="00E72303" w:rsidRPr="00E72303" w14:paraId="43DE9C97" w14:textId="77777777" w:rsidTr="0003194E">
        <w:trPr>
          <w:trHeight w:val="20"/>
        </w:trPr>
        <w:tc>
          <w:tcPr>
            <w:tcW w:w="3145" w:type="dxa"/>
            <w:noWrap/>
            <w:vAlign w:val="center"/>
            <w:hideMark/>
          </w:tcPr>
          <w:p w14:paraId="23A7AD2A" w14:textId="275448D2" w:rsidR="009C5B73" w:rsidRPr="00E72303" w:rsidRDefault="009C5B73" w:rsidP="007B178E">
            <w:pPr>
              <w:pStyle w:val="1stParagraph"/>
              <w:ind w:left="288"/>
              <w:jc w:val="left"/>
              <w:rPr>
                <w:sz w:val="22"/>
              </w:rPr>
            </w:pPr>
            <w:r w:rsidRPr="00E72303">
              <w:rPr>
                <w:sz w:val="22"/>
              </w:rPr>
              <w:t>High income</w:t>
            </w:r>
          </w:p>
        </w:tc>
        <w:tc>
          <w:tcPr>
            <w:tcW w:w="1530" w:type="dxa"/>
            <w:noWrap/>
            <w:vAlign w:val="center"/>
            <w:hideMark/>
          </w:tcPr>
          <w:p w14:paraId="246CFC0F" w14:textId="5F6CE143" w:rsidR="009C5B73" w:rsidRPr="00E72303" w:rsidRDefault="00DA3452" w:rsidP="007B178E">
            <w:pPr>
              <w:pStyle w:val="1stParagraph"/>
              <w:jc w:val="center"/>
              <w:rPr>
                <w:sz w:val="22"/>
              </w:rPr>
            </w:pPr>
            <w:r w:rsidRPr="00E72303">
              <w:rPr>
                <w:sz w:val="22"/>
              </w:rPr>
              <w:t>--</w:t>
            </w:r>
          </w:p>
        </w:tc>
        <w:tc>
          <w:tcPr>
            <w:tcW w:w="1530" w:type="dxa"/>
            <w:noWrap/>
            <w:vAlign w:val="center"/>
            <w:hideMark/>
          </w:tcPr>
          <w:p w14:paraId="3D6CC1A5" w14:textId="5F21E13D" w:rsidR="009C5B73" w:rsidRPr="00E72303" w:rsidRDefault="00DA3452" w:rsidP="007B178E">
            <w:pPr>
              <w:pStyle w:val="1stParagraph"/>
              <w:jc w:val="center"/>
              <w:rPr>
                <w:sz w:val="22"/>
              </w:rPr>
            </w:pPr>
            <w:r w:rsidRPr="00E72303">
              <w:rPr>
                <w:sz w:val="22"/>
              </w:rPr>
              <w:t>--</w:t>
            </w:r>
          </w:p>
        </w:tc>
        <w:tc>
          <w:tcPr>
            <w:tcW w:w="1620" w:type="dxa"/>
            <w:noWrap/>
            <w:vAlign w:val="center"/>
            <w:hideMark/>
          </w:tcPr>
          <w:p w14:paraId="112D2731" w14:textId="573CA1DD" w:rsidR="009C5B73" w:rsidRPr="00E72303" w:rsidRDefault="00DA3452" w:rsidP="007B178E">
            <w:pPr>
              <w:pStyle w:val="1stParagraph"/>
              <w:jc w:val="center"/>
              <w:rPr>
                <w:sz w:val="22"/>
              </w:rPr>
            </w:pPr>
            <w:r w:rsidRPr="00E72303">
              <w:rPr>
                <w:sz w:val="22"/>
              </w:rPr>
              <w:t>--</w:t>
            </w:r>
          </w:p>
        </w:tc>
        <w:tc>
          <w:tcPr>
            <w:tcW w:w="1525" w:type="dxa"/>
            <w:noWrap/>
            <w:vAlign w:val="center"/>
            <w:hideMark/>
          </w:tcPr>
          <w:p w14:paraId="56C44D84" w14:textId="23B7FA0F" w:rsidR="009C5B73" w:rsidRPr="00E72303" w:rsidRDefault="009C5B73" w:rsidP="007B178E">
            <w:pPr>
              <w:pStyle w:val="1stParagraph"/>
              <w:jc w:val="center"/>
              <w:rPr>
                <w:sz w:val="22"/>
              </w:rPr>
            </w:pPr>
            <w:r w:rsidRPr="00E72303">
              <w:rPr>
                <w:sz w:val="22"/>
              </w:rPr>
              <w:t>-0.51 (-4.12)</w:t>
            </w:r>
          </w:p>
        </w:tc>
      </w:tr>
      <w:tr w:rsidR="00E72303" w:rsidRPr="00E72303" w14:paraId="42F2E2A3" w14:textId="77777777" w:rsidTr="0003194E">
        <w:trPr>
          <w:trHeight w:val="20"/>
        </w:trPr>
        <w:tc>
          <w:tcPr>
            <w:tcW w:w="9350" w:type="dxa"/>
            <w:gridSpan w:val="5"/>
            <w:noWrap/>
            <w:vAlign w:val="center"/>
          </w:tcPr>
          <w:p w14:paraId="4E2A2C50" w14:textId="5D3C1C98" w:rsidR="009C5B73" w:rsidRPr="00E72303" w:rsidRDefault="009C5B73" w:rsidP="007B178E">
            <w:pPr>
              <w:pStyle w:val="1stParagraph"/>
              <w:jc w:val="left"/>
              <w:rPr>
                <w:b/>
                <w:bCs/>
                <w:sz w:val="22"/>
              </w:rPr>
            </w:pPr>
            <w:r w:rsidRPr="00E72303">
              <w:rPr>
                <w:b/>
                <w:bCs/>
                <w:i/>
                <w:iCs/>
                <w:sz w:val="22"/>
              </w:rPr>
              <w:t>Demographic Characteristics</w:t>
            </w:r>
          </w:p>
        </w:tc>
      </w:tr>
      <w:tr w:rsidR="00E72303" w:rsidRPr="00E72303" w14:paraId="6AD73DAD" w14:textId="77777777" w:rsidTr="0003194E">
        <w:trPr>
          <w:trHeight w:val="20"/>
        </w:trPr>
        <w:tc>
          <w:tcPr>
            <w:tcW w:w="9350" w:type="dxa"/>
            <w:gridSpan w:val="5"/>
            <w:noWrap/>
            <w:vAlign w:val="center"/>
          </w:tcPr>
          <w:p w14:paraId="3CBE47DA" w14:textId="6EC1C283" w:rsidR="009C5B73" w:rsidRPr="00E72303" w:rsidRDefault="009C5B73" w:rsidP="007B178E">
            <w:pPr>
              <w:pStyle w:val="1stParagraph"/>
              <w:jc w:val="left"/>
              <w:rPr>
                <w:i/>
                <w:iCs/>
                <w:sz w:val="22"/>
              </w:rPr>
            </w:pPr>
            <w:r w:rsidRPr="00E72303">
              <w:rPr>
                <w:sz w:val="22"/>
              </w:rPr>
              <w:t>Age (Base: Less than 65 years old)</w:t>
            </w:r>
          </w:p>
        </w:tc>
      </w:tr>
      <w:tr w:rsidR="00E72303" w:rsidRPr="00E72303" w14:paraId="1C24D128" w14:textId="77777777" w:rsidTr="0003194E">
        <w:trPr>
          <w:trHeight w:val="20"/>
        </w:trPr>
        <w:tc>
          <w:tcPr>
            <w:tcW w:w="3145" w:type="dxa"/>
            <w:noWrap/>
            <w:vAlign w:val="center"/>
          </w:tcPr>
          <w:p w14:paraId="7AED5E6E" w14:textId="03E48102" w:rsidR="009C5B73" w:rsidRPr="00E72303" w:rsidRDefault="009C5B73" w:rsidP="007B178E">
            <w:pPr>
              <w:pStyle w:val="1stParagraph"/>
              <w:ind w:left="288"/>
              <w:jc w:val="left"/>
              <w:rPr>
                <w:sz w:val="22"/>
              </w:rPr>
            </w:pPr>
            <w:r w:rsidRPr="00E72303">
              <w:rPr>
                <w:sz w:val="22"/>
              </w:rPr>
              <w:t>Age more than 65 years old</w:t>
            </w:r>
          </w:p>
        </w:tc>
        <w:tc>
          <w:tcPr>
            <w:tcW w:w="1530" w:type="dxa"/>
            <w:noWrap/>
            <w:vAlign w:val="center"/>
          </w:tcPr>
          <w:p w14:paraId="36AE9CC5" w14:textId="7CAC5364" w:rsidR="009C5B73" w:rsidRPr="00E72303" w:rsidRDefault="00DA3452" w:rsidP="007B178E">
            <w:pPr>
              <w:pStyle w:val="1stParagraph"/>
              <w:jc w:val="center"/>
              <w:rPr>
                <w:sz w:val="22"/>
              </w:rPr>
            </w:pPr>
            <w:r w:rsidRPr="00E72303">
              <w:rPr>
                <w:sz w:val="22"/>
              </w:rPr>
              <w:t>--</w:t>
            </w:r>
          </w:p>
        </w:tc>
        <w:tc>
          <w:tcPr>
            <w:tcW w:w="1530" w:type="dxa"/>
            <w:noWrap/>
            <w:vAlign w:val="center"/>
          </w:tcPr>
          <w:p w14:paraId="7D3904F8" w14:textId="7035D7F4" w:rsidR="009C5B73" w:rsidRPr="00E72303" w:rsidRDefault="009C5B73" w:rsidP="007B178E">
            <w:pPr>
              <w:pStyle w:val="1stParagraph"/>
              <w:jc w:val="center"/>
              <w:rPr>
                <w:sz w:val="22"/>
              </w:rPr>
            </w:pPr>
            <w:r w:rsidRPr="00E72303">
              <w:rPr>
                <w:sz w:val="22"/>
              </w:rPr>
              <w:t>-0.53 (-2.74)</w:t>
            </w:r>
          </w:p>
        </w:tc>
        <w:tc>
          <w:tcPr>
            <w:tcW w:w="1620" w:type="dxa"/>
            <w:noWrap/>
            <w:vAlign w:val="center"/>
          </w:tcPr>
          <w:p w14:paraId="5639C4DA" w14:textId="5CAAAE9D" w:rsidR="009C5B73" w:rsidRPr="00E72303" w:rsidRDefault="009C5B73" w:rsidP="007B178E">
            <w:pPr>
              <w:pStyle w:val="1stParagraph"/>
              <w:jc w:val="center"/>
              <w:rPr>
                <w:sz w:val="22"/>
              </w:rPr>
            </w:pPr>
            <w:r w:rsidRPr="00E72303">
              <w:rPr>
                <w:sz w:val="22"/>
              </w:rPr>
              <w:t>0.34 (3.95)</w:t>
            </w:r>
          </w:p>
        </w:tc>
        <w:tc>
          <w:tcPr>
            <w:tcW w:w="1525" w:type="dxa"/>
            <w:noWrap/>
            <w:vAlign w:val="center"/>
          </w:tcPr>
          <w:p w14:paraId="5424A041" w14:textId="7A78D762" w:rsidR="009C5B73" w:rsidRPr="00E72303" w:rsidRDefault="00DA3452" w:rsidP="007B178E">
            <w:pPr>
              <w:pStyle w:val="1stParagraph"/>
              <w:jc w:val="center"/>
              <w:rPr>
                <w:sz w:val="22"/>
              </w:rPr>
            </w:pPr>
            <w:r w:rsidRPr="00E72303">
              <w:rPr>
                <w:sz w:val="22"/>
              </w:rPr>
              <w:t>--</w:t>
            </w:r>
          </w:p>
        </w:tc>
      </w:tr>
      <w:tr w:rsidR="00E72303" w:rsidRPr="00E72303" w14:paraId="0D96EB91" w14:textId="77777777" w:rsidTr="0003194E">
        <w:trPr>
          <w:trHeight w:val="20"/>
        </w:trPr>
        <w:tc>
          <w:tcPr>
            <w:tcW w:w="9350" w:type="dxa"/>
            <w:gridSpan w:val="5"/>
            <w:noWrap/>
            <w:vAlign w:val="center"/>
          </w:tcPr>
          <w:p w14:paraId="285630B2" w14:textId="6884ECE3" w:rsidR="00E55421" w:rsidRPr="00E72303" w:rsidRDefault="0048219B" w:rsidP="007B178E">
            <w:pPr>
              <w:pStyle w:val="1stParagraph"/>
              <w:jc w:val="center"/>
              <w:rPr>
                <w:b/>
                <w:bCs/>
                <w:sz w:val="22"/>
              </w:rPr>
            </w:pPr>
            <w:r w:rsidRPr="00E72303">
              <w:rPr>
                <w:b/>
                <w:bCs/>
                <w:sz w:val="22"/>
              </w:rPr>
              <w:t>NHTS Data</w:t>
            </w:r>
          </w:p>
        </w:tc>
      </w:tr>
      <w:tr w:rsidR="00E72303" w:rsidRPr="00E72303" w14:paraId="1274D6DD" w14:textId="77777777" w:rsidTr="0003194E">
        <w:trPr>
          <w:trHeight w:val="20"/>
        </w:trPr>
        <w:tc>
          <w:tcPr>
            <w:tcW w:w="9350" w:type="dxa"/>
            <w:gridSpan w:val="5"/>
            <w:noWrap/>
            <w:vAlign w:val="center"/>
          </w:tcPr>
          <w:p w14:paraId="39447622" w14:textId="68207B89" w:rsidR="0048219B" w:rsidRPr="00E72303" w:rsidRDefault="0048219B" w:rsidP="007B178E">
            <w:pPr>
              <w:pStyle w:val="1stParagraph"/>
              <w:jc w:val="left"/>
              <w:rPr>
                <w:b/>
                <w:bCs/>
                <w:sz w:val="22"/>
              </w:rPr>
            </w:pPr>
            <w:r w:rsidRPr="00E72303">
              <w:rPr>
                <w:b/>
                <w:bCs/>
                <w:i/>
                <w:iCs/>
                <w:sz w:val="22"/>
              </w:rPr>
              <w:t>Economic Characteristics</w:t>
            </w:r>
          </w:p>
        </w:tc>
      </w:tr>
      <w:tr w:rsidR="00E72303" w:rsidRPr="00E72303" w14:paraId="0A282FB1" w14:textId="77777777" w:rsidTr="0003194E">
        <w:trPr>
          <w:trHeight w:val="20"/>
        </w:trPr>
        <w:tc>
          <w:tcPr>
            <w:tcW w:w="9350" w:type="dxa"/>
            <w:gridSpan w:val="5"/>
            <w:noWrap/>
            <w:vAlign w:val="center"/>
          </w:tcPr>
          <w:p w14:paraId="6FB4E7A9" w14:textId="2A921134" w:rsidR="009C5B73" w:rsidRPr="00E72303" w:rsidRDefault="009C5B73" w:rsidP="007B178E">
            <w:pPr>
              <w:pStyle w:val="1stParagraph"/>
              <w:jc w:val="left"/>
              <w:rPr>
                <w:sz w:val="22"/>
              </w:rPr>
            </w:pPr>
            <w:r w:rsidRPr="00E72303">
              <w:rPr>
                <w:sz w:val="22"/>
              </w:rPr>
              <w:t>Household ownership (Base: Own a house)</w:t>
            </w:r>
          </w:p>
        </w:tc>
      </w:tr>
      <w:tr w:rsidR="00E72303" w:rsidRPr="00E72303" w14:paraId="49DF12BA" w14:textId="77777777" w:rsidTr="0003194E">
        <w:trPr>
          <w:trHeight w:val="20"/>
        </w:trPr>
        <w:tc>
          <w:tcPr>
            <w:tcW w:w="3145" w:type="dxa"/>
            <w:noWrap/>
            <w:vAlign w:val="center"/>
            <w:hideMark/>
          </w:tcPr>
          <w:p w14:paraId="42BA3EFD" w14:textId="6A41F256" w:rsidR="009C5B73" w:rsidRPr="00E72303" w:rsidRDefault="009C5B73" w:rsidP="007B178E">
            <w:pPr>
              <w:pStyle w:val="1stParagraph"/>
              <w:jc w:val="left"/>
              <w:rPr>
                <w:sz w:val="22"/>
              </w:rPr>
            </w:pPr>
            <w:r w:rsidRPr="00E72303">
              <w:rPr>
                <w:sz w:val="22"/>
              </w:rPr>
              <w:t>Rent</w:t>
            </w:r>
            <w:r w:rsidR="0048219B" w:rsidRPr="00E72303">
              <w:rPr>
                <w:sz w:val="22"/>
              </w:rPr>
              <w:t xml:space="preserve"> a house</w:t>
            </w:r>
          </w:p>
        </w:tc>
        <w:tc>
          <w:tcPr>
            <w:tcW w:w="1530" w:type="dxa"/>
            <w:noWrap/>
            <w:vAlign w:val="center"/>
            <w:hideMark/>
          </w:tcPr>
          <w:p w14:paraId="2DA6A43D" w14:textId="4070C6B8" w:rsidR="009C5B73" w:rsidRPr="00E72303" w:rsidRDefault="00DA3452" w:rsidP="007B178E">
            <w:pPr>
              <w:pStyle w:val="1stParagraph"/>
              <w:jc w:val="center"/>
              <w:rPr>
                <w:sz w:val="22"/>
              </w:rPr>
            </w:pPr>
            <w:r w:rsidRPr="00E72303">
              <w:rPr>
                <w:sz w:val="22"/>
              </w:rPr>
              <w:t>--</w:t>
            </w:r>
          </w:p>
        </w:tc>
        <w:tc>
          <w:tcPr>
            <w:tcW w:w="1530" w:type="dxa"/>
            <w:noWrap/>
            <w:vAlign w:val="center"/>
            <w:hideMark/>
          </w:tcPr>
          <w:p w14:paraId="70192223" w14:textId="52236B80" w:rsidR="009C5B73" w:rsidRPr="00E72303" w:rsidRDefault="009C5B73" w:rsidP="007B178E">
            <w:pPr>
              <w:pStyle w:val="1stParagraph"/>
              <w:jc w:val="center"/>
              <w:rPr>
                <w:sz w:val="22"/>
              </w:rPr>
            </w:pPr>
            <w:r w:rsidRPr="00E72303">
              <w:rPr>
                <w:sz w:val="22"/>
              </w:rPr>
              <w:t>2.32 (8.89)</w:t>
            </w:r>
          </w:p>
        </w:tc>
        <w:tc>
          <w:tcPr>
            <w:tcW w:w="1620" w:type="dxa"/>
            <w:noWrap/>
            <w:vAlign w:val="center"/>
            <w:hideMark/>
          </w:tcPr>
          <w:p w14:paraId="122B6B8A" w14:textId="76BA0C5D" w:rsidR="009C5B73" w:rsidRPr="00E72303" w:rsidRDefault="00DA3452" w:rsidP="007B178E">
            <w:pPr>
              <w:pStyle w:val="1stParagraph"/>
              <w:jc w:val="center"/>
              <w:rPr>
                <w:sz w:val="22"/>
              </w:rPr>
            </w:pPr>
            <w:r w:rsidRPr="00E72303">
              <w:rPr>
                <w:sz w:val="22"/>
              </w:rPr>
              <w:t>--</w:t>
            </w:r>
          </w:p>
        </w:tc>
        <w:tc>
          <w:tcPr>
            <w:tcW w:w="1525" w:type="dxa"/>
            <w:noWrap/>
            <w:vAlign w:val="center"/>
            <w:hideMark/>
          </w:tcPr>
          <w:p w14:paraId="14137794" w14:textId="0C297F0D" w:rsidR="009C5B73" w:rsidRPr="00E72303" w:rsidRDefault="009C5B73" w:rsidP="007B178E">
            <w:pPr>
              <w:pStyle w:val="1stParagraph"/>
              <w:jc w:val="center"/>
              <w:rPr>
                <w:sz w:val="22"/>
              </w:rPr>
            </w:pPr>
            <w:r w:rsidRPr="00E72303">
              <w:rPr>
                <w:sz w:val="22"/>
              </w:rPr>
              <w:t>-8.48 (-2.42)</w:t>
            </w:r>
          </w:p>
        </w:tc>
      </w:tr>
      <w:tr w:rsidR="00E72303" w:rsidRPr="00E72303" w14:paraId="212EF771" w14:textId="77777777" w:rsidTr="0003194E">
        <w:trPr>
          <w:trHeight w:val="20"/>
        </w:trPr>
        <w:tc>
          <w:tcPr>
            <w:tcW w:w="9350" w:type="dxa"/>
            <w:gridSpan w:val="5"/>
            <w:noWrap/>
            <w:vAlign w:val="center"/>
          </w:tcPr>
          <w:p w14:paraId="0DDE38A0" w14:textId="2B49A8DF" w:rsidR="009C5B73" w:rsidRPr="00E72303" w:rsidRDefault="0048219B" w:rsidP="007B178E">
            <w:pPr>
              <w:pStyle w:val="1stParagraph"/>
              <w:jc w:val="left"/>
              <w:rPr>
                <w:b/>
                <w:bCs/>
                <w:sz w:val="22"/>
              </w:rPr>
            </w:pPr>
            <w:r w:rsidRPr="00E72303">
              <w:rPr>
                <w:b/>
                <w:bCs/>
                <w:i/>
                <w:iCs/>
                <w:sz w:val="22"/>
              </w:rPr>
              <w:t>Demographic Characteristics</w:t>
            </w:r>
          </w:p>
        </w:tc>
      </w:tr>
      <w:tr w:rsidR="00E72303" w:rsidRPr="00E72303" w14:paraId="59DCD82A" w14:textId="77777777" w:rsidTr="0003194E">
        <w:trPr>
          <w:trHeight w:val="20"/>
        </w:trPr>
        <w:tc>
          <w:tcPr>
            <w:tcW w:w="9350" w:type="dxa"/>
            <w:gridSpan w:val="5"/>
            <w:noWrap/>
            <w:vAlign w:val="center"/>
          </w:tcPr>
          <w:p w14:paraId="7140B140" w14:textId="7A9DFBF0" w:rsidR="0048219B" w:rsidRPr="00E72303" w:rsidRDefault="0048219B" w:rsidP="007B178E">
            <w:pPr>
              <w:pStyle w:val="1stParagraph"/>
              <w:jc w:val="left"/>
              <w:rPr>
                <w:sz w:val="22"/>
              </w:rPr>
            </w:pPr>
            <w:r w:rsidRPr="00E72303">
              <w:rPr>
                <w:sz w:val="22"/>
              </w:rPr>
              <w:t>Population density (Base: High and medium density)</w:t>
            </w:r>
          </w:p>
        </w:tc>
      </w:tr>
      <w:tr w:rsidR="00E72303" w:rsidRPr="00E72303" w14:paraId="13C50ED8" w14:textId="77777777" w:rsidTr="0003194E">
        <w:trPr>
          <w:trHeight w:val="20"/>
        </w:trPr>
        <w:tc>
          <w:tcPr>
            <w:tcW w:w="3145" w:type="dxa"/>
            <w:noWrap/>
            <w:vAlign w:val="center"/>
            <w:hideMark/>
          </w:tcPr>
          <w:p w14:paraId="21D76F10" w14:textId="77777777" w:rsidR="009C5B73" w:rsidRPr="00E72303" w:rsidRDefault="009C5B73" w:rsidP="007B178E">
            <w:pPr>
              <w:pStyle w:val="1stParagraph"/>
              <w:ind w:left="288"/>
              <w:jc w:val="left"/>
              <w:rPr>
                <w:sz w:val="22"/>
              </w:rPr>
            </w:pPr>
            <w:r w:rsidRPr="00E72303">
              <w:rPr>
                <w:sz w:val="22"/>
              </w:rPr>
              <w:t>Low population density</w:t>
            </w:r>
          </w:p>
        </w:tc>
        <w:tc>
          <w:tcPr>
            <w:tcW w:w="1530" w:type="dxa"/>
            <w:noWrap/>
            <w:vAlign w:val="center"/>
            <w:hideMark/>
          </w:tcPr>
          <w:p w14:paraId="1F0F714A" w14:textId="4D2642F4" w:rsidR="009C5B73" w:rsidRPr="00E72303" w:rsidRDefault="009C5B73" w:rsidP="007B178E">
            <w:pPr>
              <w:pStyle w:val="1stParagraph"/>
              <w:jc w:val="center"/>
              <w:rPr>
                <w:sz w:val="22"/>
              </w:rPr>
            </w:pPr>
            <w:r w:rsidRPr="00E72303">
              <w:rPr>
                <w:sz w:val="22"/>
              </w:rPr>
              <w:t>0.41 (2.60)</w:t>
            </w:r>
          </w:p>
        </w:tc>
        <w:tc>
          <w:tcPr>
            <w:tcW w:w="1530" w:type="dxa"/>
            <w:noWrap/>
            <w:vAlign w:val="center"/>
            <w:hideMark/>
          </w:tcPr>
          <w:p w14:paraId="132DD743" w14:textId="71DC8E7D" w:rsidR="009C5B73" w:rsidRPr="00E72303" w:rsidRDefault="00DA3452" w:rsidP="007B178E">
            <w:pPr>
              <w:pStyle w:val="1stParagraph"/>
              <w:jc w:val="center"/>
              <w:rPr>
                <w:sz w:val="22"/>
              </w:rPr>
            </w:pPr>
            <w:r w:rsidRPr="00E72303">
              <w:rPr>
                <w:sz w:val="22"/>
              </w:rPr>
              <w:t>--</w:t>
            </w:r>
          </w:p>
        </w:tc>
        <w:tc>
          <w:tcPr>
            <w:tcW w:w="1620" w:type="dxa"/>
            <w:noWrap/>
            <w:vAlign w:val="center"/>
            <w:hideMark/>
          </w:tcPr>
          <w:p w14:paraId="21F37E93" w14:textId="743A4C6A" w:rsidR="009C5B73" w:rsidRPr="00E72303" w:rsidRDefault="009C5B73" w:rsidP="007B178E">
            <w:pPr>
              <w:pStyle w:val="1stParagraph"/>
              <w:jc w:val="center"/>
              <w:rPr>
                <w:sz w:val="22"/>
              </w:rPr>
            </w:pPr>
            <w:r w:rsidRPr="00E72303">
              <w:rPr>
                <w:sz w:val="22"/>
              </w:rPr>
              <w:t>-0.30 (-2.14)</w:t>
            </w:r>
          </w:p>
        </w:tc>
        <w:tc>
          <w:tcPr>
            <w:tcW w:w="1525" w:type="dxa"/>
            <w:noWrap/>
            <w:vAlign w:val="center"/>
            <w:hideMark/>
          </w:tcPr>
          <w:p w14:paraId="0F3F8B06" w14:textId="48D793D9" w:rsidR="009C5B73" w:rsidRPr="00E72303" w:rsidRDefault="00DA3452" w:rsidP="007B178E">
            <w:pPr>
              <w:pStyle w:val="1stParagraph"/>
              <w:jc w:val="center"/>
              <w:rPr>
                <w:sz w:val="22"/>
              </w:rPr>
            </w:pPr>
            <w:r w:rsidRPr="00E72303">
              <w:rPr>
                <w:sz w:val="22"/>
              </w:rPr>
              <w:t>--</w:t>
            </w:r>
          </w:p>
        </w:tc>
      </w:tr>
      <w:tr w:rsidR="00E72303" w:rsidRPr="00E72303" w14:paraId="1E18C11B" w14:textId="77777777" w:rsidTr="0003194E">
        <w:trPr>
          <w:trHeight w:val="20"/>
        </w:trPr>
        <w:tc>
          <w:tcPr>
            <w:tcW w:w="9350" w:type="dxa"/>
            <w:gridSpan w:val="5"/>
            <w:noWrap/>
            <w:vAlign w:val="center"/>
          </w:tcPr>
          <w:p w14:paraId="09D727A6" w14:textId="77777777" w:rsidR="009C5B73" w:rsidRPr="00E72303" w:rsidRDefault="009C5B73" w:rsidP="007B178E">
            <w:pPr>
              <w:pStyle w:val="1stParagraph"/>
              <w:jc w:val="left"/>
              <w:rPr>
                <w:sz w:val="22"/>
              </w:rPr>
            </w:pPr>
            <w:r w:rsidRPr="00E72303">
              <w:rPr>
                <w:sz w:val="22"/>
              </w:rPr>
              <w:t>Gender (Base: Proportion of female)</w:t>
            </w:r>
          </w:p>
        </w:tc>
      </w:tr>
      <w:tr w:rsidR="00E72303" w:rsidRPr="00E72303" w14:paraId="367CE14C" w14:textId="77777777" w:rsidTr="0003194E">
        <w:trPr>
          <w:trHeight w:val="20"/>
        </w:trPr>
        <w:tc>
          <w:tcPr>
            <w:tcW w:w="3145" w:type="dxa"/>
            <w:noWrap/>
            <w:vAlign w:val="center"/>
            <w:hideMark/>
          </w:tcPr>
          <w:p w14:paraId="36B4EC52" w14:textId="77777777" w:rsidR="009C5B73" w:rsidRPr="00E72303" w:rsidRDefault="009C5B73" w:rsidP="007B178E">
            <w:pPr>
              <w:pStyle w:val="1stParagraph"/>
              <w:ind w:left="288"/>
              <w:jc w:val="left"/>
              <w:rPr>
                <w:sz w:val="22"/>
              </w:rPr>
            </w:pPr>
            <w:r w:rsidRPr="00E72303">
              <w:rPr>
                <w:sz w:val="22"/>
              </w:rPr>
              <w:t>Proportion of male</w:t>
            </w:r>
          </w:p>
        </w:tc>
        <w:tc>
          <w:tcPr>
            <w:tcW w:w="1530" w:type="dxa"/>
            <w:noWrap/>
            <w:vAlign w:val="center"/>
            <w:hideMark/>
          </w:tcPr>
          <w:p w14:paraId="46CAEBCB" w14:textId="521196F8" w:rsidR="009C5B73" w:rsidRPr="00E72303" w:rsidRDefault="00DA3452" w:rsidP="007B178E">
            <w:pPr>
              <w:pStyle w:val="1stParagraph"/>
              <w:jc w:val="center"/>
              <w:rPr>
                <w:sz w:val="22"/>
              </w:rPr>
            </w:pPr>
            <w:r w:rsidRPr="00E72303">
              <w:rPr>
                <w:sz w:val="22"/>
              </w:rPr>
              <w:t>--</w:t>
            </w:r>
          </w:p>
        </w:tc>
        <w:tc>
          <w:tcPr>
            <w:tcW w:w="1530" w:type="dxa"/>
            <w:noWrap/>
            <w:vAlign w:val="center"/>
            <w:hideMark/>
          </w:tcPr>
          <w:p w14:paraId="1EB18E43" w14:textId="0BBDECFF" w:rsidR="009C5B73" w:rsidRPr="00E72303" w:rsidRDefault="009C5B73" w:rsidP="007B178E">
            <w:pPr>
              <w:pStyle w:val="1stParagraph"/>
              <w:jc w:val="center"/>
              <w:rPr>
                <w:sz w:val="22"/>
              </w:rPr>
            </w:pPr>
            <w:r w:rsidRPr="00E72303">
              <w:rPr>
                <w:sz w:val="22"/>
              </w:rPr>
              <w:t>-2.05 (-2.97)</w:t>
            </w:r>
          </w:p>
        </w:tc>
        <w:tc>
          <w:tcPr>
            <w:tcW w:w="1620" w:type="dxa"/>
            <w:noWrap/>
            <w:vAlign w:val="center"/>
            <w:hideMark/>
          </w:tcPr>
          <w:p w14:paraId="77C05C4C" w14:textId="098CC7DB" w:rsidR="009C5B73" w:rsidRPr="00E72303" w:rsidRDefault="009C5B73" w:rsidP="007B178E">
            <w:pPr>
              <w:pStyle w:val="1stParagraph"/>
              <w:jc w:val="center"/>
              <w:rPr>
                <w:sz w:val="22"/>
              </w:rPr>
            </w:pPr>
            <w:r w:rsidRPr="00E72303">
              <w:rPr>
                <w:sz w:val="22"/>
              </w:rPr>
              <w:t>-0.62 (-1.67)</w:t>
            </w:r>
          </w:p>
        </w:tc>
        <w:tc>
          <w:tcPr>
            <w:tcW w:w="1525" w:type="dxa"/>
            <w:noWrap/>
            <w:vAlign w:val="center"/>
            <w:hideMark/>
          </w:tcPr>
          <w:p w14:paraId="3CFC4F59" w14:textId="25D04302" w:rsidR="009C5B73" w:rsidRPr="00E72303" w:rsidRDefault="009C5B73" w:rsidP="007B178E">
            <w:pPr>
              <w:pStyle w:val="1stParagraph"/>
              <w:jc w:val="center"/>
              <w:rPr>
                <w:sz w:val="22"/>
              </w:rPr>
            </w:pPr>
            <w:r w:rsidRPr="00E72303">
              <w:rPr>
                <w:sz w:val="22"/>
              </w:rPr>
              <w:t>1.76 (1.81)</w:t>
            </w:r>
          </w:p>
        </w:tc>
      </w:tr>
      <w:tr w:rsidR="00E72303" w:rsidRPr="00E72303" w14:paraId="4DAD566C" w14:textId="77777777" w:rsidTr="0003194E">
        <w:trPr>
          <w:trHeight w:val="20"/>
        </w:trPr>
        <w:tc>
          <w:tcPr>
            <w:tcW w:w="9350" w:type="dxa"/>
            <w:gridSpan w:val="5"/>
            <w:noWrap/>
            <w:vAlign w:val="center"/>
          </w:tcPr>
          <w:p w14:paraId="78C23662" w14:textId="4CAAFB5E" w:rsidR="0048219B" w:rsidRPr="00E72303" w:rsidRDefault="0048219B" w:rsidP="007B178E">
            <w:pPr>
              <w:pStyle w:val="1stParagraph"/>
              <w:jc w:val="center"/>
              <w:rPr>
                <w:b/>
                <w:bCs/>
                <w:sz w:val="22"/>
              </w:rPr>
            </w:pPr>
            <w:r w:rsidRPr="00E72303">
              <w:rPr>
                <w:b/>
                <w:bCs/>
                <w:sz w:val="22"/>
              </w:rPr>
              <w:t>Weight Variable</w:t>
            </w:r>
          </w:p>
        </w:tc>
      </w:tr>
      <w:tr w:rsidR="0048219B" w:rsidRPr="00E72303" w14:paraId="5468108B" w14:textId="77777777" w:rsidTr="0003194E">
        <w:trPr>
          <w:trHeight w:val="20"/>
        </w:trPr>
        <w:tc>
          <w:tcPr>
            <w:tcW w:w="3145" w:type="dxa"/>
            <w:noWrap/>
            <w:vAlign w:val="center"/>
            <w:hideMark/>
          </w:tcPr>
          <w:p w14:paraId="6FDC03E3" w14:textId="0417F2C9" w:rsidR="0048219B" w:rsidRPr="00E72303" w:rsidRDefault="0048219B" w:rsidP="007B178E">
            <w:pPr>
              <w:pStyle w:val="1stParagraph"/>
              <w:jc w:val="left"/>
              <w:rPr>
                <w:sz w:val="22"/>
              </w:rPr>
            </w:pPr>
            <w:r w:rsidRPr="00E72303">
              <w:rPr>
                <w:sz w:val="22"/>
              </w:rPr>
              <w:t>Age</w:t>
            </w:r>
          </w:p>
        </w:tc>
        <w:tc>
          <w:tcPr>
            <w:tcW w:w="6205" w:type="dxa"/>
            <w:gridSpan w:val="4"/>
            <w:noWrap/>
            <w:vAlign w:val="center"/>
            <w:hideMark/>
          </w:tcPr>
          <w:p w14:paraId="6CAA1803" w14:textId="70446FF8" w:rsidR="0048219B" w:rsidRPr="00E72303" w:rsidRDefault="0048219B" w:rsidP="007B178E">
            <w:pPr>
              <w:pStyle w:val="1stParagraph"/>
              <w:jc w:val="center"/>
              <w:rPr>
                <w:sz w:val="22"/>
              </w:rPr>
            </w:pPr>
            <w:r w:rsidRPr="00E72303">
              <w:rPr>
                <w:sz w:val="22"/>
              </w:rPr>
              <w:t>0.60 (2.25)</w:t>
            </w:r>
          </w:p>
        </w:tc>
      </w:tr>
    </w:tbl>
    <w:p w14:paraId="20B8DAB4" w14:textId="77777777" w:rsidR="00C60729" w:rsidRPr="00E72303" w:rsidRDefault="00C60729" w:rsidP="007B178E">
      <w:pPr>
        <w:ind w:firstLine="0"/>
      </w:pPr>
    </w:p>
    <w:p w14:paraId="2C393255" w14:textId="6A359521" w:rsidR="00C60729" w:rsidRPr="00E72303" w:rsidRDefault="0031348F" w:rsidP="007B178E">
      <w:pPr>
        <w:pStyle w:val="Heading1"/>
        <w:rPr>
          <w:color w:val="auto"/>
        </w:rPr>
      </w:pPr>
      <w:r w:rsidRPr="00E72303">
        <w:rPr>
          <w:color w:val="auto"/>
        </w:rPr>
        <w:lastRenderedPageBreak/>
        <w:t>Model Validation</w:t>
      </w:r>
    </w:p>
    <w:p w14:paraId="080FA29A" w14:textId="5BD07155" w:rsidR="00DD4FD9" w:rsidRPr="00E72303" w:rsidRDefault="00D3075B" w:rsidP="007B178E">
      <w:pPr>
        <w:ind w:firstLine="0"/>
      </w:pPr>
      <w:r w:rsidRPr="00E72303">
        <w:t xml:space="preserve">To </w:t>
      </w:r>
      <w:r w:rsidR="00D35DDF" w:rsidRPr="00E72303">
        <w:t>evaluate</w:t>
      </w:r>
      <w:r w:rsidRPr="00E72303">
        <w:t xml:space="preserve"> the performance of </w:t>
      </w:r>
      <w:r w:rsidR="00674312" w:rsidRPr="00E72303">
        <w:t xml:space="preserve">the </w:t>
      </w:r>
      <w:r w:rsidRPr="00E72303">
        <w:t>proposed fusion model, a prediction exercise was conducted at different census region</w:t>
      </w:r>
      <w:r w:rsidR="0047406A" w:rsidRPr="00E72303">
        <w:t>s</w:t>
      </w:r>
      <w:r w:rsidRPr="00E72303">
        <w:t xml:space="preserve"> using a validation dataset</w:t>
      </w:r>
      <w:r w:rsidR="00CE7521" w:rsidRPr="00E72303">
        <w:t xml:space="preserve"> of </w:t>
      </w:r>
      <w:r w:rsidR="00D25A9B" w:rsidRPr="00E72303">
        <w:rPr>
          <w:i/>
          <w:iCs/>
        </w:rPr>
        <w:t>4,000</w:t>
      </w:r>
      <w:r w:rsidR="00CE7521" w:rsidRPr="00E72303">
        <w:t xml:space="preserve"> records</w:t>
      </w:r>
      <w:r w:rsidR="00D25A9B" w:rsidRPr="00E72303">
        <w:t xml:space="preserve"> (</w:t>
      </w:r>
      <w:r w:rsidR="00D25A9B" w:rsidRPr="00E72303">
        <w:rPr>
          <w:i/>
          <w:iCs/>
        </w:rPr>
        <w:t>1,000</w:t>
      </w:r>
      <w:r w:rsidR="00D25A9B" w:rsidRPr="00E72303">
        <w:t xml:space="preserve"> records from each region)</w:t>
      </w:r>
      <w:r w:rsidRPr="00E72303">
        <w:t xml:space="preserve">. </w:t>
      </w:r>
      <w:r w:rsidR="00335473" w:rsidRPr="00E72303">
        <w:t xml:space="preserve">In the validation exercise, we evaluated the model performance of the </w:t>
      </w:r>
      <w:proofErr w:type="spellStart"/>
      <w:r w:rsidR="00102931" w:rsidRPr="00E72303">
        <w:t>MaritzCX</w:t>
      </w:r>
      <w:proofErr w:type="spellEnd"/>
      <w:r w:rsidR="00102931" w:rsidRPr="00E72303">
        <w:t xml:space="preserve"> only </w:t>
      </w:r>
      <w:r w:rsidR="00335473" w:rsidRPr="00E72303">
        <w:t xml:space="preserve">model (that includes only </w:t>
      </w:r>
      <w:proofErr w:type="spellStart"/>
      <w:r w:rsidR="00335473" w:rsidRPr="00E72303">
        <w:t>MaritzCX</w:t>
      </w:r>
      <w:proofErr w:type="spellEnd"/>
      <w:r w:rsidR="00335473" w:rsidRPr="00E72303">
        <w:t xml:space="preserve"> variables) and the fusion model (that includes both </w:t>
      </w:r>
      <w:proofErr w:type="spellStart"/>
      <w:r w:rsidR="00335473" w:rsidRPr="00E72303">
        <w:t>MaritzCX</w:t>
      </w:r>
      <w:proofErr w:type="spellEnd"/>
      <w:r w:rsidR="00335473" w:rsidRPr="00E72303">
        <w:t xml:space="preserve"> and NHTS variables). The predicted LL</w:t>
      </w:r>
      <w:r w:rsidR="007F7D57" w:rsidRPr="00E72303">
        <w:t xml:space="preserve"> (BIC)</w:t>
      </w:r>
      <w:r w:rsidR="00335473" w:rsidRPr="00E72303">
        <w:t xml:space="preserve"> values for the </w:t>
      </w:r>
      <w:proofErr w:type="spellStart"/>
      <w:r w:rsidR="00956052" w:rsidRPr="00E72303">
        <w:t>MaritzCX</w:t>
      </w:r>
      <w:proofErr w:type="spellEnd"/>
      <w:r w:rsidR="00D25A9B" w:rsidRPr="00E72303">
        <w:t xml:space="preserve"> </w:t>
      </w:r>
      <w:r w:rsidR="001A5F1A" w:rsidRPr="00E72303">
        <w:t xml:space="preserve">only </w:t>
      </w:r>
      <w:r w:rsidR="00335473" w:rsidRPr="00E72303">
        <w:t>model and the fusion model are</w:t>
      </w:r>
      <w:r w:rsidR="00D25A9B" w:rsidRPr="00E72303">
        <w:t xml:space="preserve"> </w:t>
      </w:r>
      <w:r w:rsidR="00D25A9B" w:rsidRPr="00E72303">
        <w:rPr>
          <w:i/>
          <w:iCs/>
        </w:rPr>
        <w:t>-4,445</w:t>
      </w:r>
      <w:r w:rsidR="007F7D57" w:rsidRPr="00E72303">
        <w:rPr>
          <w:i/>
          <w:iCs/>
        </w:rPr>
        <w:t xml:space="preserve"> (9,106)</w:t>
      </w:r>
      <w:r w:rsidR="00D25A9B" w:rsidRPr="00E72303">
        <w:t xml:space="preserve"> and </w:t>
      </w:r>
      <w:r w:rsidR="00D25A9B" w:rsidRPr="00E72303">
        <w:rPr>
          <w:i/>
          <w:iCs/>
        </w:rPr>
        <w:t>-4,409</w:t>
      </w:r>
      <w:r w:rsidR="007F7D57" w:rsidRPr="00E72303">
        <w:rPr>
          <w:i/>
          <w:iCs/>
        </w:rPr>
        <w:t xml:space="preserve"> (9,100)</w:t>
      </w:r>
      <w:r w:rsidR="00D25A9B" w:rsidRPr="00E72303">
        <w:t xml:space="preserve"> </w:t>
      </w:r>
      <w:r w:rsidR="00335473" w:rsidRPr="00E72303">
        <w:t xml:space="preserve">respectively. </w:t>
      </w:r>
      <w:r w:rsidR="007E44A3" w:rsidRPr="00E72303">
        <w:t xml:space="preserve">Thus, the test statistic of the log-likelihood ratio test is </w:t>
      </w:r>
      <w:r w:rsidR="007E44A3" w:rsidRPr="00E72303">
        <w:rPr>
          <w:i/>
          <w:iCs/>
        </w:rPr>
        <w:t xml:space="preserve">(2(-4409+4445)) </w:t>
      </w:r>
      <w:r w:rsidR="007E44A3" w:rsidRPr="00E72303">
        <w:t>or</w:t>
      </w:r>
      <w:r w:rsidR="007E44A3" w:rsidRPr="00E72303">
        <w:rPr>
          <w:i/>
          <w:iCs/>
        </w:rPr>
        <w:t xml:space="preserve"> 72</w:t>
      </w:r>
      <w:r w:rsidR="007E44A3" w:rsidRPr="00E72303">
        <w:t xml:space="preserve">, with an additional eight parameters in the fusion model. The test statistic obtained is greater than the corresponding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012857" w:rsidRPr="00E72303">
        <w:rPr>
          <w:rFonts w:eastAsiaTheme="minorEastAsia"/>
        </w:rPr>
        <w:t xml:space="preserve"> </w:t>
      </w:r>
      <w:r w:rsidR="007E44A3" w:rsidRPr="00E72303">
        <w:t xml:space="preserve">value at any level of significance highlighting the superiority of the proposed model. </w:t>
      </w:r>
      <w:r w:rsidR="00771E28" w:rsidRPr="00E72303">
        <w:t>Clearly, the fused</w:t>
      </w:r>
      <w:r w:rsidR="00335473" w:rsidRPr="00E72303">
        <w:t xml:space="preserve"> </w:t>
      </w:r>
      <w:r w:rsidR="00771E28" w:rsidRPr="00E72303">
        <w:t xml:space="preserve">model offered significant improvement highlighting the value of the new independent variables form NHTS dataset. </w:t>
      </w:r>
      <w:r w:rsidR="0017437C" w:rsidRPr="00E72303">
        <w:t xml:space="preserve">In addition, we computed the prediction accuracies of the two modeling frameworks on the validation data. For this purpose, we computed the number of records for which the chosen alternative has the highest predicted probability. The results indicate that the fusion model (prediction accuracy = </w:t>
      </w:r>
      <w:r w:rsidR="0017437C" w:rsidRPr="00E72303">
        <w:rPr>
          <w:i/>
          <w:iCs/>
        </w:rPr>
        <w:t>71.4%</w:t>
      </w:r>
      <w:r w:rsidR="0017437C" w:rsidRPr="00E72303">
        <w:t xml:space="preserve">) outperforms the </w:t>
      </w:r>
      <w:proofErr w:type="spellStart"/>
      <w:r w:rsidR="0017437C" w:rsidRPr="00E72303">
        <w:t>MaritzCX</w:t>
      </w:r>
      <w:proofErr w:type="spellEnd"/>
      <w:r w:rsidR="0017437C" w:rsidRPr="00E72303">
        <w:t xml:space="preserve"> only model (prediction accuracy = </w:t>
      </w:r>
      <w:r w:rsidR="0017437C" w:rsidRPr="00E72303">
        <w:rPr>
          <w:i/>
          <w:iCs/>
        </w:rPr>
        <w:t>69.5%</w:t>
      </w:r>
      <w:r w:rsidR="0017437C" w:rsidRPr="00E72303">
        <w:t>)</w:t>
      </w:r>
      <w:r w:rsidR="0029542B" w:rsidRPr="00E72303">
        <w:rPr>
          <w:i/>
          <w:iCs/>
        </w:rPr>
        <w:t>.</w:t>
      </w:r>
      <w:r w:rsidR="00AE3372" w:rsidRPr="00E72303">
        <w:t xml:space="preserve"> </w:t>
      </w:r>
      <w:r w:rsidR="00771E28" w:rsidRPr="00E72303">
        <w:t xml:space="preserve">Further, we compared the performance of the </w:t>
      </w:r>
      <w:r w:rsidR="00335473" w:rsidRPr="00E72303">
        <w:t xml:space="preserve">two modeling frameworks </w:t>
      </w:r>
      <w:r w:rsidR="00771E28" w:rsidRPr="00E72303">
        <w:t xml:space="preserve">across the four census regions. The results of the comparison are </w:t>
      </w:r>
      <w:r w:rsidR="00335473" w:rsidRPr="00E72303">
        <w:t xml:space="preserve">shown in Figure </w:t>
      </w:r>
      <w:r w:rsidR="0070254B" w:rsidRPr="00E72303">
        <w:t>8</w:t>
      </w:r>
      <w:r w:rsidR="00335473" w:rsidRPr="00E72303">
        <w:t>.</w:t>
      </w:r>
      <w:r w:rsidR="00771E28" w:rsidRPr="00E72303">
        <w:t xml:space="preserve"> </w:t>
      </w:r>
      <w:r w:rsidR="00F1799B" w:rsidRPr="00E72303">
        <w:t xml:space="preserve">From the figure it can be observed that, </w:t>
      </w:r>
      <w:r w:rsidR="00D02DB3" w:rsidRPr="00E72303">
        <w:t xml:space="preserve">for every census </w:t>
      </w:r>
      <w:r w:rsidR="00DE6DE1" w:rsidRPr="00E72303">
        <w:t>region</w:t>
      </w:r>
      <w:r w:rsidR="00D02DB3" w:rsidRPr="00E72303">
        <w:t xml:space="preserve"> our proposed fusion model outperforms the </w:t>
      </w:r>
      <w:proofErr w:type="spellStart"/>
      <w:r w:rsidR="00D96129" w:rsidRPr="00E72303">
        <w:t>MartizCX</w:t>
      </w:r>
      <w:proofErr w:type="spellEnd"/>
      <w:r w:rsidR="00D96129" w:rsidRPr="00E72303">
        <w:t xml:space="preserve"> only</w:t>
      </w:r>
      <w:r w:rsidR="00D02DB3" w:rsidRPr="00E72303">
        <w:t xml:space="preserve"> model.</w:t>
      </w:r>
      <w:r w:rsidR="00DE6DE1" w:rsidRPr="00E72303">
        <w:t xml:space="preserve"> The result </w:t>
      </w:r>
      <w:r w:rsidR="003E2B0F" w:rsidRPr="00E72303">
        <w:t>supports our hypothesis that building a fused dataset using NHTS dataset significantly improves model predictive power across different data segments.</w:t>
      </w:r>
      <w:r w:rsidR="00CE7521" w:rsidRPr="00E72303">
        <w:t xml:space="preserve"> The finding is quite encouraging and bodes well for future applications of the proposed model.</w:t>
      </w:r>
    </w:p>
    <w:p w14:paraId="063970A5" w14:textId="77777777" w:rsidR="00DA5FF9" w:rsidRPr="00E72303" w:rsidRDefault="00DA5FF9" w:rsidP="007B178E">
      <w:pPr>
        <w:ind w:firstLine="0"/>
      </w:pPr>
    </w:p>
    <w:p w14:paraId="7B4CF7AF" w14:textId="5C945F58" w:rsidR="001C4506" w:rsidRPr="00E72303" w:rsidRDefault="00242F5F" w:rsidP="007B178E">
      <w:pPr>
        <w:ind w:firstLine="0"/>
        <w:jc w:val="center"/>
      </w:pPr>
      <w:r w:rsidRPr="00E72303">
        <w:rPr>
          <w:noProof/>
        </w:rPr>
        <w:drawing>
          <wp:inline distT="0" distB="0" distL="0" distR="0" wp14:anchorId="431A9DE4" wp14:editId="6F281562">
            <wp:extent cx="4716780" cy="2636520"/>
            <wp:effectExtent l="0" t="0" r="7620" b="11430"/>
            <wp:docPr id="2095594650" name="Chart 1">
              <a:extLst xmlns:a="http://schemas.openxmlformats.org/drawingml/2006/main">
                <a:ext uri="{FF2B5EF4-FFF2-40B4-BE49-F238E27FC236}">
                  <a16:creationId xmlns:a16="http://schemas.microsoft.com/office/drawing/2014/main" id="{16140F12-F63D-3494-E2A8-BB6B08332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B585A4" w14:textId="166EA759" w:rsidR="00DD4FD9" w:rsidRPr="00E72303" w:rsidRDefault="001C4506" w:rsidP="007B178E">
      <w:pPr>
        <w:ind w:firstLine="0"/>
        <w:jc w:val="center"/>
        <w:rPr>
          <w:b/>
          <w:bCs/>
        </w:rPr>
      </w:pPr>
      <w:r w:rsidRPr="00E72303">
        <w:rPr>
          <w:b/>
          <w:bCs/>
        </w:rPr>
        <w:t xml:space="preserve">Figure </w:t>
      </w:r>
      <w:r w:rsidR="0070254B" w:rsidRPr="00E72303">
        <w:rPr>
          <w:b/>
          <w:bCs/>
        </w:rPr>
        <w:t>8</w:t>
      </w:r>
      <w:r w:rsidRPr="00E72303">
        <w:rPr>
          <w:b/>
          <w:bCs/>
        </w:rPr>
        <w:t xml:space="preserve">: LL comparison between proposed fusion model and </w:t>
      </w:r>
      <w:proofErr w:type="spellStart"/>
      <w:r w:rsidR="00CE7521" w:rsidRPr="00E72303">
        <w:rPr>
          <w:b/>
          <w:bCs/>
        </w:rPr>
        <w:t>MaritzCX</w:t>
      </w:r>
      <w:proofErr w:type="spellEnd"/>
      <w:r w:rsidR="00CE7521" w:rsidRPr="00E72303">
        <w:rPr>
          <w:b/>
          <w:bCs/>
        </w:rPr>
        <w:t xml:space="preserve"> only</w:t>
      </w:r>
      <w:r w:rsidRPr="00E72303">
        <w:rPr>
          <w:b/>
          <w:bCs/>
        </w:rPr>
        <w:t xml:space="preserve"> model</w:t>
      </w:r>
    </w:p>
    <w:p w14:paraId="60AABA67" w14:textId="77777777" w:rsidR="00DA5FF9" w:rsidRPr="00E72303" w:rsidRDefault="00DA5FF9" w:rsidP="007B178E">
      <w:pPr>
        <w:ind w:firstLine="0"/>
        <w:jc w:val="center"/>
        <w:rPr>
          <w:b/>
          <w:bCs/>
        </w:rPr>
      </w:pPr>
    </w:p>
    <w:p w14:paraId="2D7CD13E" w14:textId="5D03C27C" w:rsidR="00F07A0C" w:rsidRPr="00E72303" w:rsidRDefault="00DA3E46" w:rsidP="007B178E">
      <w:pPr>
        <w:pStyle w:val="Heading1"/>
        <w:rPr>
          <w:color w:val="auto"/>
        </w:rPr>
      </w:pPr>
      <w:r w:rsidRPr="00E72303">
        <w:rPr>
          <w:color w:val="auto"/>
        </w:rPr>
        <w:t>Elasticity Effect</w:t>
      </w:r>
      <w:r w:rsidR="00C14A15" w:rsidRPr="00E72303">
        <w:rPr>
          <w:color w:val="auto"/>
        </w:rPr>
        <w:t>S</w:t>
      </w:r>
    </w:p>
    <w:p w14:paraId="4684DA60" w14:textId="1E461FC1" w:rsidR="001E4D32" w:rsidRPr="00E72303" w:rsidRDefault="001E4D32" w:rsidP="007B178E">
      <w:pPr>
        <w:pStyle w:val="1stParagraph"/>
      </w:pPr>
      <w:bookmarkStart w:id="6" w:name="_Hlk110280449"/>
      <w:r w:rsidRPr="00E72303">
        <w:t xml:space="preserve">The coefficients of the independent variables in Table </w:t>
      </w:r>
      <w:r w:rsidR="005F0791" w:rsidRPr="00E72303">
        <w:t>4</w:t>
      </w:r>
      <w:r w:rsidR="00040A96" w:rsidRPr="00E72303">
        <w:t xml:space="preserve"> </w:t>
      </w:r>
      <w:r w:rsidRPr="00E72303">
        <w:t xml:space="preserve">do not directly provide the exact magnitude of the </w:t>
      </w:r>
      <w:r w:rsidR="00C14A15" w:rsidRPr="00E72303">
        <w:t xml:space="preserve">impact </w:t>
      </w:r>
      <w:r w:rsidRPr="00E72303">
        <w:t xml:space="preserve">of variables on household’s vehicle purchase decision. The effects of the variables might change across different combinations of fuel type and body type. To evaluate this variability, we computed the elasticity of the variables. More specifically, we estimated the percentage change in the probability of buying a vehicle of specific fuel and vehicle type in response to any change in the explanatory variables. For continuous independent variables in the </w:t>
      </w:r>
      <w:r w:rsidRPr="00E72303">
        <w:lastRenderedPageBreak/>
        <w:t xml:space="preserve">model, the change was conducted </w:t>
      </w:r>
      <w:r w:rsidR="00C14A15" w:rsidRPr="00E72303">
        <w:t xml:space="preserve">in </w:t>
      </w:r>
      <w:r w:rsidRPr="00E72303">
        <w:t xml:space="preserve">an increment of 10% (see </w:t>
      </w:r>
      <w:r w:rsidR="00BC17D8" w:rsidRPr="00E72303">
        <w:fldChar w:fldCharType="begin" w:fldLock="1"/>
      </w:r>
      <w:r w:rsidR="00E020E5" w:rsidRPr="00E72303">
        <w:instrText>ADDIN CSL_CITATION {"citationItems":[{"id":"ITEM-1","itemData":{"DOI":"10.1016/j.amar.2021.100202","ISSN":"22136657","abstract":"The current research contributes to the burgeoning literature on multivariate models by proposing a hybrid model framework that (a) incorporates unobserved heterogeneity in a parsimonious framework and (b) allows for additional flexibility to accommodate for observed/systematic heterogeneity. Specifically, we estimate a Latent Segmentation Panel Mixed Negative Binomial (LPMNB) model to study the zonal level crash counts across different crash types. Further, we undertake a comparison exercise of the proposed hybrid LPMNB model with a Panel Mixed Negative Binomial model (PMNB) that accommodates for unobserved heterogeneity via a simulation setting. The analysis is conducted using the zonal level crash records by different crash types from Central Florida region for the year 2016 considering a comprehensive set of exogenous variables. The comparison exercise is further augmented by computing several goodness of fit measures along with elasticity analysis and the results offered by the LPMNB model highlight the value of the proposed model. Further, to offer insights on model selection incorporating computational complexity dimension along with other important attributes, we conduct a trade-off analysis considering four different attributes: (a) model fit, (b) prediction, (c) inference power and (d) computational complexity; across six different model strictures including traditional crash frequency models and our proposed LPMNB model.","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Research","id":"ITEM-1","issued":{"date-parts":[["2022"]]},"page":"100202","publisher":"Elsevier Ltd","title":"Accommodating for systematic and unobserved heterogeneity in panel data: Application to macro-level crash modeling","type":"article-journal","volume":"33"},"uris":["http://www.mendeley.com/documents/?uuid=26d116a5-3d58-49ac-9b67-75b666f8903b"]}],"mendeley":{"formattedCitation":"(Bhowmik et al., 2022)","manualFormatting":"(Bhowmik et al., 2022)","plainTextFormattedCitation":"(Bhowmik et al., 2022)","previouslyFormattedCitation":"(Bhowmik et al., 2022)"},"properties":{"noteIndex":0},"schema":"https://github.com/citation-style-language/schema/raw/master/csl-citation.json"}</w:instrText>
      </w:r>
      <w:r w:rsidR="00BC17D8" w:rsidRPr="00E72303">
        <w:fldChar w:fldCharType="separate"/>
      </w:r>
      <w:r w:rsidR="00B11099" w:rsidRPr="00E72303">
        <w:rPr>
          <w:noProof/>
        </w:rPr>
        <w:t>(Bhowmik</w:t>
      </w:r>
      <w:r w:rsidR="00980CDB" w:rsidRPr="00E72303">
        <w:rPr>
          <w:noProof/>
        </w:rPr>
        <w:t xml:space="preserve"> et al.</w:t>
      </w:r>
      <w:r w:rsidR="00B11099" w:rsidRPr="00E72303">
        <w:rPr>
          <w:noProof/>
        </w:rPr>
        <w:t>, 2022)</w:t>
      </w:r>
      <w:r w:rsidR="00BC17D8" w:rsidRPr="00E72303">
        <w:fldChar w:fldCharType="end"/>
      </w:r>
      <w:r w:rsidR="00BC17D8" w:rsidRPr="00E72303">
        <w:t xml:space="preserve"> </w:t>
      </w:r>
      <w:r w:rsidRPr="00E72303">
        <w:t>for similar analysis)</w:t>
      </w:r>
      <w:r w:rsidR="00551B78" w:rsidRPr="00E72303">
        <w:t>.</w:t>
      </w:r>
      <w:r w:rsidR="004426AB" w:rsidRPr="00E72303">
        <w:t xml:space="preserve"> </w:t>
      </w:r>
      <w:r w:rsidR="00551B78" w:rsidRPr="00E72303">
        <w:t>F</w:t>
      </w:r>
      <w:r w:rsidRPr="00E72303">
        <w:t xml:space="preserve">or </w:t>
      </w:r>
      <w:r w:rsidR="00551B78" w:rsidRPr="00E72303">
        <w:t xml:space="preserve">indicator </w:t>
      </w:r>
      <w:r w:rsidRPr="00E72303">
        <w:t xml:space="preserve">variables, </w:t>
      </w:r>
      <w:r w:rsidR="00551B78" w:rsidRPr="00E72303">
        <w:t xml:space="preserve">the change was obtained </w:t>
      </w:r>
      <w:r w:rsidRPr="00E72303">
        <w:t xml:space="preserve">by changing the value of the variable to one for the subsample of observations for which the variable takes a value of zero and </w:t>
      </w:r>
      <w:r w:rsidR="00551B78" w:rsidRPr="00E72303">
        <w:t>vice-versa</w:t>
      </w:r>
      <w:bookmarkEnd w:id="6"/>
      <w:r w:rsidRPr="00E72303">
        <w:t xml:space="preserve"> (see </w:t>
      </w:r>
      <w:r w:rsidRPr="00E72303">
        <w:fldChar w:fldCharType="begin" w:fldLock="1"/>
      </w:r>
      <w:r w:rsidR="00151AD7" w:rsidRPr="00E72303">
        <w:instrText>ADDIN CSL_CITATION {"citationItems":[{"id":"ITEM-1","itemData":{"DOI":"10.1016/J.AMAR.2020.100129","ISSN":"2213-6657","abstract":"Road traffic crashes remain a major concern globally resulting in loss of life and worsening the quality of life and productivity of the crash survivors. The current study contributes to road safety literature by focusing on developing high resolution crash severity models based on driver injury severity reported using Abbreviated Injury Scale (AIS) by body region. For this purpose, the research develops a joint random parameters multivariate model structure with as many dimensions as severity by body location. The proposed model system is developed using Crash Injury Research Engineering Network (CIREN) data, which includes patients admitted to trauma centers due to a crash from 2005 to 2015. The dataset contained information about a comprehensive set of exogenous variables including driver characteristics, vehicle characteristics, crash characteristics, roadway characteristics, and environmental characteristics. The empirical analysis involves the estimation of Random Parameters Multivariate Generalized Ordered Probit Model that allows for the influence of common unobserved factors affecting the vehicle occupant severity across body locations. The model estimation results are further augmented by conducting elasticity analysis to highlight the differential impact of various factors on severity across body regions.","author":[{"dropping-particle":"","family":"Kabli","given":"Ahmed","non-dropping-particle":"","parse-names":false,"suffix":""},{"dropping-particle":"","family":"Bhowmik","given":"Tanmoy","non-dropping-particle":"","parse-names":false,"suffix":""},{"dropping-particle":"","family":"Eluru","given":"Naveen","non-dropping-particle":"","parse-names":false,"suffix":""}],"container-title":"Analytic Methods in Accident Research","id":"ITEM-1","issued":{"date-parts":[["2020","12","1"]]},"page":"100129","publisher":"Elsevier","title":"A multivariate approach for modeling driver injury severity by body region","type":"article-journal","volume":"28"},"uris":["http://www.mendeley.com/documents/?uuid=e279dd7d-e7ad-3e76-95e0-af352db010ad"]}],"mendeley":{"formattedCitation":"(Kabli et al., 2020)","manualFormatting":"(Kabli et al., 2020)","plainTextFormattedCitation":"(Kabli et al., 2020)","previouslyFormattedCitation":"(Kabli et al., 2020)"},"properties":{"noteIndex":0},"schema":"https://github.com/citation-style-language/schema/raw/master/csl-citation.json"}</w:instrText>
      </w:r>
      <w:r w:rsidRPr="00E72303">
        <w:fldChar w:fldCharType="separate"/>
      </w:r>
      <w:r w:rsidR="00B11099" w:rsidRPr="00E72303">
        <w:rPr>
          <w:noProof/>
        </w:rPr>
        <w:t>(Kabli</w:t>
      </w:r>
      <w:r w:rsidR="0071401E" w:rsidRPr="00E72303">
        <w:rPr>
          <w:noProof/>
        </w:rPr>
        <w:t xml:space="preserve"> et al.</w:t>
      </w:r>
      <w:r w:rsidR="00B11099" w:rsidRPr="00E72303">
        <w:rPr>
          <w:noProof/>
        </w:rPr>
        <w:t>, 2020)</w:t>
      </w:r>
      <w:r w:rsidRPr="00E72303">
        <w:fldChar w:fldCharType="end"/>
      </w:r>
      <w:r w:rsidRPr="00E72303">
        <w:t xml:space="preserve"> for similar analysis).</w:t>
      </w:r>
      <w:r w:rsidR="0026141C" w:rsidRPr="00E72303">
        <w:t xml:space="preserve"> The variables fuel efficiency, vehicle price and engine size are alternative specific. In the elasticity analysis, we examined how the changes in any of these variables for each alternative affect the probability of all the alternatives (self and cross-elasticity effects). </w:t>
      </w:r>
      <w:r w:rsidRPr="00E72303">
        <w:t xml:space="preserve">The elasticity effects are shown in Table </w:t>
      </w:r>
      <w:r w:rsidR="005F0791" w:rsidRPr="00E72303">
        <w:t>5</w:t>
      </w:r>
      <w:r w:rsidRPr="00E72303">
        <w:t>.</w:t>
      </w:r>
      <w:r w:rsidR="004E7C64" w:rsidRPr="00E72303">
        <w:t xml:space="preserve"> The underlined values in the table indicate the changes in the probability of any alternative due to the changes in exploratory variables associated with the respective alternative (self-elasticity).</w:t>
      </w:r>
    </w:p>
    <w:p w14:paraId="0C554360" w14:textId="08C42F31" w:rsidR="000805BB" w:rsidRPr="00E72303" w:rsidRDefault="00187B80" w:rsidP="007B178E">
      <w:r w:rsidRPr="00E72303">
        <w:t xml:space="preserve">Several observations can be made from the results in Table </w:t>
      </w:r>
      <w:r w:rsidR="00367A20" w:rsidRPr="00E72303">
        <w:t>5</w:t>
      </w:r>
      <w:r w:rsidRPr="00E72303">
        <w:t xml:space="preserve">. </w:t>
      </w:r>
      <w:r w:rsidRPr="00E72303">
        <w:rPr>
          <w:u w:val="single"/>
        </w:rPr>
        <w:t>First</w:t>
      </w:r>
      <w:r w:rsidRPr="00E72303">
        <w:t xml:space="preserve">, as expected, we find fuel efficiency as one of the important factors influencing </w:t>
      </w:r>
      <w:r w:rsidR="002B56BE" w:rsidRPr="00E72303">
        <w:t>vehicle</w:t>
      </w:r>
      <w:r w:rsidRPr="00E72303">
        <w:t xml:space="preserve"> purchase </w:t>
      </w:r>
      <w:r w:rsidR="00993617" w:rsidRPr="00E72303">
        <w:t>decisions</w:t>
      </w:r>
      <w:r w:rsidRPr="00E72303">
        <w:t xml:space="preserve">, particularly for non-gasoline vehicles. The results illustrate that increasing the fuel efficiency by 10 % will result in an increased likelihood of purchasing non-gasoline vehicles irrespective of the vehicle types. </w:t>
      </w:r>
      <w:r w:rsidRPr="00E72303">
        <w:rPr>
          <w:u w:val="single"/>
        </w:rPr>
        <w:t>Second</w:t>
      </w:r>
      <w:r w:rsidRPr="00E72303">
        <w:t xml:space="preserve">, we find an interesting trend for the cost/price variable. With respect to sports sedans and pickup trucks, the effect is positive irrespective of the fuel type suggesting people considering these vehicles are not deterred by price. On the other hand, people are more sensitive to price when considering the purchase of a sedan. The effect is more pronounced (higher reduction) for gasoline sedans as indicated by the higher negative magnitude in the Table. </w:t>
      </w:r>
      <w:r w:rsidRPr="00E72303">
        <w:rPr>
          <w:u w:val="single"/>
        </w:rPr>
        <w:t>Third</w:t>
      </w:r>
      <w:r w:rsidRPr="00E72303">
        <w:t>, engine size of the vehicles also plays a significant role in vehicle purchase decision. The results suggest people’s lower preference of buying sedans with large engine size, perhaps indicative of the increased fuel consumption.</w:t>
      </w:r>
      <w:r w:rsidR="00EA2303" w:rsidRPr="00E72303">
        <w:t xml:space="preserve"> </w:t>
      </w:r>
      <w:r w:rsidR="00EA2303" w:rsidRPr="00E72303">
        <w:rPr>
          <w:u w:val="single"/>
        </w:rPr>
        <w:t>Fourth</w:t>
      </w:r>
      <w:r w:rsidR="00EA2303" w:rsidRPr="00E72303">
        <w:t xml:space="preserve">, the elasticity effects of vehicle brands indicate that while purchasing non-gasoline pickup trucks, customers show higher affinity for Toyota brand. </w:t>
      </w:r>
      <w:r w:rsidRPr="00E72303">
        <w:rPr>
          <w:u w:val="single"/>
        </w:rPr>
        <w:t>Finally</w:t>
      </w:r>
      <w:r w:rsidRPr="00E72303">
        <w:t xml:space="preserve">, </w:t>
      </w:r>
      <w:bookmarkStart w:id="7" w:name="_Hlk110280532"/>
      <w:r w:rsidRPr="00E72303">
        <w:t>changes in several economic and demographic characteristics employed in the model (through fusion from NHTS), are found to offer notable impact on vehicle type and fuel type selections</w:t>
      </w:r>
      <w:bookmarkEnd w:id="7"/>
      <w:r w:rsidRPr="00E72303">
        <w:t xml:space="preserve">. </w:t>
      </w:r>
    </w:p>
    <w:p w14:paraId="3C850476" w14:textId="250462AF" w:rsidR="00B70639" w:rsidRPr="00E72303" w:rsidRDefault="00B70639" w:rsidP="007B178E">
      <w:pPr>
        <w:ind w:firstLine="0"/>
      </w:pPr>
    </w:p>
    <w:p w14:paraId="5D7A4574" w14:textId="7A454488" w:rsidR="00B70639" w:rsidRPr="00E72303" w:rsidRDefault="00B70639" w:rsidP="007B178E">
      <w:pPr>
        <w:autoSpaceDE w:val="0"/>
        <w:autoSpaceDN w:val="0"/>
        <w:adjustRightInd w:val="0"/>
        <w:ind w:firstLine="0"/>
        <w:jc w:val="left"/>
        <w:rPr>
          <w:rFonts w:ascii="AdvOT483a8203" w:hAnsi="AdvOT483a8203" w:cs="AdvOT483a8203"/>
          <w:sz w:val="19"/>
          <w:szCs w:val="19"/>
        </w:rPr>
        <w:sectPr w:rsidR="00B70639" w:rsidRPr="00E72303" w:rsidSect="00A56B72">
          <w:pgSz w:w="12240" w:h="15840"/>
          <w:pgMar w:top="1440" w:right="1440" w:bottom="1440" w:left="1440" w:header="720" w:footer="720" w:gutter="0"/>
          <w:lnNumType w:countBy="1"/>
          <w:cols w:space="720"/>
          <w:docGrid w:linePitch="360"/>
        </w:sectPr>
      </w:pPr>
    </w:p>
    <w:p w14:paraId="2ED0AA34" w14:textId="06780D6B" w:rsidR="001E4D32" w:rsidRPr="00E72303" w:rsidRDefault="00A56B72" w:rsidP="007B178E">
      <w:pPr>
        <w:pStyle w:val="TableCaption"/>
      </w:pPr>
      <w:r w:rsidRPr="00E72303">
        <w:lastRenderedPageBreak/>
        <w:t xml:space="preserve">Table </w:t>
      </w:r>
      <w:r w:rsidR="00367A20" w:rsidRPr="00E72303">
        <w:t>5</w:t>
      </w:r>
      <w:r w:rsidRPr="00E72303">
        <w:t xml:space="preserve">: </w:t>
      </w:r>
      <w:r w:rsidR="001E4D32" w:rsidRPr="00E72303">
        <w:t xml:space="preserve">Elasticity Effect Analysis for All Fuel Type and Vehicle Type Combinations  </w:t>
      </w:r>
    </w:p>
    <w:tbl>
      <w:tblPr>
        <w:tblStyle w:val="TableGrid"/>
        <w:tblW w:w="12967" w:type="dxa"/>
        <w:tblLook w:val="04A0" w:firstRow="1" w:lastRow="0" w:firstColumn="1" w:lastColumn="0" w:noHBand="0" w:noVBand="1"/>
      </w:tblPr>
      <w:tblGrid>
        <w:gridCol w:w="1207"/>
        <w:gridCol w:w="2928"/>
        <w:gridCol w:w="1170"/>
        <w:gridCol w:w="1046"/>
        <w:gridCol w:w="1035"/>
        <w:gridCol w:w="1157"/>
        <w:gridCol w:w="1142"/>
        <w:gridCol w:w="1142"/>
        <w:gridCol w:w="1142"/>
        <w:gridCol w:w="998"/>
      </w:tblGrid>
      <w:tr w:rsidR="00E72303" w:rsidRPr="00E72303" w14:paraId="4DA5128E" w14:textId="77777777" w:rsidTr="005D2BD0">
        <w:trPr>
          <w:trHeight w:val="288"/>
        </w:trPr>
        <w:tc>
          <w:tcPr>
            <w:tcW w:w="4135" w:type="dxa"/>
            <w:gridSpan w:val="2"/>
            <w:vMerge w:val="restart"/>
            <w:vAlign w:val="center"/>
            <w:hideMark/>
          </w:tcPr>
          <w:p w14:paraId="43800A90" w14:textId="77777777" w:rsidR="001D5BBC" w:rsidRPr="00E72303" w:rsidRDefault="001D5BBC" w:rsidP="007B178E">
            <w:pPr>
              <w:pStyle w:val="1stParagraph"/>
              <w:rPr>
                <w:b/>
                <w:bCs/>
                <w:sz w:val="22"/>
              </w:rPr>
            </w:pPr>
            <w:r w:rsidRPr="00E72303">
              <w:rPr>
                <w:b/>
                <w:bCs/>
                <w:sz w:val="22"/>
              </w:rPr>
              <w:t>Parameter</w:t>
            </w:r>
          </w:p>
        </w:tc>
        <w:tc>
          <w:tcPr>
            <w:tcW w:w="1170" w:type="dxa"/>
            <w:vAlign w:val="center"/>
            <w:hideMark/>
          </w:tcPr>
          <w:p w14:paraId="222209BF" w14:textId="77777777" w:rsidR="001D5BBC" w:rsidRPr="00E72303" w:rsidRDefault="001D5BBC" w:rsidP="007B178E">
            <w:pPr>
              <w:pStyle w:val="1stParagraph"/>
              <w:rPr>
                <w:b/>
                <w:bCs/>
                <w:sz w:val="22"/>
              </w:rPr>
            </w:pPr>
            <w:r w:rsidRPr="00E72303">
              <w:rPr>
                <w:b/>
                <w:bCs/>
                <w:sz w:val="22"/>
              </w:rPr>
              <w:t>Gasoline utility vehicles</w:t>
            </w:r>
          </w:p>
        </w:tc>
        <w:tc>
          <w:tcPr>
            <w:tcW w:w="1046" w:type="dxa"/>
            <w:vAlign w:val="center"/>
            <w:hideMark/>
          </w:tcPr>
          <w:p w14:paraId="0EDCB4DD" w14:textId="77777777" w:rsidR="001D5BBC" w:rsidRPr="00E72303" w:rsidRDefault="001D5BBC" w:rsidP="007B178E">
            <w:pPr>
              <w:pStyle w:val="1stParagraph"/>
              <w:rPr>
                <w:b/>
                <w:bCs/>
                <w:sz w:val="22"/>
              </w:rPr>
            </w:pPr>
            <w:r w:rsidRPr="00E72303">
              <w:rPr>
                <w:b/>
                <w:bCs/>
                <w:sz w:val="22"/>
              </w:rPr>
              <w:t>Gasoline sport sedans</w:t>
            </w:r>
          </w:p>
        </w:tc>
        <w:tc>
          <w:tcPr>
            <w:tcW w:w="1035" w:type="dxa"/>
            <w:vAlign w:val="center"/>
            <w:hideMark/>
          </w:tcPr>
          <w:p w14:paraId="441338E8" w14:textId="77777777" w:rsidR="001D5BBC" w:rsidRPr="00E72303" w:rsidRDefault="001D5BBC" w:rsidP="007B178E">
            <w:pPr>
              <w:pStyle w:val="1stParagraph"/>
              <w:rPr>
                <w:b/>
                <w:bCs/>
                <w:sz w:val="22"/>
              </w:rPr>
            </w:pPr>
            <w:r w:rsidRPr="00E72303">
              <w:rPr>
                <w:b/>
                <w:bCs/>
                <w:sz w:val="22"/>
              </w:rPr>
              <w:t>Gasoline sedans</w:t>
            </w:r>
          </w:p>
        </w:tc>
        <w:tc>
          <w:tcPr>
            <w:tcW w:w="1157" w:type="dxa"/>
            <w:vAlign w:val="center"/>
            <w:hideMark/>
          </w:tcPr>
          <w:p w14:paraId="307B0615" w14:textId="77777777" w:rsidR="001D5BBC" w:rsidRPr="00E72303" w:rsidRDefault="001D5BBC" w:rsidP="007B178E">
            <w:pPr>
              <w:pStyle w:val="1stParagraph"/>
              <w:rPr>
                <w:b/>
                <w:bCs/>
                <w:sz w:val="22"/>
              </w:rPr>
            </w:pPr>
            <w:r w:rsidRPr="00E72303">
              <w:rPr>
                <w:b/>
                <w:bCs/>
                <w:sz w:val="22"/>
              </w:rPr>
              <w:t>Gasoline pick-up trucks</w:t>
            </w:r>
          </w:p>
        </w:tc>
        <w:tc>
          <w:tcPr>
            <w:tcW w:w="1142" w:type="dxa"/>
            <w:vAlign w:val="center"/>
            <w:hideMark/>
          </w:tcPr>
          <w:p w14:paraId="7AA51962" w14:textId="77777777" w:rsidR="001D5BBC" w:rsidRPr="00E72303" w:rsidRDefault="001D5BBC" w:rsidP="007B178E">
            <w:pPr>
              <w:pStyle w:val="1stParagraph"/>
              <w:rPr>
                <w:b/>
                <w:bCs/>
                <w:sz w:val="22"/>
              </w:rPr>
            </w:pPr>
            <w:r w:rsidRPr="00E72303">
              <w:rPr>
                <w:b/>
                <w:bCs/>
                <w:sz w:val="22"/>
              </w:rPr>
              <w:t>Non-gasoline utility vehicle</w:t>
            </w:r>
          </w:p>
        </w:tc>
        <w:tc>
          <w:tcPr>
            <w:tcW w:w="1142" w:type="dxa"/>
            <w:vAlign w:val="center"/>
            <w:hideMark/>
          </w:tcPr>
          <w:p w14:paraId="2ACBC8ED" w14:textId="77777777" w:rsidR="001D5BBC" w:rsidRPr="00E72303" w:rsidRDefault="001D5BBC" w:rsidP="007B178E">
            <w:pPr>
              <w:pStyle w:val="1stParagraph"/>
              <w:rPr>
                <w:b/>
                <w:bCs/>
                <w:sz w:val="22"/>
              </w:rPr>
            </w:pPr>
            <w:r w:rsidRPr="00E72303">
              <w:rPr>
                <w:b/>
                <w:bCs/>
                <w:sz w:val="22"/>
              </w:rPr>
              <w:t>Non-gasoline sport sedans</w:t>
            </w:r>
          </w:p>
        </w:tc>
        <w:tc>
          <w:tcPr>
            <w:tcW w:w="1142" w:type="dxa"/>
            <w:vAlign w:val="center"/>
            <w:hideMark/>
          </w:tcPr>
          <w:p w14:paraId="66E7FD8B" w14:textId="77777777" w:rsidR="001D5BBC" w:rsidRPr="00E72303" w:rsidRDefault="001D5BBC" w:rsidP="007B178E">
            <w:pPr>
              <w:pStyle w:val="1stParagraph"/>
              <w:rPr>
                <w:b/>
                <w:bCs/>
                <w:sz w:val="22"/>
              </w:rPr>
            </w:pPr>
            <w:r w:rsidRPr="00E72303">
              <w:rPr>
                <w:b/>
                <w:bCs/>
                <w:sz w:val="22"/>
              </w:rPr>
              <w:t>Non-gasoline sedans</w:t>
            </w:r>
          </w:p>
        </w:tc>
        <w:tc>
          <w:tcPr>
            <w:tcW w:w="998" w:type="dxa"/>
            <w:vAlign w:val="center"/>
            <w:hideMark/>
          </w:tcPr>
          <w:p w14:paraId="6CF6A857" w14:textId="77777777" w:rsidR="001D5BBC" w:rsidRPr="00E72303" w:rsidRDefault="001D5BBC" w:rsidP="007B178E">
            <w:pPr>
              <w:pStyle w:val="1stParagraph"/>
              <w:rPr>
                <w:b/>
                <w:bCs/>
                <w:sz w:val="22"/>
              </w:rPr>
            </w:pPr>
            <w:r w:rsidRPr="00E72303">
              <w:rPr>
                <w:b/>
                <w:bCs/>
                <w:sz w:val="22"/>
              </w:rPr>
              <w:t>Non-gasoline pick-up trucks</w:t>
            </w:r>
          </w:p>
        </w:tc>
      </w:tr>
      <w:tr w:rsidR="00E72303" w:rsidRPr="00E72303" w14:paraId="6844EF6F" w14:textId="77777777" w:rsidTr="005D2BD0">
        <w:trPr>
          <w:trHeight w:val="288"/>
        </w:trPr>
        <w:tc>
          <w:tcPr>
            <w:tcW w:w="4135" w:type="dxa"/>
            <w:gridSpan w:val="2"/>
            <w:vMerge/>
            <w:vAlign w:val="center"/>
          </w:tcPr>
          <w:p w14:paraId="6DC72A5C" w14:textId="77777777" w:rsidR="001D5BBC" w:rsidRPr="00E72303" w:rsidRDefault="001D5BBC" w:rsidP="007B178E">
            <w:pPr>
              <w:pStyle w:val="1stParagraph"/>
              <w:rPr>
                <w:b/>
                <w:bCs/>
                <w:sz w:val="22"/>
              </w:rPr>
            </w:pPr>
          </w:p>
        </w:tc>
        <w:tc>
          <w:tcPr>
            <w:tcW w:w="8832" w:type="dxa"/>
            <w:gridSpan w:val="8"/>
            <w:vAlign w:val="center"/>
          </w:tcPr>
          <w:p w14:paraId="52A392D6" w14:textId="18C405A3" w:rsidR="001D5BBC" w:rsidRPr="00E72303" w:rsidRDefault="00DE7DAF" w:rsidP="007B178E">
            <w:pPr>
              <w:pStyle w:val="1stParagraph"/>
              <w:jc w:val="center"/>
              <w:rPr>
                <w:b/>
                <w:bCs/>
                <w:sz w:val="22"/>
              </w:rPr>
            </w:pPr>
            <w:r w:rsidRPr="00E72303">
              <w:rPr>
                <w:b/>
                <w:bCs/>
                <w:sz w:val="22"/>
              </w:rPr>
              <w:t>% changes in the probability</w:t>
            </w:r>
          </w:p>
        </w:tc>
      </w:tr>
      <w:tr w:rsidR="00E72303" w:rsidRPr="00E72303" w14:paraId="4B54D972" w14:textId="77777777" w:rsidTr="005D2BD0">
        <w:trPr>
          <w:trHeight w:val="288"/>
        </w:trPr>
        <w:tc>
          <w:tcPr>
            <w:tcW w:w="1207" w:type="dxa"/>
            <w:vMerge w:val="restart"/>
            <w:vAlign w:val="center"/>
            <w:hideMark/>
          </w:tcPr>
          <w:p w14:paraId="50C5C2A7" w14:textId="02EB9F19" w:rsidR="00993617" w:rsidRPr="00E72303" w:rsidRDefault="00993617" w:rsidP="007B178E">
            <w:pPr>
              <w:pStyle w:val="1stParagraph"/>
              <w:jc w:val="left"/>
              <w:rPr>
                <w:sz w:val="22"/>
              </w:rPr>
            </w:pPr>
            <w:r w:rsidRPr="00E72303">
              <w:rPr>
                <w:sz w:val="22"/>
              </w:rPr>
              <w:t>Fuel efficiency</w:t>
            </w:r>
            <w:r w:rsidR="001D5BBC" w:rsidRPr="00E72303">
              <w:rPr>
                <w:sz w:val="22"/>
              </w:rPr>
              <w:t>*</w:t>
            </w:r>
          </w:p>
        </w:tc>
        <w:tc>
          <w:tcPr>
            <w:tcW w:w="2928" w:type="dxa"/>
            <w:vAlign w:val="center"/>
            <w:hideMark/>
          </w:tcPr>
          <w:p w14:paraId="4DC95E2E" w14:textId="77777777" w:rsidR="00993617" w:rsidRPr="00E72303" w:rsidRDefault="00993617" w:rsidP="007B178E">
            <w:pPr>
              <w:pStyle w:val="1stParagraph"/>
              <w:jc w:val="left"/>
              <w:rPr>
                <w:sz w:val="22"/>
              </w:rPr>
            </w:pPr>
            <w:r w:rsidRPr="00E72303">
              <w:rPr>
                <w:sz w:val="22"/>
              </w:rPr>
              <w:t>Non-gasoline sport sedans</w:t>
            </w:r>
          </w:p>
        </w:tc>
        <w:tc>
          <w:tcPr>
            <w:tcW w:w="1170" w:type="dxa"/>
            <w:vAlign w:val="center"/>
            <w:hideMark/>
          </w:tcPr>
          <w:p w14:paraId="412ED890" w14:textId="77777777" w:rsidR="00993617" w:rsidRPr="00E72303" w:rsidRDefault="00993617" w:rsidP="007B178E">
            <w:pPr>
              <w:pStyle w:val="1stParagraph"/>
              <w:jc w:val="center"/>
              <w:rPr>
                <w:sz w:val="22"/>
              </w:rPr>
            </w:pPr>
            <w:r w:rsidRPr="00E72303">
              <w:rPr>
                <w:sz w:val="22"/>
              </w:rPr>
              <w:t>-0.20</w:t>
            </w:r>
          </w:p>
        </w:tc>
        <w:tc>
          <w:tcPr>
            <w:tcW w:w="1046" w:type="dxa"/>
            <w:vAlign w:val="center"/>
            <w:hideMark/>
          </w:tcPr>
          <w:p w14:paraId="3D36DB96" w14:textId="77777777" w:rsidR="00993617" w:rsidRPr="00E72303" w:rsidRDefault="00993617" w:rsidP="007B178E">
            <w:pPr>
              <w:pStyle w:val="1stParagraph"/>
              <w:jc w:val="center"/>
              <w:rPr>
                <w:sz w:val="22"/>
              </w:rPr>
            </w:pPr>
            <w:r w:rsidRPr="00E72303">
              <w:rPr>
                <w:sz w:val="22"/>
              </w:rPr>
              <w:t>-0.63</w:t>
            </w:r>
          </w:p>
        </w:tc>
        <w:tc>
          <w:tcPr>
            <w:tcW w:w="1035" w:type="dxa"/>
            <w:vAlign w:val="center"/>
            <w:hideMark/>
          </w:tcPr>
          <w:p w14:paraId="7C92EA12" w14:textId="77777777" w:rsidR="00993617" w:rsidRPr="00E72303" w:rsidRDefault="00993617" w:rsidP="007B178E">
            <w:pPr>
              <w:pStyle w:val="1stParagraph"/>
              <w:jc w:val="center"/>
              <w:rPr>
                <w:sz w:val="22"/>
              </w:rPr>
            </w:pPr>
            <w:r w:rsidRPr="00E72303">
              <w:rPr>
                <w:sz w:val="22"/>
              </w:rPr>
              <w:t>-0.12</w:t>
            </w:r>
          </w:p>
        </w:tc>
        <w:tc>
          <w:tcPr>
            <w:tcW w:w="1157" w:type="dxa"/>
            <w:vAlign w:val="center"/>
            <w:hideMark/>
          </w:tcPr>
          <w:p w14:paraId="2B2AB9EA" w14:textId="77777777" w:rsidR="00993617" w:rsidRPr="00E72303" w:rsidRDefault="00993617" w:rsidP="007B178E">
            <w:pPr>
              <w:pStyle w:val="1stParagraph"/>
              <w:jc w:val="center"/>
              <w:rPr>
                <w:sz w:val="22"/>
              </w:rPr>
            </w:pPr>
            <w:r w:rsidRPr="00E72303">
              <w:rPr>
                <w:sz w:val="22"/>
              </w:rPr>
              <w:t>-0.04</w:t>
            </w:r>
          </w:p>
        </w:tc>
        <w:tc>
          <w:tcPr>
            <w:tcW w:w="1142" w:type="dxa"/>
            <w:vAlign w:val="center"/>
            <w:hideMark/>
          </w:tcPr>
          <w:p w14:paraId="212B05C6" w14:textId="77777777" w:rsidR="00993617" w:rsidRPr="00E72303" w:rsidRDefault="00993617" w:rsidP="007B178E">
            <w:pPr>
              <w:pStyle w:val="1stParagraph"/>
              <w:jc w:val="center"/>
              <w:rPr>
                <w:sz w:val="22"/>
              </w:rPr>
            </w:pPr>
            <w:r w:rsidRPr="00E72303">
              <w:rPr>
                <w:sz w:val="22"/>
              </w:rPr>
              <w:t>-0.20</w:t>
            </w:r>
          </w:p>
        </w:tc>
        <w:tc>
          <w:tcPr>
            <w:tcW w:w="1142" w:type="dxa"/>
            <w:vAlign w:val="center"/>
            <w:hideMark/>
          </w:tcPr>
          <w:p w14:paraId="0A894683" w14:textId="77777777" w:rsidR="00993617" w:rsidRPr="00E72303" w:rsidRDefault="00993617" w:rsidP="007B178E">
            <w:pPr>
              <w:pStyle w:val="1stParagraph"/>
              <w:jc w:val="center"/>
              <w:rPr>
                <w:sz w:val="22"/>
                <w:u w:val="single"/>
              </w:rPr>
            </w:pPr>
            <w:r w:rsidRPr="00E72303">
              <w:rPr>
                <w:sz w:val="22"/>
                <w:u w:val="single"/>
              </w:rPr>
              <w:t>46.05</w:t>
            </w:r>
          </w:p>
        </w:tc>
        <w:tc>
          <w:tcPr>
            <w:tcW w:w="1142" w:type="dxa"/>
            <w:vAlign w:val="center"/>
            <w:hideMark/>
          </w:tcPr>
          <w:p w14:paraId="4F62D14D" w14:textId="77777777" w:rsidR="00993617" w:rsidRPr="00E72303" w:rsidRDefault="00993617" w:rsidP="007B178E">
            <w:pPr>
              <w:pStyle w:val="1stParagraph"/>
              <w:jc w:val="center"/>
              <w:rPr>
                <w:sz w:val="22"/>
              </w:rPr>
            </w:pPr>
            <w:r w:rsidRPr="00E72303">
              <w:rPr>
                <w:sz w:val="22"/>
              </w:rPr>
              <w:t>-0.08</w:t>
            </w:r>
          </w:p>
        </w:tc>
        <w:tc>
          <w:tcPr>
            <w:tcW w:w="998" w:type="dxa"/>
            <w:vAlign w:val="center"/>
            <w:hideMark/>
          </w:tcPr>
          <w:p w14:paraId="1D045C47" w14:textId="77777777" w:rsidR="00993617" w:rsidRPr="00E72303" w:rsidRDefault="00993617" w:rsidP="007B178E">
            <w:pPr>
              <w:pStyle w:val="1stParagraph"/>
              <w:jc w:val="center"/>
              <w:rPr>
                <w:sz w:val="22"/>
              </w:rPr>
            </w:pPr>
            <w:r w:rsidRPr="00E72303">
              <w:rPr>
                <w:sz w:val="22"/>
              </w:rPr>
              <w:t>-0.04</w:t>
            </w:r>
          </w:p>
        </w:tc>
      </w:tr>
      <w:tr w:rsidR="00E72303" w:rsidRPr="00E72303" w14:paraId="052EE150" w14:textId="77777777" w:rsidTr="005D2BD0">
        <w:trPr>
          <w:trHeight w:val="288"/>
        </w:trPr>
        <w:tc>
          <w:tcPr>
            <w:tcW w:w="1207" w:type="dxa"/>
            <w:vMerge/>
            <w:vAlign w:val="center"/>
            <w:hideMark/>
          </w:tcPr>
          <w:p w14:paraId="1126D976" w14:textId="77777777" w:rsidR="00993617" w:rsidRPr="00E72303" w:rsidRDefault="00993617" w:rsidP="007B178E">
            <w:pPr>
              <w:pStyle w:val="1stParagraph"/>
              <w:jc w:val="left"/>
              <w:rPr>
                <w:sz w:val="22"/>
              </w:rPr>
            </w:pPr>
          </w:p>
        </w:tc>
        <w:tc>
          <w:tcPr>
            <w:tcW w:w="2928" w:type="dxa"/>
            <w:vAlign w:val="center"/>
            <w:hideMark/>
          </w:tcPr>
          <w:p w14:paraId="1A713EB0" w14:textId="77777777" w:rsidR="00993617" w:rsidRPr="00E72303" w:rsidRDefault="00993617" w:rsidP="007B178E">
            <w:pPr>
              <w:pStyle w:val="1stParagraph"/>
              <w:jc w:val="left"/>
              <w:rPr>
                <w:sz w:val="22"/>
              </w:rPr>
            </w:pPr>
            <w:r w:rsidRPr="00E72303">
              <w:rPr>
                <w:sz w:val="22"/>
              </w:rPr>
              <w:t>Non-gasoline sedans</w:t>
            </w:r>
          </w:p>
        </w:tc>
        <w:tc>
          <w:tcPr>
            <w:tcW w:w="1170" w:type="dxa"/>
            <w:vAlign w:val="center"/>
            <w:hideMark/>
          </w:tcPr>
          <w:p w14:paraId="057EAFF8" w14:textId="77777777" w:rsidR="00993617" w:rsidRPr="00E72303" w:rsidRDefault="00993617" w:rsidP="007B178E">
            <w:pPr>
              <w:pStyle w:val="1stParagraph"/>
              <w:jc w:val="center"/>
              <w:rPr>
                <w:sz w:val="22"/>
              </w:rPr>
            </w:pPr>
            <w:r w:rsidRPr="00E72303">
              <w:rPr>
                <w:sz w:val="22"/>
              </w:rPr>
              <w:t>-1.17</w:t>
            </w:r>
          </w:p>
        </w:tc>
        <w:tc>
          <w:tcPr>
            <w:tcW w:w="1046" w:type="dxa"/>
            <w:vAlign w:val="center"/>
            <w:hideMark/>
          </w:tcPr>
          <w:p w14:paraId="68318240" w14:textId="77777777" w:rsidR="00993617" w:rsidRPr="00E72303" w:rsidRDefault="00993617" w:rsidP="007B178E">
            <w:pPr>
              <w:pStyle w:val="1stParagraph"/>
              <w:jc w:val="center"/>
              <w:rPr>
                <w:sz w:val="22"/>
              </w:rPr>
            </w:pPr>
            <w:r w:rsidRPr="00E72303">
              <w:rPr>
                <w:sz w:val="22"/>
              </w:rPr>
              <w:t>-0.89</w:t>
            </w:r>
          </w:p>
        </w:tc>
        <w:tc>
          <w:tcPr>
            <w:tcW w:w="1035" w:type="dxa"/>
            <w:vAlign w:val="center"/>
            <w:hideMark/>
          </w:tcPr>
          <w:p w14:paraId="4E5EC430" w14:textId="77777777" w:rsidR="00993617" w:rsidRPr="00E72303" w:rsidRDefault="00993617" w:rsidP="007B178E">
            <w:pPr>
              <w:pStyle w:val="1stParagraph"/>
              <w:jc w:val="center"/>
              <w:rPr>
                <w:sz w:val="22"/>
              </w:rPr>
            </w:pPr>
            <w:r w:rsidRPr="00E72303">
              <w:rPr>
                <w:sz w:val="22"/>
              </w:rPr>
              <w:t>-0.87</w:t>
            </w:r>
          </w:p>
        </w:tc>
        <w:tc>
          <w:tcPr>
            <w:tcW w:w="1157" w:type="dxa"/>
            <w:vAlign w:val="center"/>
            <w:hideMark/>
          </w:tcPr>
          <w:p w14:paraId="249957B5" w14:textId="77777777" w:rsidR="00993617" w:rsidRPr="00E72303" w:rsidRDefault="00993617" w:rsidP="007B178E">
            <w:pPr>
              <w:pStyle w:val="1stParagraph"/>
              <w:jc w:val="center"/>
              <w:rPr>
                <w:sz w:val="22"/>
              </w:rPr>
            </w:pPr>
            <w:r w:rsidRPr="00E72303">
              <w:rPr>
                <w:sz w:val="22"/>
              </w:rPr>
              <w:t>-0.87</w:t>
            </w:r>
          </w:p>
        </w:tc>
        <w:tc>
          <w:tcPr>
            <w:tcW w:w="1142" w:type="dxa"/>
            <w:vAlign w:val="center"/>
            <w:hideMark/>
          </w:tcPr>
          <w:p w14:paraId="29C66E4E" w14:textId="77777777" w:rsidR="00993617" w:rsidRPr="00E72303" w:rsidRDefault="00993617" w:rsidP="007B178E">
            <w:pPr>
              <w:pStyle w:val="1stParagraph"/>
              <w:jc w:val="center"/>
              <w:rPr>
                <w:sz w:val="22"/>
              </w:rPr>
            </w:pPr>
            <w:r w:rsidRPr="00E72303">
              <w:rPr>
                <w:sz w:val="22"/>
              </w:rPr>
              <w:t>-1.36</w:t>
            </w:r>
          </w:p>
        </w:tc>
        <w:tc>
          <w:tcPr>
            <w:tcW w:w="1142" w:type="dxa"/>
            <w:vAlign w:val="center"/>
            <w:hideMark/>
          </w:tcPr>
          <w:p w14:paraId="3C827EFA" w14:textId="77777777" w:rsidR="00993617" w:rsidRPr="00E72303" w:rsidRDefault="00993617" w:rsidP="007B178E">
            <w:pPr>
              <w:pStyle w:val="1stParagraph"/>
              <w:jc w:val="center"/>
              <w:rPr>
                <w:sz w:val="22"/>
              </w:rPr>
            </w:pPr>
            <w:r w:rsidRPr="00E72303">
              <w:rPr>
                <w:sz w:val="22"/>
              </w:rPr>
              <w:t>-1.16</w:t>
            </w:r>
          </w:p>
        </w:tc>
        <w:tc>
          <w:tcPr>
            <w:tcW w:w="1142" w:type="dxa"/>
            <w:vAlign w:val="center"/>
            <w:hideMark/>
          </w:tcPr>
          <w:p w14:paraId="754E1216" w14:textId="77777777" w:rsidR="00993617" w:rsidRPr="00E72303" w:rsidRDefault="00993617" w:rsidP="007B178E">
            <w:pPr>
              <w:pStyle w:val="1stParagraph"/>
              <w:jc w:val="center"/>
              <w:rPr>
                <w:sz w:val="22"/>
                <w:u w:val="single"/>
              </w:rPr>
            </w:pPr>
            <w:r w:rsidRPr="00E72303">
              <w:rPr>
                <w:sz w:val="22"/>
                <w:u w:val="single"/>
              </w:rPr>
              <w:t>16.85</w:t>
            </w:r>
          </w:p>
        </w:tc>
        <w:tc>
          <w:tcPr>
            <w:tcW w:w="998" w:type="dxa"/>
            <w:vAlign w:val="center"/>
            <w:hideMark/>
          </w:tcPr>
          <w:p w14:paraId="4F18CAF4" w14:textId="77777777" w:rsidR="00993617" w:rsidRPr="00E72303" w:rsidRDefault="00993617" w:rsidP="007B178E">
            <w:pPr>
              <w:pStyle w:val="1stParagraph"/>
              <w:jc w:val="center"/>
              <w:rPr>
                <w:sz w:val="22"/>
              </w:rPr>
            </w:pPr>
            <w:r w:rsidRPr="00E72303">
              <w:rPr>
                <w:sz w:val="22"/>
              </w:rPr>
              <w:t>-1.35</w:t>
            </w:r>
          </w:p>
        </w:tc>
      </w:tr>
      <w:tr w:rsidR="00E72303" w:rsidRPr="00E72303" w14:paraId="6C228620" w14:textId="77777777" w:rsidTr="005D2BD0">
        <w:trPr>
          <w:trHeight w:val="288"/>
        </w:trPr>
        <w:tc>
          <w:tcPr>
            <w:tcW w:w="1207" w:type="dxa"/>
            <w:vMerge/>
            <w:vAlign w:val="center"/>
            <w:hideMark/>
          </w:tcPr>
          <w:p w14:paraId="72867866" w14:textId="77777777" w:rsidR="00993617" w:rsidRPr="00E72303" w:rsidRDefault="00993617" w:rsidP="007B178E">
            <w:pPr>
              <w:pStyle w:val="1stParagraph"/>
              <w:jc w:val="left"/>
              <w:rPr>
                <w:sz w:val="22"/>
              </w:rPr>
            </w:pPr>
          </w:p>
        </w:tc>
        <w:tc>
          <w:tcPr>
            <w:tcW w:w="2928" w:type="dxa"/>
            <w:vAlign w:val="center"/>
            <w:hideMark/>
          </w:tcPr>
          <w:p w14:paraId="2BC5E60E" w14:textId="77777777" w:rsidR="00993617" w:rsidRPr="00E72303" w:rsidRDefault="00993617" w:rsidP="007B178E">
            <w:pPr>
              <w:pStyle w:val="1stParagraph"/>
              <w:jc w:val="left"/>
              <w:rPr>
                <w:sz w:val="22"/>
              </w:rPr>
            </w:pPr>
            <w:r w:rsidRPr="00E72303">
              <w:rPr>
                <w:sz w:val="22"/>
              </w:rPr>
              <w:t>Non-gasoline pick-up trucks</w:t>
            </w:r>
          </w:p>
        </w:tc>
        <w:tc>
          <w:tcPr>
            <w:tcW w:w="1170" w:type="dxa"/>
            <w:vAlign w:val="center"/>
            <w:hideMark/>
          </w:tcPr>
          <w:p w14:paraId="62176A72" w14:textId="77777777" w:rsidR="00993617" w:rsidRPr="00E72303" w:rsidRDefault="00993617" w:rsidP="007B178E">
            <w:pPr>
              <w:pStyle w:val="1stParagraph"/>
              <w:jc w:val="center"/>
              <w:rPr>
                <w:sz w:val="22"/>
              </w:rPr>
            </w:pPr>
            <w:r w:rsidRPr="00E72303">
              <w:rPr>
                <w:sz w:val="22"/>
              </w:rPr>
              <w:t>-0.45</w:t>
            </w:r>
          </w:p>
        </w:tc>
        <w:tc>
          <w:tcPr>
            <w:tcW w:w="1046" w:type="dxa"/>
            <w:vAlign w:val="center"/>
            <w:hideMark/>
          </w:tcPr>
          <w:p w14:paraId="375B7C91" w14:textId="77777777" w:rsidR="00993617" w:rsidRPr="00E72303" w:rsidRDefault="00993617" w:rsidP="007B178E">
            <w:pPr>
              <w:pStyle w:val="1stParagraph"/>
              <w:jc w:val="center"/>
              <w:rPr>
                <w:sz w:val="22"/>
              </w:rPr>
            </w:pPr>
            <w:r w:rsidRPr="00E72303">
              <w:rPr>
                <w:sz w:val="22"/>
              </w:rPr>
              <w:t>-0.19</w:t>
            </w:r>
          </w:p>
        </w:tc>
        <w:tc>
          <w:tcPr>
            <w:tcW w:w="1035" w:type="dxa"/>
            <w:vAlign w:val="center"/>
            <w:hideMark/>
          </w:tcPr>
          <w:p w14:paraId="4BC6A8C2" w14:textId="77777777" w:rsidR="00993617" w:rsidRPr="00E72303" w:rsidRDefault="00993617" w:rsidP="007B178E">
            <w:pPr>
              <w:pStyle w:val="1stParagraph"/>
              <w:jc w:val="center"/>
              <w:rPr>
                <w:sz w:val="22"/>
              </w:rPr>
            </w:pPr>
            <w:r w:rsidRPr="00E72303">
              <w:rPr>
                <w:sz w:val="22"/>
              </w:rPr>
              <w:t>-0.26</w:t>
            </w:r>
          </w:p>
        </w:tc>
        <w:tc>
          <w:tcPr>
            <w:tcW w:w="1157" w:type="dxa"/>
            <w:vAlign w:val="center"/>
            <w:hideMark/>
          </w:tcPr>
          <w:p w14:paraId="1F44EB67" w14:textId="77777777" w:rsidR="00993617" w:rsidRPr="00E72303" w:rsidRDefault="00993617" w:rsidP="007B178E">
            <w:pPr>
              <w:pStyle w:val="1stParagraph"/>
              <w:jc w:val="center"/>
              <w:rPr>
                <w:sz w:val="22"/>
              </w:rPr>
            </w:pPr>
            <w:r w:rsidRPr="00E72303">
              <w:rPr>
                <w:sz w:val="22"/>
              </w:rPr>
              <w:t>-1.93</w:t>
            </w:r>
          </w:p>
        </w:tc>
        <w:tc>
          <w:tcPr>
            <w:tcW w:w="1142" w:type="dxa"/>
            <w:vAlign w:val="center"/>
            <w:hideMark/>
          </w:tcPr>
          <w:p w14:paraId="3207887D" w14:textId="77777777" w:rsidR="00993617" w:rsidRPr="00E72303" w:rsidRDefault="00993617" w:rsidP="007B178E">
            <w:pPr>
              <w:pStyle w:val="1stParagraph"/>
              <w:jc w:val="center"/>
              <w:rPr>
                <w:sz w:val="22"/>
              </w:rPr>
            </w:pPr>
            <w:r w:rsidRPr="00E72303">
              <w:rPr>
                <w:sz w:val="22"/>
              </w:rPr>
              <w:t>-0.77</w:t>
            </w:r>
          </w:p>
        </w:tc>
        <w:tc>
          <w:tcPr>
            <w:tcW w:w="1142" w:type="dxa"/>
            <w:vAlign w:val="center"/>
            <w:hideMark/>
          </w:tcPr>
          <w:p w14:paraId="660BF47B" w14:textId="77777777" w:rsidR="00993617" w:rsidRPr="00E72303" w:rsidRDefault="00993617" w:rsidP="007B178E">
            <w:pPr>
              <w:pStyle w:val="1stParagraph"/>
              <w:jc w:val="center"/>
              <w:rPr>
                <w:sz w:val="22"/>
              </w:rPr>
            </w:pPr>
            <w:r w:rsidRPr="00E72303">
              <w:rPr>
                <w:sz w:val="22"/>
              </w:rPr>
              <w:t>-0.14</w:t>
            </w:r>
          </w:p>
        </w:tc>
        <w:tc>
          <w:tcPr>
            <w:tcW w:w="1142" w:type="dxa"/>
            <w:vAlign w:val="center"/>
            <w:hideMark/>
          </w:tcPr>
          <w:p w14:paraId="73AF010D" w14:textId="77777777" w:rsidR="00993617" w:rsidRPr="00E72303" w:rsidRDefault="00993617" w:rsidP="007B178E">
            <w:pPr>
              <w:pStyle w:val="1stParagraph"/>
              <w:jc w:val="center"/>
              <w:rPr>
                <w:sz w:val="22"/>
              </w:rPr>
            </w:pPr>
            <w:r w:rsidRPr="00E72303">
              <w:rPr>
                <w:sz w:val="22"/>
              </w:rPr>
              <w:t>-0.29</w:t>
            </w:r>
          </w:p>
        </w:tc>
        <w:tc>
          <w:tcPr>
            <w:tcW w:w="998" w:type="dxa"/>
            <w:vAlign w:val="center"/>
            <w:hideMark/>
          </w:tcPr>
          <w:p w14:paraId="1BC83EEB" w14:textId="77777777" w:rsidR="00993617" w:rsidRPr="00E72303" w:rsidRDefault="00993617" w:rsidP="007B178E">
            <w:pPr>
              <w:pStyle w:val="1stParagraph"/>
              <w:jc w:val="center"/>
              <w:rPr>
                <w:sz w:val="22"/>
                <w:u w:val="single"/>
              </w:rPr>
            </w:pPr>
            <w:r w:rsidRPr="00E72303">
              <w:rPr>
                <w:sz w:val="22"/>
                <w:u w:val="single"/>
              </w:rPr>
              <w:t>41.61</w:t>
            </w:r>
          </w:p>
        </w:tc>
      </w:tr>
      <w:tr w:rsidR="00E72303" w:rsidRPr="00E72303" w14:paraId="584DD69D" w14:textId="77777777" w:rsidTr="005D2BD0">
        <w:trPr>
          <w:trHeight w:val="288"/>
        </w:trPr>
        <w:tc>
          <w:tcPr>
            <w:tcW w:w="1207" w:type="dxa"/>
            <w:vMerge/>
            <w:vAlign w:val="center"/>
            <w:hideMark/>
          </w:tcPr>
          <w:p w14:paraId="038061C8" w14:textId="77777777" w:rsidR="00993617" w:rsidRPr="00E72303" w:rsidRDefault="00993617" w:rsidP="007B178E">
            <w:pPr>
              <w:pStyle w:val="1stParagraph"/>
              <w:jc w:val="left"/>
              <w:rPr>
                <w:sz w:val="22"/>
              </w:rPr>
            </w:pPr>
          </w:p>
        </w:tc>
        <w:tc>
          <w:tcPr>
            <w:tcW w:w="2928" w:type="dxa"/>
            <w:vAlign w:val="center"/>
            <w:hideMark/>
          </w:tcPr>
          <w:p w14:paraId="6F33D559" w14:textId="77777777" w:rsidR="00993617" w:rsidRPr="00E72303" w:rsidRDefault="00993617" w:rsidP="007B178E">
            <w:pPr>
              <w:pStyle w:val="1stParagraph"/>
              <w:jc w:val="left"/>
              <w:rPr>
                <w:sz w:val="22"/>
              </w:rPr>
            </w:pPr>
            <w:r w:rsidRPr="00E72303">
              <w:rPr>
                <w:sz w:val="22"/>
              </w:rPr>
              <w:t>Non-gasoline utility vehicle</w:t>
            </w:r>
          </w:p>
        </w:tc>
        <w:tc>
          <w:tcPr>
            <w:tcW w:w="1170" w:type="dxa"/>
            <w:vAlign w:val="center"/>
            <w:hideMark/>
          </w:tcPr>
          <w:p w14:paraId="328CB12B" w14:textId="77777777" w:rsidR="00993617" w:rsidRPr="00E72303" w:rsidRDefault="00993617" w:rsidP="007B178E">
            <w:pPr>
              <w:pStyle w:val="1stParagraph"/>
              <w:jc w:val="center"/>
              <w:rPr>
                <w:sz w:val="22"/>
              </w:rPr>
            </w:pPr>
            <w:r w:rsidRPr="00E72303">
              <w:rPr>
                <w:sz w:val="22"/>
              </w:rPr>
              <w:t>-2.91</w:t>
            </w:r>
          </w:p>
        </w:tc>
        <w:tc>
          <w:tcPr>
            <w:tcW w:w="1046" w:type="dxa"/>
            <w:vAlign w:val="center"/>
            <w:hideMark/>
          </w:tcPr>
          <w:p w14:paraId="5A757F95" w14:textId="77777777" w:rsidR="00993617" w:rsidRPr="00E72303" w:rsidRDefault="00993617" w:rsidP="007B178E">
            <w:pPr>
              <w:pStyle w:val="1stParagraph"/>
              <w:jc w:val="center"/>
              <w:rPr>
                <w:sz w:val="22"/>
              </w:rPr>
            </w:pPr>
            <w:r w:rsidRPr="00E72303">
              <w:rPr>
                <w:sz w:val="22"/>
              </w:rPr>
              <w:t>-2.11</w:t>
            </w:r>
          </w:p>
        </w:tc>
        <w:tc>
          <w:tcPr>
            <w:tcW w:w="1035" w:type="dxa"/>
            <w:vAlign w:val="center"/>
            <w:hideMark/>
          </w:tcPr>
          <w:p w14:paraId="68AC6379" w14:textId="77777777" w:rsidR="00993617" w:rsidRPr="00E72303" w:rsidRDefault="00993617" w:rsidP="007B178E">
            <w:pPr>
              <w:pStyle w:val="1stParagraph"/>
              <w:jc w:val="center"/>
              <w:rPr>
                <w:sz w:val="22"/>
              </w:rPr>
            </w:pPr>
            <w:r w:rsidRPr="00E72303">
              <w:rPr>
                <w:sz w:val="22"/>
              </w:rPr>
              <w:t>-1.79</w:t>
            </w:r>
          </w:p>
        </w:tc>
        <w:tc>
          <w:tcPr>
            <w:tcW w:w="1157" w:type="dxa"/>
            <w:vAlign w:val="center"/>
            <w:hideMark/>
          </w:tcPr>
          <w:p w14:paraId="38710BD3" w14:textId="77777777" w:rsidR="00993617" w:rsidRPr="00E72303" w:rsidRDefault="00993617" w:rsidP="007B178E">
            <w:pPr>
              <w:pStyle w:val="1stParagraph"/>
              <w:jc w:val="center"/>
              <w:rPr>
                <w:sz w:val="22"/>
              </w:rPr>
            </w:pPr>
            <w:r w:rsidRPr="00E72303">
              <w:rPr>
                <w:sz w:val="22"/>
              </w:rPr>
              <w:t>-2.15</w:t>
            </w:r>
          </w:p>
        </w:tc>
        <w:tc>
          <w:tcPr>
            <w:tcW w:w="1142" w:type="dxa"/>
            <w:vAlign w:val="center"/>
            <w:hideMark/>
          </w:tcPr>
          <w:p w14:paraId="63DF6296" w14:textId="77777777" w:rsidR="00993617" w:rsidRPr="00E72303" w:rsidRDefault="00993617" w:rsidP="007B178E">
            <w:pPr>
              <w:pStyle w:val="1stParagraph"/>
              <w:jc w:val="center"/>
              <w:rPr>
                <w:sz w:val="22"/>
                <w:u w:val="single"/>
              </w:rPr>
            </w:pPr>
            <w:r w:rsidRPr="00E72303">
              <w:rPr>
                <w:sz w:val="22"/>
                <w:u w:val="single"/>
              </w:rPr>
              <w:t>40.11</w:t>
            </w:r>
          </w:p>
        </w:tc>
        <w:tc>
          <w:tcPr>
            <w:tcW w:w="1142" w:type="dxa"/>
            <w:vAlign w:val="center"/>
            <w:hideMark/>
          </w:tcPr>
          <w:p w14:paraId="0BD5F288" w14:textId="77777777" w:rsidR="00993617" w:rsidRPr="00E72303" w:rsidRDefault="00993617" w:rsidP="007B178E">
            <w:pPr>
              <w:pStyle w:val="1stParagraph"/>
              <w:jc w:val="center"/>
              <w:rPr>
                <w:sz w:val="22"/>
              </w:rPr>
            </w:pPr>
            <w:r w:rsidRPr="00E72303">
              <w:rPr>
                <w:sz w:val="22"/>
              </w:rPr>
              <w:t>-2.89</w:t>
            </w:r>
          </w:p>
        </w:tc>
        <w:tc>
          <w:tcPr>
            <w:tcW w:w="1142" w:type="dxa"/>
            <w:vAlign w:val="center"/>
            <w:hideMark/>
          </w:tcPr>
          <w:p w14:paraId="29C5FD4F" w14:textId="77777777" w:rsidR="00993617" w:rsidRPr="00E72303" w:rsidRDefault="00993617" w:rsidP="007B178E">
            <w:pPr>
              <w:pStyle w:val="1stParagraph"/>
              <w:jc w:val="center"/>
              <w:rPr>
                <w:sz w:val="22"/>
              </w:rPr>
            </w:pPr>
            <w:r w:rsidRPr="00E72303">
              <w:rPr>
                <w:sz w:val="22"/>
              </w:rPr>
              <w:t>-1.34</w:t>
            </w:r>
          </w:p>
        </w:tc>
        <w:tc>
          <w:tcPr>
            <w:tcW w:w="998" w:type="dxa"/>
            <w:vAlign w:val="center"/>
            <w:hideMark/>
          </w:tcPr>
          <w:p w14:paraId="2B93987E" w14:textId="77777777" w:rsidR="00993617" w:rsidRPr="00E72303" w:rsidRDefault="00993617" w:rsidP="007B178E">
            <w:pPr>
              <w:pStyle w:val="1stParagraph"/>
              <w:jc w:val="center"/>
              <w:rPr>
                <w:sz w:val="22"/>
              </w:rPr>
            </w:pPr>
            <w:r w:rsidRPr="00E72303">
              <w:rPr>
                <w:sz w:val="22"/>
              </w:rPr>
              <w:t>-3.46</w:t>
            </w:r>
          </w:p>
        </w:tc>
      </w:tr>
      <w:tr w:rsidR="00E72303" w:rsidRPr="00E72303" w14:paraId="3AD13243" w14:textId="77777777" w:rsidTr="005D2BD0">
        <w:trPr>
          <w:trHeight w:val="288"/>
        </w:trPr>
        <w:tc>
          <w:tcPr>
            <w:tcW w:w="1207" w:type="dxa"/>
            <w:vMerge w:val="restart"/>
            <w:vAlign w:val="center"/>
            <w:hideMark/>
          </w:tcPr>
          <w:p w14:paraId="3D2F31C2" w14:textId="238B71EC" w:rsidR="00993617" w:rsidRPr="00E72303" w:rsidRDefault="00993617" w:rsidP="007B178E">
            <w:pPr>
              <w:pStyle w:val="1stParagraph"/>
              <w:jc w:val="left"/>
              <w:rPr>
                <w:sz w:val="22"/>
              </w:rPr>
            </w:pPr>
            <w:r w:rsidRPr="00E72303">
              <w:rPr>
                <w:sz w:val="22"/>
              </w:rPr>
              <w:t xml:space="preserve">Vehicle </w:t>
            </w:r>
            <w:r w:rsidR="001D5BBC" w:rsidRPr="00E72303">
              <w:rPr>
                <w:sz w:val="22"/>
              </w:rPr>
              <w:t>price*</w:t>
            </w:r>
          </w:p>
        </w:tc>
        <w:tc>
          <w:tcPr>
            <w:tcW w:w="2928" w:type="dxa"/>
            <w:vAlign w:val="center"/>
            <w:hideMark/>
          </w:tcPr>
          <w:p w14:paraId="5694A875" w14:textId="77777777" w:rsidR="00993617" w:rsidRPr="00E72303" w:rsidRDefault="00993617" w:rsidP="007B178E">
            <w:pPr>
              <w:pStyle w:val="1stParagraph"/>
              <w:jc w:val="left"/>
              <w:rPr>
                <w:sz w:val="22"/>
              </w:rPr>
            </w:pPr>
            <w:r w:rsidRPr="00E72303">
              <w:rPr>
                <w:sz w:val="22"/>
              </w:rPr>
              <w:t>Gasoline sport sedans</w:t>
            </w:r>
          </w:p>
        </w:tc>
        <w:tc>
          <w:tcPr>
            <w:tcW w:w="1170" w:type="dxa"/>
            <w:vAlign w:val="center"/>
            <w:hideMark/>
          </w:tcPr>
          <w:p w14:paraId="200F6733" w14:textId="77777777" w:rsidR="00993617" w:rsidRPr="00E72303" w:rsidRDefault="00993617" w:rsidP="007B178E">
            <w:pPr>
              <w:pStyle w:val="1stParagraph"/>
              <w:jc w:val="center"/>
              <w:rPr>
                <w:sz w:val="22"/>
              </w:rPr>
            </w:pPr>
            <w:r w:rsidRPr="00E72303">
              <w:rPr>
                <w:sz w:val="22"/>
              </w:rPr>
              <w:t>-3.25</w:t>
            </w:r>
          </w:p>
        </w:tc>
        <w:tc>
          <w:tcPr>
            <w:tcW w:w="1046" w:type="dxa"/>
            <w:vAlign w:val="center"/>
            <w:hideMark/>
          </w:tcPr>
          <w:p w14:paraId="09F6C913" w14:textId="77777777" w:rsidR="00993617" w:rsidRPr="00E72303" w:rsidRDefault="00993617" w:rsidP="007B178E">
            <w:pPr>
              <w:pStyle w:val="1stParagraph"/>
              <w:jc w:val="center"/>
              <w:rPr>
                <w:sz w:val="22"/>
                <w:u w:val="single"/>
              </w:rPr>
            </w:pPr>
            <w:r w:rsidRPr="00E72303">
              <w:rPr>
                <w:sz w:val="22"/>
                <w:u w:val="single"/>
              </w:rPr>
              <w:t>54.47</w:t>
            </w:r>
          </w:p>
        </w:tc>
        <w:tc>
          <w:tcPr>
            <w:tcW w:w="1035" w:type="dxa"/>
            <w:vAlign w:val="center"/>
            <w:hideMark/>
          </w:tcPr>
          <w:p w14:paraId="5B8CA48F" w14:textId="77777777" w:rsidR="00993617" w:rsidRPr="00E72303" w:rsidRDefault="00993617" w:rsidP="007B178E">
            <w:pPr>
              <w:pStyle w:val="1stParagraph"/>
              <w:jc w:val="center"/>
              <w:rPr>
                <w:sz w:val="22"/>
              </w:rPr>
            </w:pPr>
            <w:r w:rsidRPr="00E72303">
              <w:rPr>
                <w:sz w:val="22"/>
              </w:rPr>
              <w:t>-1.79</w:t>
            </w:r>
          </w:p>
        </w:tc>
        <w:tc>
          <w:tcPr>
            <w:tcW w:w="1157" w:type="dxa"/>
            <w:vAlign w:val="center"/>
            <w:hideMark/>
          </w:tcPr>
          <w:p w14:paraId="3D91E6CE" w14:textId="77777777" w:rsidR="00993617" w:rsidRPr="00E72303" w:rsidRDefault="00993617" w:rsidP="007B178E">
            <w:pPr>
              <w:pStyle w:val="1stParagraph"/>
              <w:jc w:val="center"/>
              <w:rPr>
                <w:sz w:val="22"/>
              </w:rPr>
            </w:pPr>
            <w:r w:rsidRPr="00E72303">
              <w:rPr>
                <w:sz w:val="22"/>
              </w:rPr>
              <w:t>-1.72</w:t>
            </w:r>
          </w:p>
        </w:tc>
        <w:tc>
          <w:tcPr>
            <w:tcW w:w="1142" w:type="dxa"/>
            <w:vAlign w:val="center"/>
            <w:hideMark/>
          </w:tcPr>
          <w:p w14:paraId="2150330C" w14:textId="77777777" w:rsidR="00993617" w:rsidRPr="00E72303" w:rsidRDefault="00993617" w:rsidP="007B178E">
            <w:pPr>
              <w:pStyle w:val="1stParagraph"/>
              <w:jc w:val="center"/>
              <w:rPr>
                <w:sz w:val="22"/>
              </w:rPr>
            </w:pPr>
            <w:r w:rsidRPr="00E72303">
              <w:rPr>
                <w:sz w:val="22"/>
              </w:rPr>
              <w:t>-2.52</w:t>
            </w:r>
          </w:p>
        </w:tc>
        <w:tc>
          <w:tcPr>
            <w:tcW w:w="1142" w:type="dxa"/>
            <w:vAlign w:val="center"/>
            <w:hideMark/>
          </w:tcPr>
          <w:p w14:paraId="1CC30E68" w14:textId="77777777" w:rsidR="00993617" w:rsidRPr="00E72303" w:rsidRDefault="00993617" w:rsidP="007B178E">
            <w:pPr>
              <w:pStyle w:val="1stParagraph"/>
              <w:jc w:val="center"/>
              <w:rPr>
                <w:sz w:val="22"/>
              </w:rPr>
            </w:pPr>
            <w:r w:rsidRPr="00E72303">
              <w:rPr>
                <w:sz w:val="22"/>
              </w:rPr>
              <w:t>-10.39</w:t>
            </w:r>
          </w:p>
        </w:tc>
        <w:tc>
          <w:tcPr>
            <w:tcW w:w="1142" w:type="dxa"/>
            <w:vAlign w:val="center"/>
            <w:hideMark/>
          </w:tcPr>
          <w:p w14:paraId="020C645B" w14:textId="77777777" w:rsidR="00993617" w:rsidRPr="00E72303" w:rsidRDefault="00993617" w:rsidP="007B178E">
            <w:pPr>
              <w:pStyle w:val="1stParagraph"/>
              <w:jc w:val="center"/>
              <w:rPr>
                <w:sz w:val="22"/>
              </w:rPr>
            </w:pPr>
            <w:r w:rsidRPr="00E72303">
              <w:rPr>
                <w:sz w:val="22"/>
              </w:rPr>
              <w:t>-0.99</w:t>
            </w:r>
          </w:p>
        </w:tc>
        <w:tc>
          <w:tcPr>
            <w:tcW w:w="998" w:type="dxa"/>
            <w:vAlign w:val="center"/>
            <w:hideMark/>
          </w:tcPr>
          <w:p w14:paraId="3072AFDB" w14:textId="77777777" w:rsidR="00993617" w:rsidRPr="00E72303" w:rsidRDefault="00993617" w:rsidP="007B178E">
            <w:pPr>
              <w:pStyle w:val="1stParagraph"/>
              <w:jc w:val="center"/>
              <w:rPr>
                <w:sz w:val="22"/>
              </w:rPr>
            </w:pPr>
            <w:r w:rsidRPr="00E72303">
              <w:rPr>
                <w:sz w:val="22"/>
              </w:rPr>
              <w:t>-1.35</w:t>
            </w:r>
          </w:p>
        </w:tc>
      </w:tr>
      <w:tr w:rsidR="00E72303" w:rsidRPr="00E72303" w14:paraId="45FF8052" w14:textId="77777777" w:rsidTr="005D2BD0">
        <w:trPr>
          <w:trHeight w:val="288"/>
        </w:trPr>
        <w:tc>
          <w:tcPr>
            <w:tcW w:w="1207" w:type="dxa"/>
            <w:vMerge/>
            <w:vAlign w:val="center"/>
            <w:hideMark/>
          </w:tcPr>
          <w:p w14:paraId="06820CAF" w14:textId="77777777" w:rsidR="00993617" w:rsidRPr="00E72303" w:rsidRDefault="00993617" w:rsidP="007B178E">
            <w:pPr>
              <w:pStyle w:val="1stParagraph"/>
              <w:jc w:val="left"/>
              <w:rPr>
                <w:sz w:val="22"/>
              </w:rPr>
            </w:pPr>
          </w:p>
        </w:tc>
        <w:tc>
          <w:tcPr>
            <w:tcW w:w="2928" w:type="dxa"/>
            <w:vAlign w:val="center"/>
            <w:hideMark/>
          </w:tcPr>
          <w:p w14:paraId="462D4EF8" w14:textId="77777777" w:rsidR="00993617" w:rsidRPr="00E72303" w:rsidRDefault="00993617" w:rsidP="007B178E">
            <w:pPr>
              <w:pStyle w:val="1stParagraph"/>
              <w:jc w:val="left"/>
              <w:rPr>
                <w:sz w:val="22"/>
              </w:rPr>
            </w:pPr>
            <w:r w:rsidRPr="00E72303">
              <w:rPr>
                <w:sz w:val="22"/>
              </w:rPr>
              <w:t>Gasoline sedans</w:t>
            </w:r>
          </w:p>
        </w:tc>
        <w:tc>
          <w:tcPr>
            <w:tcW w:w="1170" w:type="dxa"/>
            <w:vAlign w:val="center"/>
            <w:hideMark/>
          </w:tcPr>
          <w:p w14:paraId="533B5F2D" w14:textId="77777777" w:rsidR="00993617" w:rsidRPr="00E72303" w:rsidRDefault="00993617" w:rsidP="007B178E">
            <w:pPr>
              <w:pStyle w:val="1stParagraph"/>
              <w:jc w:val="center"/>
              <w:rPr>
                <w:sz w:val="22"/>
              </w:rPr>
            </w:pPr>
            <w:r w:rsidRPr="00E72303">
              <w:rPr>
                <w:sz w:val="22"/>
              </w:rPr>
              <w:t>1.75</w:t>
            </w:r>
          </w:p>
        </w:tc>
        <w:tc>
          <w:tcPr>
            <w:tcW w:w="1046" w:type="dxa"/>
            <w:vAlign w:val="center"/>
            <w:hideMark/>
          </w:tcPr>
          <w:p w14:paraId="27BF2E72" w14:textId="77777777" w:rsidR="00993617" w:rsidRPr="00E72303" w:rsidRDefault="00993617" w:rsidP="007B178E">
            <w:pPr>
              <w:pStyle w:val="1stParagraph"/>
              <w:jc w:val="center"/>
              <w:rPr>
                <w:sz w:val="22"/>
              </w:rPr>
            </w:pPr>
            <w:r w:rsidRPr="00E72303">
              <w:rPr>
                <w:sz w:val="22"/>
              </w:rPr>
              <w:t>1.47</w:t>
            </w:r>
          </w:p>
        </w:tc>
        <w:tc>
          <w:tcPr>
            <w:tcW w:w="1035" w:type="dxa"/>
            <w:vAlign w:val="center"/>
            <w:hideMark/>
          </w:tcPr>
          <w:p w14:paraId="6C6590DF" w14:textId="77777777" w:rsidR="00993617" w:rsidRPr="00E72303" w:rsidRDefault="00993617" w:rsidP="007B178E">
            <w:pPr>
              <w:pStyle w:val="1stParagraph"/>
              <w:jc w:val="center"/>
              <w:rPr>
                <w:sz w:val="22"/>
                <w:u w:val="single"/>
              </w:rPr>
            </w:pPr>
            <w:r w:rsidRPr="00E72303">
              <w:rPr>
                <w:sz w:val="22"/>
                <w:u w:val="single"/>
              </w:rPr>
              <w:t>-4.56</w:t>
            </w:r>
          </w:p>
        </w:tc>
        <w:tc>
          <w:tcPr>
            <w:tcW w:w="1157" w:type="dxa"/>
            <w:vAlign w:val="center"/>
            <w:hideMark/>
          </w:tcPr>
          <w:p w14:paraId="0F73A377" w14:textId="77777777" w:rsidR="00993617" w:rsidRPr="00E72303" w:rsidRDefault="00993617" w:rsidP="007B178E">
            <w:pPr>
              <w:pStyle w:val="1stParagraph"/>
              <w:jc w:val="center"/>
              <w:rPr>
                <w:sz w:val="22"/>
              </w:rPr>
            </w:pPr>
            <w:r w:rsidRPr="00E72303">
              <w:rPr>
                <w:sz w:val="22"/>
              </w:rPr>
              <w:t>0.87</w:t>
            </w:r>
          </w:p>
        </w:tc>
        <w:tc>
          <w:tcPr>
            <w:tcW w:w="1142" w:type="dxa"/>
            <w:vAlign w:val="center"/>
            <w:hideMark/>
          </w:tcPr>
          <w:p w14:paraId="6252C7CC" w14:textId="77777777" w:rsidR="00993617" w:rsidRPr="00E72303" w:rsidRDefault="00993617" w:rsidP="007B178E">
            <w:pPr>
              <w:pStyle w:val="1stParagraph"/>
              <w:jc w:val="center"/>
              <w:rPr>
                <w:sz w:val="22"/>
              </w:rPr>
            </w:pPr>
            <w:r w:rsidRPr="00E72303">
              <w:rPr>
                <w:sz w:val="22"/>
              </w:rPr>
              <w:t>1.67</w:t>
            </w:r>
          </w:p>
        </w:tc>
        <w:tc>
          <w:tcPr>
            <w:tcW w:w="1142" w:type="dxa"/>
            <w:vAlign w:val="center"/>
            <w:hideMark/>
          </w:tcPr>
          <w:p w14:paraId="1CC7C676" w14:textId="77777777" w:rsidR="00993617" w:rsidRPr="00E72303" w:rsidRDefault="00993617" w:rsidP="007B178E">
            <w:pPr>
              <w:pStyle w:val="1stParagraph"/>
              <w:jc w:val="center"/>
              <w:rPr>
                <w:sz w:val="22"/>
              </w:rPr>
            </w:pPr>
            <w:r w:rsidRPr="00E72303">
              <w:rPr>
                <w:sz w:val="22"/>
              </w:rPr>
              <w:t>1.75</w:t>
            </w:r>
          </w:p>
        </w:tc>
        <w:tc>
          <w:tcPr>
            <w:tcW w:w="1142" w:type="dxa"/>
            <w:vAlign w:val="center"/>
            <w:hideMark/>
          </w:tcPr>
          <w:p w14:paraId="37155F2E" w14:textId="77777777" w:rsidR="00993617" w:rsidRPr="00E72303" w:rsidRDefault="00993617" w:rsidP="007B178E">
            <w:pPr>
              <w:pStyle w:val="1stParagraph"/>
              <w:jc w:val="center"/>
              <w:rPr>
                <w:sz w:val="22"/>
              </w:rPr>
            </w:pPr>
            <w:r w:rsidRPr="00E72303">
              <w:rPr>
                <w:sz w:val="22"/>
              </w:rPr>
              <w:t>0.79</w:t>
            </w:r>
          </w:p>
        </w:tc>
        <w:tc>
          <w:tcPr>
            <w:tcW w:w="998" w:type="dxa"/>
            <w:vAlign w:val="center"/>
            <w:hideMark/>
          </w:tcPr>
          <w:p w14:paraId="49F13809" w14:textId="77777777" w:rsidR="00993617" w:rsidRPr="00E72303" w:rsidRDefault="00993617" w:rsidP="007B178E">
            <w:pPr>
              <w:pStyle w:val="1stParagraph"/>
              <w:jc w:val="center"/>
              <w:rPr>
                <w:sz w:val="22"/>
              </w:rPr>
            </w:pPr>
            <w:r w:rsidRPr="00E72303">
              <w:rPr>
                <w:sz w:val="22"/>
              </w:rPr>
              <w:t>0.96</w:t>
            </w:r>
          </w:p>
        </w:tc>
      </w:tr>
      <w:tr w:rsidR="00E72303" w:rsidRPr="00E72303" w14:paraId="283D4DE6" w14:textId="77777777" w:rsidTr="005D2BD0">
        <w:trPr>
          <w:trHeight w:val="288"/>
        </w:trPr>
        <w:tc>
          <w:tcPr>
            <w:tcW w:w="1207" w:type="dxa"/>
            <w:vMerge/>
            <w:vAlign w:val="center"/>
            <w:hideMark/>
          </w:tcPr>
          <w:p w14:paraId="75EA9577" w14:textId="77777777" w:rsidR="00993617" w:rsidRPr="00E72303" w:rsidRDefault="00993617" w:rsidP="007B178E">
            <w:pPr>
              <w:pStyle w:val="1stParagraph"/>
              <w:jc w:val="left"/>
              <w:rPr>
                <w:sz w:val="22"/>
              </w:rPr>
            </w:pPr>
          </w:p>
        </w:tc>
        <w:tc>
          <w:tcPr>
            <w:tcW w:w="2928" w:type="dxa"/>
            <w:vAlign w:val="center"/>
            <w:hideMark/>
          </w:tcPr>
          <w:p w14:paraId="4374E19A" w14:textId="77777777" w:rsidR="00993617" w:rsidRPr="00E72303" w:rsidRDefault="00993617" w:rsidP="007B178E">
            <w:pPr>
              <w:pStyle w:val="1stParagraph"/>
              <w:jc w:val="left"/>
              <w:rPr>
                <w:sz w:val="22"/>
              </w:rPr>
            </w:pPr>
            <w:r w:rsidRPr="00E72303">
              <w:rPr>
                <w:sz w:val="22"/>
              </w:rPr>
              <w:t>Gasoline pick-up trucks</w:t>
            </w:r>
          </w:p>
        </w:tc>
        <w:tc>
          <w:tcPr>
            <w:tcW w:w="1170" w:type="dxa"/>
            <w:vAlign w:val="center"/>
            <w:hideMark/>
          </w:tcPr>
          <w:p w14:paraId="75FFB605" w14:textId="77777777" w:rsidR="00993617" w:rsidRPr="00E72303" w:rsidRDefault="00993617" w:rsidP="007B178E">
            <w:pPr>
              <w:pStyle w:val="1stParagraph"/>
              <w:jc w:val="center"/>
              <w:rPr>
                <w:sz w:val="22"/>
              </w:rPr>
            </w:pPr>
            <w:r w:rsidRPr="00E72303">
              <w:rPr>
                <w:sz w:val="22"/>
              </w:rPr>
              <w:t>-4.66</w:t>
            </w:r>
          </w:p>
        </w:tc>
        <w:tc>
          <w:tcPr>
            <w:tcW w:w="1046" w:type="dxa"/>
            <w:vAlign w:val="center"/>
            <w:hideMark/>
          </w:tcPr>
          <w:p w14:paraId="6DF6DF4A" w14:textId="77777777" w:rsidR="00993617" w:rsidRPr="00E72303" w:rsidRDefault="00993617" w:rsidP="007B178E">
            <w:pPr>
              <w:pStyle w:val="1stParagraph"/>
              <w:jc w:val="center"/>
              <w:rPr>
                <w:sz w:val="22"/>
              </w:rPr>
            </w:pPr>
            <w:r w:rsidRPr="00E72303">
              <w:rPr>
                <w:sz w:val="22"/>
              </w:rPr>
              <w:t>-2.33</w:t>
            </w:r>
          </w:p>
        </w:tc>
        <w:tc>
          <w:tcPr>
            <w:tcW w:w="1035" w:type="dxa"/>
            <w:vAlign w:val="center"/>
            <w:hideMark/>
          </w:tcPr>
          <w:p w14:paraId="32E1154A" w14:textId="77777777" w:rsidR="00993617" w:rsidRPr="00E72303" w:rsidRDefault="00993617" w:rsidP="007B178E">
            <w:pPr>
              <w:pStyle w:val="1stParagraph"/>
              <w:jc w:val="center"/>
              <w:rPr>
                <w:sz w:val="22"/>
              </w:rPr>
            </w:pPr>
            <w:r w:rsidRPr="00E72303">
              <w:rPr>
                <w:sz w:val="22"/>
              </w:rPr>
              <w:t>-2.22</w:t>
            </w:r>
          </w:p>
        </w:tc>
        <w:tc>
          <w:tcPr>
            <w:tcW w:w="1157" w:type="dxa"/>
            <w:vAlign w:val="center"/>
            <w:hideMark/>
          </w:tcPr>
          <w:p w14:paraId="7FFA9803" w14:textId="77777777" w:rsidR="00993617" w:rsidRPr="00E72303" w:rsidRDefault="00993617" w:rsidP="007B178E">
            <w:pPr>
              <w:pStyle w:val="1stParagraph"/>
              <w:jc w:val="center"/>
              <w:rPr>
                <w:sz w:val="22"/>
                <w:u w:val="single"/>
              </w:rPr>
            </w:pPr>
            <w:r w:rsidRPr="00E72303">
              <w:rPr>
                <w:sz w:val="22"/>
                <w:u w:val="single"/>
              </w:rPr>
              <w:t>32.87</w:t>
            </w:r>
          </w:p>
        </w:tc>
        <w:tc>
          <w:tcPr>
            <w:tcW w:w="1142" w:type="dxa"/>
            <w:vAlign w:val="center"/>
            <w:hideMark/>
          </w:tcPr>
          <w:p w14:paraId="4BA6AD04" w14:textId="77777777" w:rsidR="00993617" w:rsidRPr="00E72303" w:rsidRDefault="00993617" w:rsidP="007B178E">
            <w:pPr>
              <w:pStyle w:val="1stParagraph"/>
              <w:jc w:val="center"/>
              <w:rPr>
                <w:sz w:val="22"/>
              </w:rPr>
            </w:pPr>
            <w:r w:rsidRPr="00E72303">
              <w:rPr>
                <w:sz w:val="22"/>
              </w:rPr>
              <w:t>-4.72</w:t>
            </w:r>
          </w:p>
        </w:tc>
        <w:tc>
          <w:tcPr>
            <w:tcW w:w="1142" w:type="dxa"/>
            <w:vAlign w:val="center"/>
            <w:hideMark/>
          </w:tcPr>
          <w:p w14:paraId="54484B18" w14:textId="77777777" w:rsidR="00993617" w:rsidRPr="00E72303" w:rsidRDefault="00993617" w:rsidP="007B178E">
            <w:pPr>
              <w:pStyle w:val="1stParagraph"/>
              <w:jc w:val="center"/>
              <w:rPr>
                <w:sz w:val="22"/>
              </w:rPr>
            </w:pPr>
            <w:r w:rsidRPr="00E72303">
              <w:rPr>
                <w:sz w:val="22"/>
              </w:rPr>
              <w:t>-1.36</w:t>
            </w:r>
          </w:p>
        </w:tc>
        <w:tc>
          <w:tcPr>
            <w:tcW w:w="1142" w:type="dxa"/>
            <w:vAlign w:val="center"/>
            <w:hideMark/>
          </w:tcPr>
          <w:p w14:paraId="7475ACFC" w14:textId="77777777" w:rsidR="00993617" w:rsidRPr="00E72303" w:rsidRDefault="00993617" w:rsidP="007B178E">
            <w:pPr>
              <w:pStyle w:val="1stParagraph"/>
              <w:jc w:val="center"/>
              <w:rPr>
                <w:sz w:val="22"/>
              </w:rPr>
            </w:pPr>
            <w:r w:rsidRPr="00E72303">
              <w:rPr>
                <w:sz w:val="22"/>
              </w:rPr>
              <w:t>-1.80</w:t>
            </w:r>
          </w:p>
        </w:tc>
        <w:tc>
          <w:tcPr>
            <w:tcW w:w="998" w:type="dxa"/>
            <w:vAlign w:val="center"/>
            <w:hideMark/>
          </w:tcPr>
          <w:p w14:paraId="617A3482" w14:textId="77777777" w:rsidR="00993617" w:rsidRPr="00E72303" w:rsidRDefault="00993617" w:rsidP="007B178E">
            <w:pPr>
              <w:pStyle w:val="1stParagraph"/>
              <w:jc w:val="center"/>
              <w:rPr>
                <w:sz w:val="22"/>
              </w:rPr>
            </w:pPr>
            <w:r w:rsidRPr="00E72303">
              <w:rPr>
                <w:sz w:val="22"/>
              </w:rPr>
              <w:t>-17.27</w:t>
            </w:r>
          </w:p>
        </w:tc>
      </w:tr>
      <w:tr w:rsidR="00E72303" w:rsidRPr="00E72303" w14:paraId="546D1402" w14:textId="77777777" w:rsidTr="005D2BD0">
        <w:trPr>
          <w:trHeight w:val="288"/>
        </w:trPr>
        <w:tc>
          <w:tcPr>
            <w:tcW w:w="1207" w:type="dxa"/>
            <w:vMerge/>
            <w:vAlign w:val="center"/>
            <w:hideMark/>
          </w:tcPr>
          <w:p w14:paraId="52E22EE5" w14:textId="77777777" w:rsidR="00993617" w:rsidRPr="00E72303" w:rsidRDefault="00993617" w:rsidP="007B178E">
            <w:pPr>
              <w:pStyle w:val="1stParagraph"/>
              <w:jc w:val="left"/>
              <w:rPr>
                <w:sz w:val="22"/>
              </w:rPr>
            </w:pPr>
          </w:p>
        </w:tc>
        <w:tc>
          <w:tcPr>
            <w:tcW w:w="2928" w:type="dxa"/>
            <w:vAlign w:val="center"/>
            <w:hideMark/>
          </w:tcPr>
          <w:p w14:paraId="4A2DE5D3" w14:textId="77777777" w:rsidR="00993617" w:rsidRPr="00E72303" w:rsidRDefault="00993617" w:rsidP="007B178E">
            <w:pPr>
              <w:pStyle w:val="1stParagraph"/>
              <w:jc w:val="left"/>
              <w:rPr>
                <w:sz w:val="22"/>
              </w:rPr>
            </w:pPr>
            <w:r w:rsidRPr="00E72303">
              <w:rPr>
                <w:sz w:val="22"/>
              </w:rPr>
              <w:t>Non-gasoline sport sedans</w:t>
            </w:r>
          </w:p>
        </w:tc>
        <w:tc>
          <w:tcPr>
            <w:tcW w:w="1170" w:type="dxa"/>
            <w:vAlign w:val="center"/>
            <w:hideMark/>
          </w:tcPr>
          <w:p w14:paraId="5DD6B94D" w14:textId="77777777" w:rsidR="00993617" w:rsidRPr="00E72303" w:rsidRDefault="00993617" w:rsidP="007B178E">
            <w:pPr>
              <w:pStyle w:val="1stParagraph"/>
              <w:jc w:val="center"/>
              <w:rPr>
                <w:sz w:val="22"/>
              </w:rPr>
            </w:pPr>
            <w:r w:rsidRPr="00E72303">
              <w:rPr>
                <w:sz w:val="22"/>
              </w:rPr>
              <w:t>-0.33</w:t>
            </w:r>
          </w:p>
        </w:tc>
        <w:tc>
          <w:tcPr>
            <w:tcW w:w="1046" w:type="dxa"/>
            <w:vAlign w:val="center"/>
            <w:hideMark/>
          </w:tcPr>
          <w:p w14:paraId="118F9D29" w14:textId="77777777" w:rsidR="00993617" w:rsidRPr="00E72303" w:rsidRDefault="00993617" w:rsidP="007B178E">
            <w:pPr>
              <w:pStyle w:val="1stParagraph"/>
              <w:jc w:val="center"/>
              <w:rPr>
                <w:sz w:val="22"/>
              </w:rPr>
            </w:pPr>
            <w:r w:rsidRPr="00E72303">
              <w:rPr>
                <w:sz w:val="22"/>
              </w:rPr>
              <w:t>-1.06</w:t>
            </w:r>
          </w:p>
        </w:tc>
        <w:tc>
          <w:tcPr>
            <w:tcW w:w="1035" w:type="dxa"/>
            <w:vAlign w:val="center"/>
            <w:hideMark/>
          </w:tcPr>
          <w:p w14:paraId="4D8CEDBC" w14:textId="77777777" w:rsidR="00993617" w:rsidRPr="00E72303" w:rsidRDefault="00993617" w:rsidP="007B178E">
            <w:pPr>
              <w:pStyle w:val="1stParagraph"/>
              <w:jc w:val="center"/>
              <w:rPr>
                <w:sz w:val="22"/>
              </w:rPr>
            </w:pPr>
            <w:r w:rsidRPr="00E72303">
              <w:rPr>
                <w:sz w:val="22"/>
              </w:rPr>
              <w:t>-0.20</w:t>
            </w:r>
          </w:p>
        </w:tc>
        <w:tc>
          <w:tcPr>
            <w:tcW w:w="1157" w:type="dxa"/>
            <w:vAlign w:val="center"/>
            <w:hideMark/>
          </w:tcPr>
          <w:p w14:paraId="328915D9" w14:textId="77777777" w:rsidR="00993617" w:rsidRPr="00E72303" w:rsidRDefault="00993617" w:rsidP="007B178E">
            <w:pPr>
              <w:pStyle w:val="1stParagraph"/>
              <w:jc w:val="center"/>
              <w:rPr>
                <w:sz w:val="22"/>
              </w:rPr>
            </w:pPr>
            <w:r w:rsidRPr="00E72303">
              <w:rPr>
                <w:sz w:val="22"/>
              </w:rPr>
              <w:t>-0.07</w:t>
            </w:r>
          </w:p>
        </w:tc>
        <w:tc>
          <w:tcPr>
            <w:tcW w:w="1142" w:type="dxa"/>
            <w:vAlign w:val="center"/>
            <w:hideMark/>
          </w:tcPr>
          <w:p w14:paraId="5017E36C" w14:textId="77777777" w:rsidR="00993617" w:rsidRPr="00E72303" w:rsidRDefault="00993617" w:rsidP="007B178E">
            <w:pPr>
              <w:pStyle w:val="1stParagraph"/>
              <w:jc w:val="center"/>
              <w:rPr>
                <w:sz w:val="22"/>
              </w:rPr>
            </w:pPr>
            <w:r w:rsidRPr="00E72303">
              <w:rPr>
                <w:sz w:val="22"/>
              </w:rPr>
              <w:t>-0.32</w:t>
            </w:r>
          </w:p>
        </w:tc>
        <w:tc>
          <w:tcPr>
            <w:tcW w:w="1142" w:type="dxa"/>
            <w:vAlign w:val="center"/>
            <w:hideMark/>
          </w:tcPr>
          <w:p w14:paraId="3F7C8BEA" w14:textId="77777777" w:rsidR="00993617" w:rsidRPr="00E72303" w:rsidRDefault="00993617" w:rsidP="007B178E">
            <w:pPr>
              <w:pStyle w:val="1stParagraph"/>
              <w:jc w:val="center"/>
              <w:rPr>
                <w:sz w:val="22"/>
                <w:u w:val="single"/>
              </w:rPr>
            </w:pPr>
            <w:r w:rsidRPr="00E72303">
              <w:rPr>
                <w:sz w:val="22"/>
                <w:u w:val="single"/>
              </w:rPr>
              <w:t>75.35</w:t>
            </w:r>
          </w:p>
        </w:tc>
        <w:tc>
          <w:tcPr>
            <w:tcW w:w="1142" w:type="dxa"/>
            <w:vAlign w:val="center"/>
            <w:hideMark/>
          </w:tcPr>
          <w:p w14:paraId="28105624" w14:textId="77777777" w:rsidR="00993617" w:rsidRPr="00E72303" w:rsidRDefault="00993617" w:rsidP="007B178E">
            <w:pPr>
              <w:pStyle w:val="1stParagraph"/>
              <w:jc w:val="center"/>
              <w:rPr>
                <w:sz w:val="22"/>
              </w:rPr>
            </w:pPr>
            <w:r w:rsidRPr="00E72303">
              <w:rPr>
                <w:sz w:val="22"/>
              </w:rPr>
              <w:t>-0.12</w:t>
            </w:r>
          </w:p>
        </w:tc>
        <w:tc>
          <w:tcPr>
            <w:tcW w:w="998" w:type="dxa"/>
            <w:vAlign w:val="center"/>
            <w:hideMark/>
          </w:tcPr>
          <w:p w14:paraId="15C57D85" w14:textId="77777777" w:rsidR="00993617" w:rsidRPr="00E72303" w:rsidRDefault="00993617" w:rsidP="007B178E">
            <w:pPr>
              <w:pStyle w:val="1stParagraph"/>
              <w:jc w:val="center"/>
              <w:rPr>
                <w:sz w:val="22"/>
              </w:rPr>
            </w:pPr>
            <w:r w:rsidRPr="00E72303">
              <w:rPr>
                <w:sz w:val="22"/>
              </w:rPr>
              <w:t>-0.07</w:t>
            </w:r>
          </w:p>
        </w:tc>
      </w:tr>
      <w:tr w:rsidR="00E72303" w:rsidRPr="00E72303" w14:paraId="7BF895B6" w14:textId="77777777" w:rsidTr="005D2BD0">
        <w:trPr>
          <w:trHeight w:val="288"/>
        </w:trPr>
        <w:tc>
          <w:tcPr>
            <w:tcW w:w="1207" w:type="dxa"/>
            <w:vMerge/>
            <w:vAlign w:val="center"/>
            <w:hideMark/>
          </w:tcPr>
          <w:p w14:paraId="77A56F82" w14:textId="77777777" w:rsidR="00993617" w:rsidRPr="00E72303" w:rsidRDefault="00993617" w:rsidP="007B178E">
            <w:pPr>
              <w:pStyle w:val="1stParagraph"/>
              <w:jc w:val="left"/>
              <w:rPr>
                <w:sz w:val="22"/>
              </w:rPr>
            </w:pPr>
          </w:p>
        </w:tc>
        <w:tc>
          <w:tcPr>
            <w:tcW w:w="2928" w:type="dxa"/>
            <w:vAlign w:val="center"/>
            <w:hideMark/>
          </w:tcPr>
          <w:p w14:paraId="20B3C5D0" w14:textId="77777777" w:rsidR="00993617" w:rsidRPr="00E72303" w:rsidRDefault="00993617" w:rsidP="007B178E">
            <w:pPr>
              <w:pStyle w:val="1stParagraph"/>
              <w:jc w:val="left"/>
              <w:rPr>
                <w:sz w:val="22"/>
              </w:rPr>
            </w:pPr>
            <w:r w:rsidRPr="00E72303">
              <w:rPr>
                <w:sz w:val="22"/>
              </w:rPr>
              <w:t>Non-gasoline sedans</w:t>
            </w:r>
          </w:p>
        </w:tc>
        <w:tc>
          <w:tcPr>
            <w:tcW w:w="1170" w:type="dxa"/>
            <w:vAlign w:val="center"/>
            <w:hideMark/>
          </w:tcPr>
          <w:p w14:paraId="2BB89282" w14:textId="77777777" w:rsidR="00993617" w:rsidRPr="00E72303" w:rsidRDefault="00993617" w:rsidP="007B178E">
            <w:pPr>
              <w:pStyle w:val="1stParagraph"/>
              <w:jc w:val="center"/>
              <w:rPr>
                <w:sz w:val="22"/>
              </w:rPr>
            </w:pPr>
            <w:r w:rsidRPr="00E72303">
              <w:rPr>
                <w:sz w:val="22"/>
              </w:rPr>
              <w:t>0.25</w:t>
            </w:r>
          </w:p>
        </w:tc>
        <w:tc>
          <w:tcPr>
            <w:tcW w:w="1046" w:type="dxa"/>
            <w:vAlign w:val="center"/>
            <w:hideMark/>
          </w:tcPr>
          <w:p w14:paraId="62D945D0" w14:textId="77777777" w:rsidR="00993617" w:rsidRPr="00E72303" w:rsidRDefault="00993617" w:rsidP="007B178E">
            <w:pPr>
              <w:pStyle w:val="1stParagraph"/>
              <w:jc w:val="center"/>
              <w:rPr>
                <w:sz w:val="22"/>
              </w:rPr>
            </w:pPr>
            <w:r w:rsidRPr="00E72303">
              <w:rPr>
                <w:sz w:val="22"/>
              </w:rPr>
              <w:t>0.18</w:t>
            </w:r>
          </w:p>
        </w:tc>
        <w:tc>
          <w:tcPr>
            <w:tcW w:w="1035" w:type="dxa"/>
            <w:vAlign w:val="center"/>
            <w:hideMark/>
          </w:tcPr>
          <w:p w14:paraId="44582C6E" w14:textId="77777777" w:rsidR="00993617" w:rsidRPr="00E72303" w:rsidRDefault="00993617" w:rsidP="007B178E">
            <w:pPr>
              <w:pStyle w:val="1stParagraph"/>
              <w:jc w:val="center"/>
              <w:rPr>
                <w:sz w:val="22"/>
              </w:rPr>
            </w:pPr>
            <w:r w:rsidRPr="00E72303">
              <w:rPr>
                <w:sz w:val="22"/>
              </w:rPr>
              <w:t>0.18</w:t>
            </w:r>
          </w:p>
        </w:tc>
        <w:tc>
          <w:tcPr>
            <w:tcW w:w="1157" w:type="dxa"/>
            <w:vAlign w:val="center"/>
            <w:hideMark/>
          </w:tcPr>
          <w:p w14:paraId="05AD5912" w14:textId="77777777" w:rsidR="00993617" w:rsidRPr="00E72303" w:rsidRDefault="00993617" w:rsidP="007B178E">
            <w:pPr>
              <w:pStyle w:val="1stParagraph"/>
              <w:jc w:val="center"/>
              <w:rPr>
                <w:sz w:val="22"/>
              </w:rPr>
            </w:pPr>
            <w:r w:rsidRPr="00E72303">
              <w:rPr>
                <w:sz w:val="22"/>
              </w:rPr>
              <w:t>0.17</w:t>
            </w:r>
          </w:p>
        </w:tc>
        <w:tc>
          <w:tcPr>
            <w:tcW w:w="1142" w:type="dxa"/>
            <w:vAlign w:val="center"/>
            <w:hideMark/>
          </w:tcPr>
          <w:p w14:paraId="663ECA99" w14:textId="77777777" w:rsidR="00993617" w:rsidRPr="00E72303" w:rsidRDefault="00993617" w:rsidP="007B178E">
            <w:pPr>
              <w:pStyle w:val="1stParagraph"/>
              <w:jc w:val="center"/>
              <w:rPr>
                <w:sz w:val="22"/>
              </w:rPr>
            </w:pPr>
            <w:r w:rsidRPr="00E72303">
              <w:rPr>
                <w:sz w:val="22"/>
              </w:rPr>
              <w:t>0.29</w:t>
            </w:r>
          </w:p>
        </w:tc>
        <w:tc>
          <w:tcPr>
            <w:tcW w:w="1142" w:type="dxa"/>
            <w:vAlign w:val="center"/>
            <w:hideMark/>
          </w:tcPr>
          <w:p w14:paraId="11EF3F3A" w14:textId="77777777" w:rsidR="00993617" w:rsidRPr="00E72303" w:rsidRDefault="00993617" w:rsidP="007B178E">
            <w:pPr>
              <w:pStyle w:val="1stParagraph"/>
              <w:jc w:val="center"/>
              <w:rPr>
                <w:sz w:val="22"/>
              </w:rPr>
            </w:pPr>
            <w:r w:rsidRPr="00E72303">
              <w:rPr>
                <w:sz w:val="22"/>
              </w:rPr>
              <w:t>0.25</w:t>
            </w:r>
          </w:p>
        </w:tc>
        <w:tc>
          <w:tcPr>
            <w:tcW w:w="1142" w:type="dxa"/>
            <w:vAlign w:val="center"/>
            <w:hideMark/>
          </w:tcPr>
          <w:p w14:paraId="22596046" w14:textId="77777777" w:rsidR="00993617" w:rsidRPr="00E72303" w:rsidRDefault="00993617" w:rsidP="007B178E">
            <w:pPr>
              <w:pStyle w:val="1stParagraph"/>
              <w:jc w:val="center"/>
              <w:rPr>
                <w:sz w:val="22"/>
                <w:u w:val="single"/>
              </w:rPr>
            </w:pPr>
            <w:r w:rsidRPr="00E72303">
              <w:rPr>
                <w:sz w:val="22"/>
                <w:u w:val="single"/>
              </w:rPr>
              <w:t>-3.49</w:t>
            </w:r>
          </w:p>
        </w:tc>
        <w:tc>
          <w:tcPr>
            <w:tcW w:w="998" w:type="dxa"/>
            <w:vAlign w:val="center"/>
            <w:hideMark/>
          </w:tcPr>
          <w:p w14:paraId="59CF2CDA" w14:textId="77777777" w:rsidR="00993617" w:rsidRPr="00E72303" w:rsidRDefault="00993617" w:rsidP="007B178E">
            <w:pPr>
              <w:pStyle w:val="1stParagraph"/>
              <w:jc w:val="center"/>
              <w:rPr>
                <w:sz w:val="22"/>
              </w:rPr>
            </w:pPr>
            <w:r w:rsidRPr="00E72303">
              <w:rPr>
                <w:sz w:val="22"/>
              </w:rPr>
              <w:t>0.27</w:t>
            </w:r>
          </w:p>
        </w:tc>
      </w:tr>
      <w:tr w:rsidR="00E72303" w:rsidRPr="00E72303" w14:paraId="5D532F72" w14:textId="77777777" w:rsidTr="005D2BD0">
        <w:trPr>
          <w:trHeight w:val="288"/>
        </w:trPr>
        <w:tc>
          <w:tcPr>
            <w:tcW w:w="1207" w:type="dxa"/>
            <w:vMerge/>
            <w:vAlign w:val="center"/>
            <w:hideMark/>
          </w:tcPr>
          <w:p w14:paraId="0A946440" w14:textId="77777777" w:rsidR="00993617" w:rsidRPr="00E72303" w:rsidRDefault="00993617" w:rsidP="007B178E">
            <w:pPr>
              <w:pStyle w:val="1stParagraph"/>
              <w:jc w:val="left"/>
              <w:rPr>
                <w:sz w:val="22"/>
              </w:rPr>
            </w:pPr>
          </w:p>
        </w:tc>
        <w:tc>
          <w:tcPr>
            <w:tcW w:w="2928" w:type="dxa"/>
            <w:vAlign w:val="center"/>
            <w:hideMark/>
          </w:tcPr>
          <w:p w14:paraId="79D6ABE9" w14:textId="77777777" w:rsidR="00993617" w:rsidRPr="00E72303" w:rsidRDefault="00993617" w:rsidP="007B178E">
            <w:pPr>
              <w:pStyle w:val="1stParagraph"/>
              <w:jc w:val="left"/>
              <w:rPr>
                <w:sz w:val="22"/>
              </w:rPr>
            </w:pPr>
            <w:r w:rsidRPr="00E72303">
              <w:rPr>
                <w:sz w:val="22"/>
              </w:rPr>
              <w:t>Non-gasoline pick-up trucks</w:t>
            </w:r>
          </w:p>
        </w:tc>
        <w:tc>
          <w:tcPr>
            <w:tcW w:w="1170" w:type="dxa"/>
            <w:vAlign w:val="center"/>
            <w:hideMark/>
          </w:tcPr>
          <w:p w14:paraId="3B8E007B" w14:textId="77777777" w:rsidR="00993617" w:rsidRPr="00E72303" w:rsidRDefault="00993617" w:rsidP="007B178E">
            <w:pPr>
              <w:pStyle w:val="1stParagraph"/>
              <w:jc w:val="center"/>
              <w:rPr>
                <w:sz w:val="22"/>
              </w:rPr>
            </w:pPr>
            <w:r w:rsidRPr="00E72303">
              <w:rPr>
                <w:sz w:val="22"/>
              </w:rPr>
              <w:t>-0.62</w:t>
            </w:r>
          </w:p>
        </w:tc>
        <w:tc>
          <w:tcPr>
            <w:tcW w:w="1046" w:type="dxa"/>
            <w:vAlign w:val="center"/>
            <w:hideMark/>
          </w:tcPr>
          <w:p w14:paraId="51B54BD2" w14:textId="77777777" w:rsidR="00993617" w:rsidRPr="00E72303" w:rsidRDefault="00993617" w:rsidP="007B178E">
            <w:pPr>
              <w:pStyle w:val="1stParagraph"/>
              <w:jc w:val="center"/>
              <w:rPr>
                <w:sz w:val="22"/>
              </w:rPr>
            </w:pPr>
            <w:r w:rsidRPr="00E72303">
              <w:rPr>
                <w:sz w:val="22"/>
              </w:rPr>
              <w:t>-0.27</w:t>
            </w:r>
          </w:p>
        </w:tc>
        <w:tc>
          <w:tcPr>
            <w:tcW w:w="1035" w:type="dxa"/>
            <w:vAlign w:val="center"/>
            <w:hideMark/>
          </w:tcPr>
          <w:p w14:paraId="332A88AA" w14:textId="77777777" w:rsidR="00993617" w:rsidRPr="00E72303" w:rsidRDefault="00993617" w:rsidP="007B178E">
            <w:pPr>
              <w:pStyle w:val="1stParagraph"/>
              <w:jc w:val="center"/>
              <w:rPr>
                <w:sz w:val="22"/>
              </w:rPr>
            </w:pPr>
            <w:r w:rsidRPr="00E72303">
              <w:rPr>
                <w:sz w:val="22"/>
              </w:rPr>
              <w:t>-0.34</w:t>
            </w:r>
          </w:p>
        </w:tc>
        <w:tc>
          <w:tcPr>
            <w:tcW w:w="1157" w:type="dxa"/>
            <w:vAlign w:val="center"/>
            <w:hideMark/>
          </w:tcPr>
          <w:p w14:paraId="01C99F47" w14:textId="77777777" w:rsidR="00993617" w:rsidRPr="00E72303" w:rsidRDefault="00993617" w:rsidP="007B178E">
            <w:pPr>
              <w:pStyle w:val="1stParagraph"/>
              <w:jc w:val="center"/>
              <w:rPr>
                <w:sz w:val="22"/>
              </w:rPr>
            </w:pPr>
            <w:r w:rsidRPr="00E72303">
              <w:rPr>
                <w:sz w:val="22"/>
              </w:rPr>
              <w:t>-2.69</w:t>
            </w:r>
          </w:p>
        </w:tc>
        <w:tc>
          <w:tcPr>
            <w:tcW w:w="1142" w:type="dxa"/>
            <w:vAlign w:val="center"/>
            <w:hideMark/>
          </w:tcPr>
          <w:p w14:paraId="2EF01F24" w14:textId="77777777" w:rsidR="00993617" w:rsidRPr="00E72303" w:rsidRDefault="00993617" w:rsidP="007B178E">
            <w:pPr>
              <w:pStyle w:val="1stParagraph"/>
              <w:jc w:val="center"/>
              <w:rPr>
                <w:sz w:val="22"/>
              </w:rPr>
            </w:pPr>
            <w:r w:rsidRPr="00E72303">
              <w:rPr>
                <w:sz w:val="22"/>
              </w:rPr>
              <w:t>-1.04</w:t>
            </w:r>
          </w:p>
        </w:tc>
        <w:tc>
          <w:tcPr>
            <w:tcW w:w="1142" w:type="dxa"/>
            <w:vAlign w:val="center"/>
            <w:hideMark/>
          </w:tcPr>
          <w:p w14:paraId="4CE77255" w14:textId="77777777" w:rsidR="00993617" w:rsidRPr="00E72303" w:rsidRDefault="00993617" w:rsidP="007B178E">
            <w:pPr>
              <w:pStyle w:val="1stParagraph"/>
              <w:jc w:val="center"/>
              <w:rPr>
                <w:sz w:val="22"/>
              </w:rPr>
            </w:pPr>
            <w:r w:rsidRPr="00E72303">
              <w:rPr>
                <w:sz w:val="22"/>
              </w:rPr>
              <w:t>-0.20</w:t>
            </w:r>
          </w:p>
        </w:tc>
        <w:tc>
          <w:tcPr>
            <w:tcW w:w="1142" w:type="dxa"/>
            <w:vAlign w:val="center"/>
            <w:hideMark/>
          </w:tcPr>
          <w:p w14:paraId="661A17F2" w14:textId="77777777" w:rsidR="00993617" w:rsidRPr="00E72303" w:rsidRDefault="00993617" w:rsidP="007B178E">
            <w:pPr>
              <w:pStyle w:val="1stParagraph"/>
              <w:jc w:val="center"/>
              <w:rPr>
                <w:sz w:val="22"/>
              </w:rPr>
            </w:pPr>
            <w:r w:rsidRPr="00E72303">
              <w:rPr>
                <w:sz w:val="22"/>
              </w:rPr>
              <w:t>-0.38</w:t>
            </w:r>
          </w:p>
        </w:tc>
        <w:tc>
          <w:tcPr>
            <w:tcW w:w="998" w:type="dxa"/>
            <w:vAlign w:val="center"/>
            <w:hideMark/>
          </w:tcPr>
          <w:p w14:paraId="12157C6D" w14:textId="77777777" w:rsidR="00993617" w:rsidRPr="00E72303" w:rsidRDefault="00993617" w:rsidP="007B178E">
            <w:pPr>
              <w:pStyle w:val="1stParagraph"/>
              <w:jc w:val="center"/>
              <w:rPr>
                <w:sz w:val="22"/>
                <w:u w:val="single"/>
              </w:rPr>
            </w:pPr>
            <w:r w:rsidRPr="00E72303">
              <w:rPr>
                <w:sz w:val="22"/>
                <w:u w:val="single"/>
              </w:rPr>
              <w:t>57.09</w:t>
            </w:r>
          </w:p>
        </w:tc>
      </w:tr>
      <w:tr w:rsidR="00E72303" w:rsidRPr="00E72303" w14:paraId="663ABF24" w14:textId="77777777" w:rsidTr="005D2BD0">
        <w:trPr>
          <w:trHeight w:val="288"/>
        </w:trPr>
        <w:tc>
          <w:tcPr>
            <w:tcW w:w="1207" w:type="dxa"/>
            <w:vMerge w:val="restart"/>
            <w:vAlign w:val="center"/>
            <w:hideMark/>
          </w:tcPr>
          <w:p w14:paraId="5B501E0D" w14:textId="02E98437" w:rsidR="00993617" w:rsidRPr="00E72303" w:rsidRDefault="00993617" w:rsidP="007B178E">
            <w:pPr>
              <w:pStyle w:val="1stParagraph"/>
              <w:jc w:val="left"/>
              <w:rPr>
                <w:sz w:val="22"/>
              </w:rPr>
            </w:pPr>
            <w:r w:rsidRPr="00E72303">
              <w:rPr>
                <w:sz w:val="22"/>
              </w:rPr>
              <w:t>Engine size</w:t>
            </w:r>
            <w:r w:rsidR="001D5BBC" w:rsidRPr="00E72303">
              <w:rPr>
                <w:sz w:val="22"/>
              </w:rPr>
              <w:t>*</w:t>
            </w:r>
          </w:p>
        </w:tc>
        <w:tc>
          <w:tcPr>
            <w:tcW w:w="2928" w:type="dxa"/>
            <w:vAlign w:val="center"/>
            <w:hideMark/>
          </w:tcPr>
          <w:p w14:paraId="2B9DB94F" w14:textId="77777777" w:rsidR="00993617" w:rsidRPr="00E72303" w:rsidRDefault="00993617" w:rsidP="007B178E">
            <w:pPr>
              <w:pStyle w:val="1stParagraph"/>
              <w:jc w:val="left"/>
              <w:rPr>
                <w:sz w:val="22"/>
              </w:rPr>
            </w:pPr>
            <w:r w:rsidRPr="00E72303">
              <w:rPr>
                <w:sz w:val="22"/>
              </w:rPr>
              <w:t>Gasoline sedans</w:t>
            </w:r>
          </w:p>
        </w:tc>
        <w:tc>
          <w:tcPr>
            <w:tcW w:w="1170" w:type="dxa"/>
            <w:vAlign w:val="center"/>
            <w:hideMark/>
          </w:tcPr>
          <w:p w14:paraId="5CDAC458" w14:textId="77777777" w:rsidR="00993617" w:rsidRPr="00E72303" w:rsidRDefault="00993617" w:rsidP="007B178E">
            <w:pPr>
              <w:pStyle w:val="1stParagraph"/>
              <w:jc w:val="center"/>
              <w:rPr>
                <w:sz w:val="22"/>
              </w:rPr>
            </w:pPr>
            <w:r w:rsidRPr="00E72303">
              <w:rPr>
                <w:sz w:val="22"/>
              </w:rPr>
              <w:t>11.33</w:t>
            </w:r>
          </w:p>
        </w:tc>
        <w:tc>
          <w:tcPr>
            <w:tcW w:w="1046" w:type="dxa"/>
            <w:vAlign w:val="center"/>
            <w:hideMark/>
          </w:tcPr>
          <w:p w14:paraId="4FAB4A18" w14:textId="77777777" w:rsidR="00993617" w:rsidRPr="00E72303" w:rsidRDefault="00993617" w:rsidP="007B178E">
            <w:pPr>
              <w:pStyle w:val="1stParagraph"/>
              <w:jc w:val="center"/>
              <w:rPr>
                <w:sz w:val="22"/>
              </w:rPr>
            </w:pPr>
            <w:r w:rsidRPr="00E72303">
              <w:rPr>
                <w:sz w:val="22"/>
              </w:rPr>
              <w:t>9.46</w:t>
            </w:r>
          </w:p>
        </w:tc>
        <w:tc>
          <w:tcPr>
            <w:tcW w:w="1035" w:type="dxa"/>
            <w:vAlign w:val="center"/>
            <w:hideMark/>
          </w:tcPr>
          <w:p w14:paraId="79466AA9" w14:textId="77777777" w:rsidR="00993617" w:rsidRPr="00E72303" w:rsidRDefault="00993617" w:rsidP="007B178E">
            <w:pPr>
              <w:pStyle w:val="1stParagraph"/>
              <w:jc w:val="center"/>
              <w:rPr>
                <w:sz w:val="22"/>
              </w:rPr>
            </w:pPr>
            <w:r w:rsidRPr="00E72303">
              <w:rPr>
                <w:sz w:val="22"/>
              </w:rPr>
              <w:t>-29.53</w:t>
            </w:r>
          </w:p>
        </w:tc>
        <w:tc>
          <w:tcPr>
            <w:tcW w:w="1157" w:type="dxa"/>
            <w:vAlign w:val="center"/>
            <w:hideMark/>
          </w:tcPr>
          <w:p w14:paraId="1D76BD79" w14:textId="77777777" w:rsidR="00993617" w:rsidRPr="00E72303" w:rsidRDefault="00993617" w:rsidP="007B178E">
            <w:pPr>
              <w:pStyle w:val="1stParagraph"/>
              <w:jc w:val="center"/>
              <w:rPr>
                <w:sz w:val="22"/>
              </w:rPr>
            </w:pPr>
            <w:r w:rsidRPr="00E72303">
              <w:rPr>
                <w:sz w:val="22"/>
              </w:rPr>
              <w:t>5.68</w:t>
            </w:r>
          </w:p>
        </w:tc>
        <w:tc>
          <w:tcPr>
            <w:tcW w:w="1142" w:type="dxa"/>
            <w:vAlign w:val="center"/>
            <w:hideMark/>
          </w:tcPr>
          <w:p w14:paraId="6F4F89F8" w14:textId="77777777" w:rsidR="00993617" w:rsidRPr="00E72303" w:rsidRDefault="00993617" w:rsidP="007B178E">
            <w:pPr>
              <w:pStyle w:val="1stParagraph"/>
              <w:jc w:val="center"/>
              <w:rPr>
                <w:sz w:val="22"/>
              </w:rPr>
            </w:pPr>
            <w:r w:rsidRPr="00E72303">
              <w:rPr>
                <w:sz w:val="22"/>
              </w:rPr>
              <w:t>10.79</w:t>
            </w:r>
          </w:p>
        </w:tc>
        <w:tc>
          <w:tcPr>
            <w:tcW w:w="1142" w:type="dxa"/>
            <w:vAlign w:val="center"/>
            <w:hideMark/>
          </w:tcPr>
          <w:p w14:paraId="596CE614" w14:textId="77777777" w:rsidR="00993617" w:rsidRPr="00E72303" w:rsidRDefault="00993617" w:rsidP="007B178E">
            <w:pPr>
              <w:pStyle w:val="1stParagraph"/>
              <w:jc w:val="center"/>
              <w:rPr>
                <w:sz w:val="22"/>
              </w:rPr>
            </w:pPr>
            <w:r w:rsidRPr="00E72303">
              <w:rPr>
                <w:sz w:val="22"/>
              </w:rPr>
              <w:t>11.24</w:t>
            </w:r>
          </w:p>
        </w:tc>
        <w:tc>
          <w:tcPr>
            <w:tcW w:w="1142" w:type="dxa"/>
            <w:vAlign w:val="center"/>
            <w:hideMark/>
          </w:tcPr>
          <w:p w14:paraId="41C37830" w14:textId="77777777" w:rsidR="00993617" w:rsidRPr="00E72303" w:rsidRDefault="00993617" w:rsidP="007B178E">
            <w:pPr>
              <w:pStyle w:val="1stParagraph"/>
              <w:jc w:val="center"/>
              <w:rPr>
                <w:sz w:val="22"/>
              </w:rPr>
            </w:pPr>
            <w:r w:rsidRPr="00E72303">
              <w:rPr>
                <w:sz w:val="22"/>
              </w:rPr>
              <w:t>5.07</w:t>
            </w:r>
          </w:p>
        </w:tc>
        <w:tc>
          <w:tcPr>
            <w:tcW w:w="998" w:type="dxa"/>
            <w:vAlign w:val="center"/>
            <w:hideMark/>
          </w:tcPr>
          <w:p w14:paraId="02E6AB00" w14:textId="77777777" w:rsidR="00993617" w:rsidRPr="00E72303" w:rsidRDefault="00993617" w:rsidP="007B178E">
            <w:pPr>
              <w:pStyle w:val="1stParagraph"/>
              <w:jc w:val="center"/>
              <w:rPr>
                <w:sz w:val="22"/>
              </w:rPr>
            </w:pPr>
            <w:r w:rsidRPr="00E72303">
              <w:rPr>
                <w:sz w:val="22"/>
              </w:rPr>
              <w:t>6.36</w:t>
            </w:r>
          </w:p>
        </w:tc>
      </w:tr>
      <w:tr w:rsidR="00E72303" w:rsidRPr="00E72303" w14:paraId="08968AF5" w14:textId="77777777" w:rsidTr="005D2BD0">
        <w:trPr>
          <w:trHeight w:val="288"/>
        </w:trPr>
        <w:tc>
          <w:tcPr>
            <w:tcW w:w="1207" w:type="dxa"/>
            <w:vMerge/>
            <w:vAlign w:val="center"/>
            <w:hideMark/>
          </w:tcPr>
          <w:p w14:paraId="76C3C55C" w14:textId="77777777" w:rsidR="00993617" w:rsidRPr="00E72303" w:rsidRDefault="00993617" w:rsidP="007B178E">
            <w:pPr>
              <w:pStyle w:val="1stParagraph"/>
              <w:jc w:val="left"/>
              <w:rPr>
                <w:sz w:val="22"/>
              </w:rPr>
            </w:pPr>
          </w:p>
        </w:tc>
        <w:tc>
          <w:tcPr>
            <w:tcW w:w="2928" w:type="dxa"/>
            <w:vAlign w:val="center"/>
            <w:hideMark/>
          </w:tcPr>
          <w:p w14:paraId="4F773FE0" w14:textId="77777777" w:rsidR="00993617" w:rsidRPr="00E72303" w:rsidRDefault="00993617" w:rsidP="007B178E">
            <w:pPr>
              <w:pStyle w:val="1stParagraph"/>
              <w:jc w:val="left"/>
              <w:rPr>
                <w:sz w:val="22"/>
              </w:rPr>
            </w:pPr>
            <w:r w:rsidRPr="00E72303">
              <w:rPr>
                <w:sz w:val="22"/>
              </w:rPr>
              <w:t>Non-gasoline sedans</w:t>
            </w:r>
          </w:p>
        </w:tc>
        <w:tc>
          <w:tcPr>
            <w:tcW w:w="1170" w:type="dxa"/>
            <w:vAlign w:val="center"/>
            <w:hideMark/>
          </w:tcPr>
          <w:p w14:paraId="2CDA4C1E" w14:textId="77777777" w:rsidR="00993617" w:rsidRPr="00E72303" w:rsidRDefault="00993617" w:rsidP="007B178E">
            <w:pPr>
              <w:pStyle w:val="1stParagraph"/>
              <w:jc w:val="center"/>
              <w:rPr>
                <w:sz w:val="22"/>
              </w:rPr>
            </w:pPr>
            <w:r w:rsidRPr="00E72303">
              <w:rPr>
                <w:sz w:val="22"/>
              </w:rPr>
              <w:t>1.46</w:t>
            </w:r>
          </w:p>
        </w:tc>
        <w:tc>
          <w:tcPr>
            <w:tcW w:w="1046" w:type="dxa"/>
            <w:vAlign w:val="center"/>
            <w:hideMark/>
          </w:tcPr>
          <w:p w14:paraId="4DA6E946" w14:textId="77777777" w:rsidR="00993617" w:rsidRPr="00E72303" w:rsidRDefault="00993617" w:rsidP="007B178E">
            <w:pPr>
              <w:pStyle w:val="1stParagraph"/>
              <w:jc w:val="center"/>
              <w:rPr>
                <w:sz w:val="22"/>
              </w:rPr>
            </w:pPr>
            <w:r w:rsidRPr="00E72303">
              <w:rPr>
                <w:sz w:val="22"/>
              </w:rPr>
              <w:t>1.10</w:t>
            </w:r>
          </w:p>
        </w:tc>
        <w:tc>
          <w:tcPr>
            <w:tcW w:w="1035" w:type="dxa"/>
            <w:vAlign w:val="center"/>
            <w:hideMark/>
          </w:tcPr>
          <w:p w14:paraId="174FFC1F" w14:textId="77777777" w:rsidR="00993617" w:rsidRPr="00E72303" w:rsidRDefault="00993617" w:rsidP="007B178E">
            <w:pPr>
              <w:pStyle w:val="1stParagraph"/>
              <w:jc w:val="center"/>
              <w:rPr>
                <w:sz w:val="22"/>
              </w:rPr>
            </w:pPr>
            <w:r w:rsidRPr="00E72303">
              <w:rPr>
                <w:sz w:val="22"/>
              </w:rPr>
              <w:t>1.08</w:t>
            </w:r>
          </w:p>
        </w:tc>
        <w:tc>
          <w:tcPr>
            <w:tcW w:w="1157" w:type="dxa"/>
            <w:vAlign w:val="center"/>
            <w:hideMark/>
          </w:tcPr>
          <w:p w14:paraId="7287F4FE" w14:textId="77777777" w:rsidR="00993617" w:rsidRPr="00E72303" w:rsidRDefault="00993617" w:rsidP="007B178E">
            <w:pPr>
              <w:pStyle w:val="1stParagraph"/>
              <w:jc w:val="center"/>
              <w:rPr>
                <w:sz w:val="22"/>
              </w:rPr>
            </w:pPr>
            <w:r w:rsidRPr="00E72303">
              <w:rPr>
                <w:sz w:val="22"/>
              </w:rPr>
              <w:t>1.06</w:t>
            </w:r>
          </w:p>
        </w:tc>
        <w:tc>
          <w:tcPr>
            <w:tcW w:w="1142" w:type="dxa"/>
            <w:vAlign w:val="center"/>
            <w:hideMark/>
          </w:tcPr>
          <w:p w14:paraId="64CEBC44" w14:textId="77777777" w:rsidR="00993617" w:rsidRPr="00E72303" w:rsidRDefault="00993617" w:rsidP="007B178E">
            <w:pPr>
              <w:pStyle w:val="1stParagraph"/>
              <w:jc w:val="center"/>
              <w:rPr>
                <w:sz w:val="22"/>
              </w:rPr>
            </w:pPr>
            <w:r w:rsidRPr="00E72303">
              <w:rPr>
                <w:sz w:val="22"/>
              </w:rPr>
              <w:t>1.73</w:t>
            </w:r>
          </w:p>
        </w:tc>
        <w:tc>
          <w:tcPr>
            <w:tcW w:w="1142" w:type="dxa"/>
            <w:vAlign w:val="center"/>
            <w:hideMark/>
          </w:tcPr>
          <w:p w14:paraId="6A19709D" w14:textId="77777777" w:rsidR="00993617" w:rsidRPr="00E72303" w:rsidRDefault="00993617" w:rsidP="007B178E">
            <w:pPr>
              <w:pStyle w:val="1stParagraph"/>
              <w:jc w:val="center"/>
              <w:rPr>
                <w:sz w:val="22"/>
              </w:rPr>
            </w:pPr>
            <w:r w:rsidRPr="00E72303">
              <w:rPr>
                <w:sz w:val="22"/>
              </w:rPr>
              <w:t>1.48</w:t>
            </w:r>
          </w:p>
        </w:tc>
        <w:tc>
          <w:tcPr>
            <w:tcW w:w="1142" w:type="dxa"/>
            <w:vAlign w:val="center"/>
            <w:hideMark/>
          </w:tcPr>
          <w:p w14:paraId="6D023729" w14:textId="77777777" w:rsidR="00993617" w:rsidRPr="00E72303" w:rsidRDefault="00993617" w:rsidP="007B178E">
            <w:pPr>
              <w:pStyle w:val="1stParagraph"/>
              <w:jc w:val="center"/>
              <w:rPr>
                <w:sz w:val="22"/>
              </w:rPr>
            </w:pPr>
            <w:r w:rsidRPr="00E72303">
              <w:rPr>
                <w:sz w:val="22"/>
              </w:rPr>
              <w:t>-20.96</w:t>
            </w:r>
          </w:p>
        </w:tc>
        <w:tc>
          <w:tcPr>
            <w:tcW w:w="998" w:type="dxa"/>
            <w:vAlign w:val="center"/>
            <w:hideMark/>
          </w:tcPr>
          <w:p w14:paraId="090B10F7" w14:textId="77777777" w:rsidR="00993617" w:rsidRPr="00E72303" w:rsidRDefault="00993617" w:rsidP="007B178E">
            <w:pPr>
              <w:pStyle w:val="1stParagraph"/>
              <w:jc w:val="center"/>
              <w:rPr>
                <w:sz w:val="22"/>
              </w:rPr>
            </w:pPr>
            <w:r w:rsidRPr="00E72303">
              <w:rPr>
                <w:sz w:val="22"/>
              </w:rPr>
              <w:t>1.72</w:t>
            </w:r>
          </w:p>
        </w:tc>
      </w:tr>
      <w:tr w:rsidR="00E72303" w:rsidRPr="00E72303" w14:paraId="173770E2" w14:textId="77777777" w:rsidTr="005D2BD0">
        <w:trPr>
          <w:trHeight w:val="288"/>
        </w:trPr>
        <w:tc>
          <w:tcPr>
            <w:tcW w:w="4135" w:type="dxa"/>
            <w:gridSpan w:val="2"/>
            <w:vAlign w:val="center"/>
            <w:hideMark/>
          </w:tcPr>
          <w:p w14:paraId="125D8776" w14:textId="77777777" w:rsidR="00993617" w:rsidRPr="00E72303" w:rsidRDefault="00993617" w:rsidP="007B178E">
            <w:pPr>
              <w:pStyle w:val="1stParagraph"/>
              <w:jc w:val="left"/>
              <w:rPr>
                <w:sz w:val="22"/>
              </w:rPr>
            </w:pPr>
            <w:r w:rsidRPr="00E72303">
              <w:rPr>
                <w:sz w:val="22"/>
              </w:rPr>
              <w:t>Number of doors:2</w:t>
            </w:r>
          </w:p>
        </w:tc>
        <w:tc>
          <w:tcPr>
            <w:tcW w:w="1170" w:type="dxa"/>
            <w:vAlign w:val="center"/>
            <w:hideMark/>
          </w:tcPr>
          <w:p w14:paraId="29228506" w14:textId="77777777" w:rsidR="00993617" w:rsidRPr="00E72303" w:rsidRDefault="00993617" w:rsidP="007B178E">
            <w:pPr>
              <w:pStyle w:val="1stParagraph"/>
              <w:jc w:val="center"/>
              <w:rPr>
                <w:sz w:val="22"/>
              </w:rPr>
            </w:pPr>
            <w:r w:rsidRPr="00E72303">
              <w:rPr>
                <w:sz w:val="22"/>
              </w:rPr>
              <w:t>-24.27</w:t>
            </w:r>
          </w:p>
        </w:tc>
        <w:tc>
          <w:tcPr>
            <w:tcW w:w="1046" w:type="dxa"/>
            <w:vAlign w:val="center"/>
            <w:hideMark/>
          </w:tcPr>
          <w:p w14:paraId="2C55F1C6" w14:textId="77777777" w:rsidR="00993617" w:rsidRPr="00E72303" w:rsidRDefault="00993617" w:rsidP="007B178E">
            <w:pPr>
              <w:pStyle w:val="1stParagraph"/>
              <w:jc w:val="center"/>
              <w:rPr>
                <w:sz w:val="22"/>
              </w:rPr>
            </w:pPr>
            <w:r w:rsidRPr="00E72303">
              <w:rPr>
                <w:sz w:val="22"/>
              </w:rPr>
              <w:t>10.95</w:t>
            </w:r>
          </w:p>
        </w:tc>
        <w:tc>
          <w:tcPr>
            <w:tcW w:w="1035" w:type="dxa"/>
            <w:vAlign w:val="center"/>
            <w:hideMark/>
          </w:tcPr>
          <w:p w14:paraId="7829146A" w14:textId="77777777" w:rsidR="00993617" w:rsidRPr="00E72303" w:rsidRDefault="00993617" w:rsidP="007B178E">
            <w:pPr>
              <w:pStyle w:val="1stParagraph"/>
              <w:jc w:val="center"/>
              <w:rPr>
                <w:sz w:val="22"/>
              </w:rPr>
            </w:pPr>
            <w:r w:rsidRPr="00E72303">
              <w:rPr>
                <w:sz w:val="22"/>
              </w:rPr>
              <w:t>-65.38</w:t>
            </w:r>
          </w:p>
        </w:tc>
        <w:tc>
          <w:tcPr>
            <w:tcW w:w="1157" w:type="dxa"/>
            <w:vAlign w:val="center"/>
            <w:hideMark/>
          </w:tcPr>
          <w:p w14:paraId="5B011E64" w14:textId="77777777" w:rsidR="00993617" w:rsidRPr="00E72303" w:rsidRDefault="00993617" w:rsidP="007B178E">
            <w:pPr>
              <w:pStyle w:val="1stParagraph"/>
              <w:jc w:val="center"/>
              <w:rPr>
                <w:sz w:val="22"/>
              </w:rPr>
            </w:pPr>
            <w:r w:rsidRPr="00E72303">
              <w:rPr>
                <w:sz w:val="22"/>
              </w:rPr>
              <w:t>267.07</w:t>
            </w:r>
          </w:p>
        </w:tc>
        <w:tc>
          <w:tcPr>
            <w:tcW w:w="1142" w:type="dxa"/>
            <w:vAlign w:val="center"/>
            <w:hideMark/>
          </w:tcPr>
          <w:p w14:paraId="54F7D425" w14:textId="77777777" w:rsidR="00993617" w:rsidRPr="00E72303" w:rsidRDefault="00993617" w:rsidP="007B178E">
            <w:pPr>
              <w:pStyle w:val="1stParagraph"/>
              <w:jc w:val="center"/>
              <w:rPr>
                <w:sz w:val="22"/>
              </w:rPr>
            </w:pPr>
            <w:r w:rsidRPr="00E72303">
              <w:rPr>
                <w:sz w:val="22"/>
              </w:rPr>
              <w:t>-24.69</w:t>
            </w:r>
          </w:p>
        </w:tc>
        <w:tc>
          <w:tcPr>
            <w:tcW w:w="1142" w:type="dxa"/>
            <w:vAlign w:val="center"/>
            <w:hideMark/>
          </w:tcPr>
          <w:p w14:paraId="429265E9" w14:textId="77777777" w:rsidR="00993617" w:rsidRPr="00E72303" w:rsidRDefault="00993617" w:rsidP="007B178E">
            <w:pPr>
              <w:pStyle w:val="1stParagraph"/>
              <w:jc w:val="center"/>
              <w:rPr>
                <w:sz w:val="22"/>
              </w:rPr>
            </w:pPr>
            <w:r w:rsidRPr="00E72303">
              <w:rPr>
                <w:sz w:val="22"/>
              </w:rPr>
              <w:t>8.86</w:t>
            </w:r>
          </w:p>
        </w:tc>
        <w:tc>
          <w:tcPr>
            <w:tcW w:w="1142" w:type="dxa"/>
            <w:vAlign w:val="center"/>
            <w:hideMark/>
          </w:tcPr>
          <w:p w14:paraId="055C66A7" w14:textId="77777777" w:rsidR="00993617" w:rsidRPr="00E72303" w:rsidRDefault="00993617" w:rsidP="007B178E">
            <w:pPr>
              <w:pStyle w:val="1stParagraph"/>
              <w:jc w:val="center"/>
              <w:rPr>
                <w:sz w:val="22"/>
              </w:rPr>
            </w:pPr>
            <w:r w:rsidRPr="00E72303">
              <w:rPr>
                <w:sz w:val="22"/>
              </w:rPr>
              <w:t>-49.99</w:t>
            </w:r>
          </w:p>
        </w:tc>
        <w:tc>
          <w:tcPr>
            <w:tcW w:w="998" w:type="dxa"/>
            <w:vAlign w:val="center"/>
            <w:hideMark/>
          </w:tcPr>
          <w:p w14:paraId="44DAC153" w14:textId="77777777" w:rsidR="00993617" w:rsidRPr="00E72303" w:rsidRDefault="00993617" w:rsidP="007B178E">
            <w:pPr>
              <w:pStyle w:val="1stParagraph"/>
              <w:jc w:val="center"/>
              <w:rPr>
                <w:sz w:val="22"/>
              </w:rPr>
            </w:pPr>
            <w:r w:rsidRPr="00E72303">
              <w:rPr>
                <w:sz w:val="22"/>
              </w:rPr>
              <w:t>269.35</w:t>
            </w:r>
          </w:p>
        </w:tc>
      </w:tr>
      <w:tr w:rsidR="00E72303" w:rsidRPr="00E72303" w14:paraId="75AB3690" w14:textId="77777777" w:rsidTr="005D2BD0">
        <w:trPr>
          <w:trHeight w:val="288"/>
        </w:trPr>
        <w:tc>
          <w:tcPr>
            <w:tcW w:w="4135" w:type="dxa"/>
            <w:gridSpan w:val="2"/>
            <w:vAlign w:val="center"/>
            <w:hideMark/>
          </w:tcPr>
          <w:p w14:paraId="44F25EE0" w14:textId="77777777" w:rsidR="00993617" w:rsidRPr="00E72303" w:rsidRDefault="00993617" w:rsidP="007B178E">
            <w:pPr>
              <w:pStyle w:val="1stParagraph"/>
              <w:jc w:val="left"/>
              <w:rPr>
                <w:sz w:val="22"/>
              </w:rPr>
            </w:pPr>
            <w:r w:rsidRPr="00E72303">
              <w:rPr>
                <w:sz w:val="22"/>
              </w:rPr>
              <w:t>Toyota</w:t>
            </w:r>
          </w:p>
        </w:tc>
        <w:tc>
          <w:tcPr>
            <w:tcW w:w="1170" w:type="dxa"/>
            <w:vAlign w:val="center"/>
            <w:hideMark/>
          </w:tcPr>
          <w:p w14:paraId="212E89E0" w14:textId="77777777" w:rsidR="00993617" w:rsidRPr="00E72303" w:rsidRDefault="00993617" w:rsidP="007B178E">
            <w:pPr>
              <w:pStyle w:val="1stParagraph"/>
              <w:jc w:val="center"/>
              <w:rPr>
                <w:sz w:val="22"/>
              </w:rPr>
            </w:pPr>
            <w:r w:rsidRPr="00E72303">
              <w:rPr>
                <w:sz w:val="22"/>
              </w:rPr>
              <w:t>-36.23</w:t>
            </w:r>
          </w:p>
        </w:tc>
        <w:tc>
          <w:tcPr>
            <w:tcW w:w="1046" w:type="dxa"/>
            <w:vAlign w:val="center"/>
            <w:hideMark/>
          </w:tcPr>
          <w:p w14:paraId="116C0954" w14:textId="77777777" w:rsidR="00993617" w:rsidRPr="00E72303" w:rsidRDefault="00993617" w:rsidP="007B178E">
            <w:pPr>
              <w:pStyle w:val="1stParagraph"/>
              <w:jc w:val="center"/>
              <w:rPr>
                <w:sz w:val="22"/>
              </w:rPr>
            </w:pPr>
            <w:r w:rsidRPr="00E72303">
              <w:rPr>
                <w:sz w:val="22"/>
              </w:rPr>
              <w:t>-65.30</w:t>
            </w:r>
          </w:p>
        </w:tc>
        <w:tc>
          <w:tcPr>
            <w:tcW w:w="1035" w:type="dxa"/>
            <w:vAlign w:val="center"/>
            <w:hideMark/>
          </w:tcPr>
          <w:p w14:paraId="78AEA2C5" w14:textId="77777777" w:rsidR="00993617" w:rsidRPr="00E72303" w:rsidRDefault="00993617" w:rsidP="007B178E">
            <w:pPr>
              <w:pStyle w:val="1stParagraph"/>
              <w:jc w:val="center"/>
              <w:rPr>
                <w:sz w:val="22"/>
              </w:rPr>
            </w:pPr>
            <w:r w:rsidRPr="00E72303">
              <w:rPr>
                <w:sz w:val="22"/>
              </w:rPr>
              <w:t>-22.05</w:t>
            </w:r>
          </w:p>
        </w:tc>
        <w:tc>
          <w:tcPr>
            <w:tcW w:w="1157" w:type="dxa"/>
            <w:vAlign w:val="center"/>
            <w:hideMark/>
          </w:tcPr>
          <w:p w14:paraId="5EA755CD" w14:textId="77777777" w:rsidR="00993617" w:rsidRPr="00E72303" w:rsidRDefault="00993617" w:rsidP="007B178E">
            <w:pPr>
              <w:pStyle w:val="1stParagraph"/>
              <w:jc w:val="center"/>
              <w:rPr>
                <w:sz w:val="22"/>
              </w:rPr>
            </w:pPr>
            <w:r w:rsidRPr="00E72303">
              <w:rPr>
                <w:sz w:val="22"/>
              </w:rPr>
              <w:t>168.65</w:t>
            </w:r>
          </w:p>
        </w:tc>
        <w:tc>
          <w:tcPr>
            <w:tcW w:w="1142" w:type="dxa"/>
            <w:vAlign w:val="center"/>
            <w:hideMark/>
          </w:tcPr>
          <w:p w14:paraId="54938B96" w14:textId="77777777" w:rsidR="00993617" w:rsidRPr="00E72303" w:rsidRDefault="00993617" w:rsidP="007B178E">
            <w:pPr>
              <w:pStyle w:val="1stParagraph"/>
              <w:jc w:val="center"/>
              <w:rPr>
                <w:sz w:val="22"/>
              </w:rPr>
            </w:pPr>
            <w:r w:rsidRPr="00E72303">
              <w:rPr>
                <w:sz w:val="22"/>
              </w:rPr>
              <w:t>31.70</w:t>
            </w:r>
          </w:p>
        </w:tc>
        <w:tc>
          <w:tcPr>
            <w:tcW w:w="1142" w:type="dxa"/>
            <w:vAlign w:val="center"/>
            <w:hideMark/>
          </w:tcPr>
          <w:p w14:paraId="3B5EEBD5" w14:textId="77777777" w:rsidR="00993617" w:rsidRPr="00E72303" w:rsidRDefault="00993617" w:rsidP="007B178E">
            <w:pPr>
              <w:pStyle w:val="1stParagraph"/>
              <w:jc w:val="center"/>
              <w:rPr>
                <w:sz w:val="22"/>
              </w:rPr>
            </w:pPr>
            <w:r w:rsidRPr="00E72303">
              <w:rPr>
                <w:sz w:val="22"/>
              </w:rPr>
              <w:t>-30.52</w:t>
            </w:r>
          </w:p>
        </w:tc>
        <w:tc>
          <w:tcPr>
            <w:tcW w:w="1142" w:type="dxa"/>
            <w:vAlign w:val="center"/>
            <w:hideMark/>
          </w:tcPr>
          <w:p w14:paraId="438A2B43" w14:textId="77777777" w:rsidR="00993617" w:rsidRPr="00E72303" w:rsidRDefault="00993617" w:rsidP="007B178E">
            <w:pPr>
              <w:pStyle w:val="1stParagraph"/>
              <w:jc w:val="center"/>
              <w:rPr>
                <w:sz w:val="22"/>
              </w:rPr>
            </w:pPr>
            <w:r w:rsidRPr="00E72303">
              <w:rPr>
                <w:sz w:val="22"/>
              </w:rPr>
              <w:t>11.27</w:t>
            </w:r>
          </w:p>
        </w:tc>
        <w:tc>
          <w:tcPr>
            <w:tcW w:w="998" w:type="dxa"/>
            <w:vAlign w:val="center"/>
            <w:hideMark/>
          </w:tcPr>
          <w:p w14:paraId="26AA7DDC" w14:textId="77777777" w:rsidR="00993617" w:rsidRPr="00E72303" w:rsidRDefault="00993617" w:rsidP="007B178E">
            <w:pPr>
              <w:pStyle w:val="1stParagraph"/>
              <w:jc w:val="center"/>
              <w:rPr>
                <w:sz w:val="22"/>
              </w:rPr>
            </w:pPr>
            <w:r w:rsidRPr="00E72303">
              <w:rPr>
                <w:sz w:val="22"/>
              </w:rPr>
              <w:t>408.80</w:t>
            </w:r>
          </w:p>
        </w:tc>
      </w:tr>
      <w:tr w:rsidR="00E72303" w:rsidRPr="00E72303" w14:paraId="120AB340" w14:textId="77777777" w:rsidTr="005D2BD0">
        <w:trPr>
          <w:trHeight w:val="288"/>
        </w:trPr>
        <w:tc>
          <w:tcPr>
            <w:tcW w:w="4135" w:type="dxa"/>
            <w:gridSpan w:val="2"/>
            <w:vAlign w:val="center"/>
            <w:hideMark/>
          </w:tcPr>
          <w:p w14:paraId="445923C1" w14:textId="77777777" w:rsidR="00993617" w:rsidRPr="00E72303" w:rsidRDefault="00993617" w:rsidP="007B178E">
            <w:pPr>
              <w:pStyle w:val="1stParagraph"/>
              <w:jc w:val="left"/>
              <w:rPr>
                <w:sz w:val="22"/>
              </w:rPr>
            </w:pPr>
            <w:r w:rsidRPr="00E72303">
              <w:rPr>
                <w:sz w:val="22"/>
              </w:rPr>
              <w:t>Chevrolet</w:t>
            </w:r>
          </w:p>
        </w:tc>
        <w:tc>
          <w:tcPr>
            <w:tcW w:w="1170" w:type="dxa"/>
            <w:vAlign w:val="center"/>
            <w:hideMark/>
          </w:tcPr>
          <w:p w14:paraId="2ABD7D41" w14:textId="77777777" w:rsidR="00993617" w:rsidRPr="00E72303" w:rsidRDefault="00993617" w:rsidP="007B178E">
            <w:pPr>
              <w:pStyle w:val="1stParagraph"/>
              <w:jc w:val="center"/>
              <w:rPr>
                <w:sz w:val="22"/>
              </w:rPr>
            </w:pPr>
            <w:r w:rsidRPr="00E72303">
              <w:rPr>
                <w:sz w:val="22"/>
              </w:rPr>
              <w:t>-18.53</w:t>
            </w:r>
          </w:p>
        </w:tc>
        <w:tc>
          <w:tcPr>
            <w:tcW w:w="1046" w:type="dxa"/>
            <w:vAlign w:val="center"/>
            <w:hideMark/>
          </w:tcPr>
          <w:p w14:paraId="427AEDCC" w14:textId="77777777" w:rsidR="00993617" w:rsidRPr="00E72303" w:rsidRDefault="00993617" w:rsidP="007B178E">
            <w:pPr>
              <w:pStyle w:val="1stParagraph"/>
              <w:jc w:val="center"/>
              <w:rPr>
                <w:sz w:val="22"/>
              </w:rPr>
            </w:pPr>
            <w:r w:rsidRPr="00E72303">
              <w:rPr>
                <w:sz w:val="22"/>
              </w:rPr>
              <w:t>-0.43</w:t>
            </w:r>
          </w:p>
        </w:tc>
        <w:tc>
          <w:tcPr>
            <w:tcW w:w="1035" w:type="dxa"/>
            <w:vAlign w:val="center"/>
            <w:hideMark/>
          </w:tcPr>
          <w:p w14:paraId="01017405" w14:textId="77777777" w:rsidR="00993617" w:rsidRPr="00E72303" w:rsidRDefault="00993617" w:rsidP="007B178E">
            <w:pPr>
              <w:pStyle w:val="1stParagraph"/>
              <w:jc w:val="center"/>
              <w:rPr>
                <w:sz w:val="22"/>
              </w:rPr>
            </w:pPr>
            <w:r w:rsidRPr="00E72303">
              <w:rPr>
                <w:sz w:val="22"/>
              </w:rPr>
              <w:t>-35.82</w:t>
            </w:r>
          </w:p>
        </w:tc>
        <w:tc>
          <w:tcPr>
            <w:tcW w:w="1157" w:type="dxa"/>
            <w:vAlign w:val="center"/>
            <w:hideMark/>
          </w:tcPr>
          <w:p w14:paraId="2FCC8D2E" w14:textId="77777777" w:rsidR="00993617" w:rsidRPr="00E72303" w:rsidRDefault="00993617" w:rsidP="007B178E">
            <w:pPr>
              <w:pStyle w:val="1stParagraph"/>
              <w:jc w:val="center"/>
              <w:rPr>
                <w:sz w:val="22"/>
              </w:rPr>
            </w:pPr>
            <w:r w:rsidRPr="00E72303">
              <w:rPr>
                <w:sz w:val="22"/>
              </w:rPr>
              <w:t>172.20</w:t>
            </w:r>
          </w:p>
        </w:tc>
        <w:tc>
          <w:tcPr>
            <w:tcW w:w="1142" w:type="dxa"/>
            <w:vAlign w:val="center"/>
            <w:hideMark/>
          </w:tcPr>
          <w:p w14:paraId="5550DB61" w14:textId="77777777" w:rsidR="00993617" w:rsidRPr="00E72303" w:rsidRDefault="00993617" w:rsidP="007B178E">
            <w:pPr>
              <w:pStyle w:val="1stParagraph"/>
              <w:jc w:val="center"/>
              <w:rPr>
                <w:sz w:val="22"/>
              </w:rPr>
            </w:pPr>
            <w:r w:rsidRPr="00E72303">
              <w:rPr>
                <w:sz w:val="22"/>
              </w:rPr>
              <w:t>-19.51</w:t>
            </w:r>
          </w:p>
        </w:tc>
        <w:tc>
          <w:tcPr>
            <w:tcW w:w="1142" w:type="dxa"/>
            <w:vAlign w:val="center"/>
            <w:hideMark/>
          </w:tcPr>
          <w:p w14:paraId="19FCEA06" w14:textId="77777777" w:rsidR="00993617" w:rsidRPr="00E72303" w:rsidRDefault="00993617" w:rsidP="007B178E">
            <w:pPr>
              <w:pStyle w:val="1stParagraph"/>
              <w:jc w:val="center"/>
              <w:rPr>
                <w:sz w:val="22"/>
              </w:rPr>
            </w:pPr>
            <w:r w:rsidRPr="00E72303">
              <w:rPr>
                <w:sz w:val="22"/>
              </w:rPr>
              <w:t>1.92</w:t>
            </w:r>
          </w:p>
        </w:tc>
        <w:tc>
          <w:tcPr>
            <w:tcW w:w="1142" w:type="dxa"/>
            <w:vAlign w:val="center"/>
            <w:hideMark/>
          </w:tcPr>
          <w:p w14:paraId="16AAB8CE" w14:textId="77777777" w:rsidR="00993617" w:rsidRPr="00E72303" w:rsidRDefault="00993617" w:rsidP="007B178E">
            <w:pPr>
              <w:pStyle w:val="1stParagraph"/>
              <w:jc w:val="center"/>
              <w:rPr>
                <w:sz w:val="22"/>
              </w:rPr>
            </w:pPr>
            <w:r w:rsidRPr="00E72303">
              <w:rPr>
                <w:sz w:val="22"/>
              </w:rPr>
              <w:t>-26.21</w:t>
            </w:r>
          </w:p>
        </w:tc>
        <w:tc>
          <w:tcPr>
            <w:tcW w:w="998" w:type="dxa"/>
            <w:vAlign w:val="center"/>
            <w:hideMark/>
          </w:tcPr>
          <w:p w14:paraId="2E807B66" w14:textId="77777777" w:rsidR="00993617" w:rsidRPr="00E72303" w:rsidRDefault="00993617" w:rsidP="007B178E">
            <w:pPr>
              <w:pStyle w:val="1stParagraph"/>
              <w:jc w:val="center"/>
              <w:rPr>
                <w:sz w:val="22"/>
              </w:rPr>
            </w:pPr>
            <w:r w:rsidRPr="00E72303">
              <w:rPr>
                <w:sz w:val="22"/>
              </w:rPr>
              <w:t>170.90</w:t>
            </w:r>
          </w:p>
        </w:tc>
      </w:tr>
      <w:tr w:rsidR="00E72303" w:rsidRPr="00E72303" w14:paraId="3A3E8D40" w14:textId="77777777" w:rsidTr="005D2BD0">
        <w:trPr>
          <w:trHeight w:val="288"/>
        </w:trPr>
        <w:tc>
          <w:tcPr>
            <w:tcW w:w="4135" w:type="dxa"/>
            <w:gridSpan w:val="2"/>
            <w:vAlign w:val="center"/>
            <w:hideMark/>
          </w:tcPr>
          <w:p w14:paraId="3F8B64C2" w14:textId="77777777" w:rsidR="00993617" w:rsidRPr="00E72303" w:rsidRDefault="00993617" w:rsidP="007B178E">
            <w:pPr>
              <w:pStyle w:val="1stParagraph"/>
              <w:jc w:val="left"/>
              <w:rPr>
                <w:sz w:val="22"/>
              </w:rPr>
            </w:pPr>
            <w:r w:rsidRPr="00E72303">
              <w:rPr>
                <w:sz w:val="22"/>
              </w:rPr>
              <w:t>Subaru</w:t>
            </w:r>
          </w:p>
        </w:tc>
        <w:tc>
          <w:tcPr>
            <w:tcW w:w="1170" w:type="dxa"/>
            <w:vAlign w:val="center"/>
            <w:hideMark/>
          </w:tcPr>
          <w:p w14:paraId="61A53D64" w14:textId="77777777" w:rsidR="00993617" w:rsidRPr="00E72303" w:rsidRDefault="00993617" w:rsidP="007B178E">
            <w:pPr>
              <w:pStyle w:val="1stParagraph"/>
              <w:jc w:val="center"/>
              <w:rPr>
                <w:sz w:val="22"/>
              </w:rPr>
            </w:pPr>
            <w:r w:rsidRPr="00E72303">
              <w:rPr>
                <w:sz w:val="22"/>
              </w:rPr>
              <w:t>13.67</w:t>
            </w:r>
          </w:p>
        </w:tc>
        <w:tc>
          <w:tcPr>
            <w:tcW w:w="1046" w:type="dxa"/>
            <w:vAlign w:val="center"/>
            <w:hideMark/>
          </w:tcPr>
          <w:p w14:paraId="1B311A25" w14:textId="77777777" w:rsidR="00993617" w:rsidRPr="00E72303" w:rsidRDefault="00993617" w:rsidP="007B178E">
            <w:pPr>
              <w:pStyle w:val="1stParagraph"/>
              <w:jc w:val="center"/>
              <w:rPr>
                <w:sz w:val="22"/>
              </w:rPr>
            </w:pPr>
            <w:r w:rsidRPr="00E72303">
              <w:rPr>
                <w:sz w:val="22"/>
              </w:rPr>
              <w:t>-57.29</w:t>
            </w:r>
          </w:p>
        </w:tc>
        <w:tc>
          <w:tcPr>
            <w:tcW w:w="1035" w:type="dxa"/>
            <w:vAlign w:val="center"/>
            <w:hideMark/>
          </w:tcPr>
          <w:p w14:paraId="45C4B7BC" w14:textId="77777777" w:rsidR="00993617" w:rsidRPr="00E72303" w:rsidRDefault="00993617" w:rsidP="007B178E">
            <w:pPr>
              <w:pStyle w:val="1stParagraph"/>
              <w:jc w:val="center"/>
              <w:rPr>
                <w:sz w:val="22"/>
              </w:rPr>
            </w:pPr>
            <w:r w:rsidRPr="00E72303">
              <w:rPr>
                <w:sz w:val="22"/>
              </w:rPr>
              <w:t>-18.01</w:t>
            </w:r>
          </w:p>
        </w:tc>
        <w:tc>
          <w:tcPr>
            <w:tcW w:w="1157" w:type="dxa"/>
            <w:vAlign w:val="center"/>
            <w:hideMark/>
          </w:tcPr>
          <w:p w14:paraId="26C98D47" w14:textId="77777777" w:rsidR="00993617" w:rsidRPr="00E72303" w:rsidRDefault="00993617" w:rsidP="007B178E">
            <w:pPr>
              <w:pStyle w:val="1stParagraph"/>
              <w:jc w:val="center"/>
              <w:rPr>
                <w:sz w:val="22"/>
              </w:rPr>
            </w:pPr>
            <w:r w:rsidRPr="00E72303">
              <w:rPr>
                <w:sz w:val="22"/>
              </w:rPr>
              <w:t>7.52</w:t>
            </w:r>
          </w:p>
        </w:tc>
        <w:tc>
          <w:tcPr>
            <w:tcW w:w="1142" w:type="dxa"/>
            <w:vAlign w:val="center"/>
            <w:hideMark/>
          </w:tcPr>
          <w:p w14:paraId="1D3D9870" w14:textId="77777777" w:rsidR="00993617" w:rsidRPr="00E72303" w:rsidRDefault="00993617" w:rsidP="007B178E">
            <w:pPr>
              <w:pStyle w:val="1stParagraph"/>
              <w:jc w:val="center"/>
              <w:rPr>
                <w:sz w:val="22"/>
              </w:rPr>
            </w:pPr>
            <w:r w:rsidRPr="00E72303">
              <w:rPr>
                <w:sz w:val="22"/>
              </w:rPr>
              <w:t>12.46</w:t>
            </w:r>
          </w:p>
        </w:tc>
        <w:tc>
          <w:tcPr>
            <w:tcW w:w="1142" w:type="dxa"/>
            <w:vAlign w:val="center"/>
            <w:hideMark/>
          </w:tcPr>
          <w:p w14:paraId="5F0DCAA4" w14:textId="77777777" w:rsidR="00993617" w:rsidRPr="00E72303" w:rsidRDefault="00993617" w:rsidP="007B178E">
            <w:pPr>
              <w:pStyle w:val="1stParagraph"/>
              <w:jc w:val="center"/>
              <w:rPr>
                <w:sz w:val="22"/>
              </w:rPr>
            </w:pPr>
            <w:r w:rsidRPr="00E72303">
              <w:rPr>
                <w:sz w:val="22"/>
              </w:rPr>
              <w:t>-58.25</w:t>
            </w:r>
          </w:p>
        </w:tc>
        <w:tc>
          <w:tcPr>
            <w:tcW w:w="1142" w:type="dxa"/>
            <w:vAlign w:val="center"/>
            <w:hideMark/>
          </w:tcPr>
          <w:p w14:paraId="2F23DA22" w14:textId="77777777" w:rsidR="00993617" w:rsidRPr="00E72303" w:rsidRDefault="00993617" w:rsidP="007B178E">
            <w:pPr>
              <w:pStyle w:val="1stParagraph"/>
              <w:jc w:val="center"/>
              <w:rPr>
                <w:sz w:val="22"/>
              </w:rPr>
            </w:pPr>
            <w:r w:rsidRPr="00E72303">
              <w:rPr>
                <w:sz w:val="22"/>
              </w:rPr>
              <w:t>-13.09</w:t>
            </w:r>
          </w:p>
        </w:tc>
        <w:tc>
          <w:tcPr>
            <w:tcW w:w="998" w:type="dxa"/>
            <w:vAlign w:val="center"/>
            <w:hideMark/>
          </w:tcPr>
          <w:p w14:paraId="0D741B0E" w14:textId="77777777" w:rsidR="00993617" w:rsidRPr="00E72303" w:rsidRDefault="00993617" w:rsidP="007B178E">
            <w:pPr>
              <w:pStyle w:val="1stParagraph"/>
              <w:jc w:val="center"/>
              <w:rPr>
                <w:sz w:val="22"/>
              </w:rPr>
            </w:pPr>
            <w:r w:rsidRPr="00E72303">
              <w:rPr>
                <w:sz w:val="22"/>
              </w:rPr>
              <w:t>8.51</w:t>
            </w:r>
          </w:p>
        </w:tc>
      </w:tr>
      <w:tr w:rsidR="00E72303" w:rsidRPr="00E72303" w14:paraId="2A71CA9E" w14:textId="77777777" w:rsidTr="005D2BD0">
        <w:trPr>
          <w:trHeight w:val="288"/>
        </w:trPr>
        <w:tc>
          <w:tcPr>
            <w:tcW w:w="4135" w:type="dxa"/>
            <w:gridSpan w:val="2"/>
            <w:vAlign w:val="center"/>
            <w:hideMark/>
          </w:tcPr>
          <w:p w14:paraId="0CBDADB0" w14:textId="77777777" w:rsidR="00993617" w:rsidRPr="00E72303" w:rsidRDefault="00993617" w:rsidP="007B178E">
            <w:pPr>
              <w:pStyle w:val="1stParagraph"/>
              <w:jc w:val="left"/>
              <w:rPr>
                <w:sz w:val="22"/>
              </w:rPr>
            </w:pPr>
            <w:r w:rsidRPr="00E72303">
              <w:rPr>
                <w:sz w:val="22"/>
              </w:rPr>
              <w:t>Ford</w:t>
            </w:r>
          </w:p>
        </w:tc>
        <w:tc>
          <w:tcPr>
            <w:tcW w:w="1170" w:type="dxa"/>
            <w:vAlign w:val="center"/>
            <w:hideMark/>
          </w:tcPr>
          <w:p w14:paraId="63BCFFD1" w14:textId="77777777" w:rsidR="00993617" w:rsidRPr="00E72303" w:rsidRDefault="00993617" w:rsidP="007B178E">
            <w:pPr>
              <w:pStyle w:val="1stParagraph"/>
              <w:jc w:val="center"/>
              <w:rPr>
                <w:sz w:val="22"/>
              </w:rPr>
            </w:pPr>
            <w:r w:rsidRPr="00E72303">
              <w:rPr>
                <w:sz w:val="22"/>
              </w:rPr>
              <w:t>-17.46</w:t>
            </w:r>
          </w:p>
        </w:tc>
        <w:tc>
          <w:tcPr>
            <w:tcW w:w="1046" w:type="dxa"/>
            <w:vAlign w:val="center"/>
            <w:hideMark/>
          </w:tcPr>
          <w:p w14:paraId="64AEEEAF" w14:textId="77777777" w:rsidR="00993617" w:rsidRPr="00E72303" w:rsidRDefault="00993617" w:rsidP="007B178E">
            <w:pPr>
              <w:pStyle w:val="1stParagraph"/>
              <w:jc w:val="center"/>
              <w:rPr>
                <w:sz w:val="22"/>
              </w:rPr>
            </w:pPr>
            <w:r w:rsidRPr="00E72303">
              <w:rPr>
                <w:sz w:val="22"/>
              </w:rPr>
              <w:t>-4.65</w:t>
            </w:r>
          </w:p>
        </w:tc>
        <w:tc>
          <w:tcPr>
            <w:tcW w:w="1035" w:type="dxa"/>
            <w:vAlign w:val="center"/>
            <w:hideMark/>
          </w:tcPr>
          <w:p w14:paraId="26078FC9" w14:textId="77777777" w:rsidR="00993617" w:rsidRPr="00E72303" w:rsidRDefault="00993617" w:rsidP="007B178E">
            <w:pPr>
              <w:pStyle w:val="1stParagraph"/>
              <w:jc w:val="center"/>
              <w:rPr>
                <w:sz w:val="22"/>
              </w:rPr>
            </w:pPr>
            <w:r w:rsidRPr="00E72303">
              <w:rPr>
                <w:sz w:val="22"/>
              </w:rPr>
              <w:t>-9.63</w:t>
            </w:r>
          </w:p>
        </w:tc>
        <w:tc>
          <w:tcPr>
            <w:tcW w:w="1157" w:type="dxa"/>
            <w:vAlign w:val="center"/>
            <w:hideMark/>
          </w:tcPr>
          <w:p w14:paraId="0B23CE31" w14:textId="77777777" w:rsidR="00993617" w:rsidRPr="00E72303" w:rsidRDefault="00993617" w:rsidP="007B178E">
            <w:pPr>
              <w:pStyle w:val="1stParagraph"/>
              <w:jc w:val="center"/>
              <w:rPr>
                <w:sz w:val="22"/>
              </w:rPr>
            </w:pPr>
            <w:r w:rsidRPr="00E72303">
              <w:rPr>
                <w:sz w:val="22"/>
              </w:rPr>
              <w:t>152.62</w:t>
            </w:r>
          </w:p>
        </w:tc>
        <w:tc>
          <w:tcPr>
            <w:tcW w:w="1142" w:type="dxa"/>
            <w:vAlign w:val="center"/>
            <w:hideMark/>
          </w:tcPr>
          <w:p w14:paraId="77A9DBCE" w14:textId="77777777" w:rsidR="00993617" w:rsidRPr="00E72303" w:rsidRDefault="00993617" w:rsidP="007B178E">
            <w:pPr>
              <w:pStyle w:val="1stParagraph"/>
              <w:jc w:val="center"/>
              <w:rPr>
                <w:sz w:val="22"/>
              </w:rPr>
            </w:pPr>
            <w:r w:rsidRPr="00E72303">
              <w:rPr>
                <w:sz w:val="22"/>
              </w:rPr>
              <w:t>-62.02</w:t>
            </w:r>
          </w:p>
        </w:tc>
        <w:tc>
          <w:tcPr>
            <w:tcW w:w="1142" w:type="dxa"/>
            <w:vAlign w:val="center"/>
            <w:hideMark/>
          </w:tcPr>
          <w:p w14:paraId="4A625BE8" w14:textId="77777777" w:rsidR="00993617" w:rsidRPr="00E72303" w:rsidRDefault="00993617" w:rsidP="007B178E">
            <w:pPr>
              <w:pStyle w:val="1stParagraph"/>
              <w:jc w:val="center"/>
              <w:rPr>
                <w:sz w:val="22"/>
              </w:rPr>
            </w:pPr>
            <w:r w:rsidRPr="00E72303">
              <w:rPr>
                <w:sz w:val="22"/>
              </w:rPr>
              <w:t>-55.24</w:t>
            </w:r>
          </w:p>
        </w:tc>
        <w:tc>
          <w:tcPr>
            <w:tcW w:w="1142" w:type="dxa"/>
            <w:vAlign w:val="center"/>
            <w:hideMark/>
          </w:tcPr>
          <w:p w14:paraId="3A6CA6AD" w14:textId="77777777" w:rsidR="00993617" w:rsidRPr="00E72303" w:rsidRDefault="00993617" w:rsidP="007B178E">
            <w:pPr>
              <w:pStyle w:val="1stParagraph"/>
              <w:jc w:val="center"/>
              <w:rPr>
                <w:sz w:val="22"/>
              </w:rPr>
            </w:pPr>
            <w:r w:rsidRPr="00E72303">
              <w:rPr>
                <w:sz w:val="22"/>
              </w:rPr>
              <w:t>-27.04</w:t>
            </w:r>
          </w:p>
        </w:tc>
        <w:tc>
          <w:tcPr>
            <w:tcW w:w="998" w:type="dxa"/>
            <w:vAlign w:val="center"/>
            <w:hideMark/>
          </w:tcPr>
          <w:p w14:paraId="75431B0D" w14:textId="77777777" w:rsidR="00993617" w:rsidRPr="00E72303" w:rsidRDefault="00993617" w:rsidP="007B178E">
            <w:pPr>
              <w:pStyle w:val="1stParagraph"/>
              <w:jc w:val="center"/>
              <w:rPr>
                <w:sz w:val="22"/>
              </w:rPr>
            </w:pPr>
            <w:r w:rsidRPr="00E72303">
              <w:rPr>
                <w:sz w:val="22"/>
              </w:rPr>
              <w:t>8.63</w:t>
            </w:r>
          </w:p>
        </w:tc>
      </w:tr>
      <w:tr w:rsidR="00E72303" w:rsidRPr="00E72303" w14:paraId="324CAD63" w14:textId="77777777" w:rsidTr="005D2BD0">
        <w:trPr>
          <w:trHeight w:val="288"/>
        </w:trPr>
        <w:tc>
          <w:tcPr>
            <w:tcW w:w="4135" w:type="dxa"/>
            <w:gridSpan w:val="2"/>
            <w:vAlign w:val="center"/>
            <w:hideMark/>
          </w:tcPr>
          <w:p w14:paraId="6A76E3D7" w14:textId="77777777" w:rsidR="00993617" w:rsidRPr="00E72303" w:rsidRDefault="00993617" w:rsidP="007B178E">
            <w:pPr>
              <w:pStyle w:val="1stParagraph"/>
              <w:jc w:val="left"/>
              <w:rPr>
                <w:sz w:val="22"/>
              </w:rPr>
            </w:pPr>
            <w:r w:rsidRPr="00E72303">
              <w:rPr>
                <w:sz w:val="22"/>
              </w:rPr>
              <w:t>Honda</w:t>
            </w:r>
          </w:p>
        </w:tc>
        <w:tc>
          <w:tcPr>
            <w:tcW w:w="1170" w:type="dxa"/>
            <w:vAlign w:val="center"/>
            <w:hideMark/>
          </w:tcPr>
          <w:p w14:paraId="6E0FA424" w14:textId="77777777" w:rsidR="00993617" w:rsidRPr="00E72303" w:rsidRDefault="00993617" w:rsidP="007B178E">
            <w:pPr>
              <w:pStyle w:val="1stParagraph"/>
              <w:jc w:val="center"/>
              <w:rPr>
                <w:sz w:val="22"/>
              </w:rPr>
            </w:pPr>
            <w:r w:rsidRPr="00E72303">
              <w:rPr>
                <w:sz w:val="22"/>
              </w:rPr>
              <w:t>1.41</w:t>
            </w:r>
          </w:p>
        </w:tc>
        <w:tc>
          <w:tcPr>
            <w:tcW w:w="1046" w:type="dxa"/>
            <w:vAlign w:val="center"/>
            <w:hideMark/>
          </w:tcPr>
          <w:p w14:paraId="6918EEA3" w14:textId="77777777" w:rsidR="00993617" w:rsidRPr="00E72303" w:rsidRDefault="00993617" w:rsidP="007B178E">
            <w:pPr>
              <w:pStyle w:val="1stParagraph"/>
              <w:jc w:val="center"/>
              <w:rPr>
                <w:sz w:val="22"/>
              </w:rPr>
            </w:pPr>
            <w:r w:rsidRPr="00E72303">
              <w:rPr>
                <w:sz w:val="22"/>
              </w:rPr>
              <w:t>7.03</w:t>
            </w:r>
          </w:p>
        </w:tc>
        <w:tc>
          <w:tcPr>
            <w:tcW w:w="1035" w:type="dxa"/>
            <w:vAlign w:val="center"/>
            <w:hideMark/>
          </w:tcPr>
          <w:p w14:paraId="7C87E344" w14:textId="77777777" w:rsidR="00993617" w:rsidRPr="00E72303" w:rsidRDefault="00993617" w:rsidP="007B178E">
            <w:pPr>
              <w:pStyle w:val="1stParagraph"/>
              <w:jc w:val="center"/>
              <w:rPr>
                <w:sz w:val="22"/>
              </w:rPr>
            </w:pPr>
            <w:r w:rsidRPr="00E72303">
              <w:rPr>
                <w:sz w:val="22"/>
              </w:rPr>
              <w:t>-20.13</w:t>
            </w:r>
          </w:p>
        </w:tc>
        <w:tc>
          <w:tcPr>
            <w:tcW w:w="1157" w:type="dxa"/>
            <w:vAlign w:val="center"/>
            <w:hideMark/>
          </w:tcPr>
          <w:p w14:paraId="042691CE" w14:textId="77777777" w:rsidR="00993617" w:rsidRPr="00E72303" w:rsidRDefault="00993617" w:rsidP="007B178E">
            <w:pPr>
              <w:pStyle w:val="1stParagraph"/>
              <w:jc w:val="center"/>
              <w:rPr>
                <w:sz w:val="22"/>
              </w:rPr>
            </w:pPr>
            <w:r w:rsidRPr="00E72303">
              <w:rPr>
                <w:sz w:val="22"/>
              </w:rPr>
              <w:t>111.59</w:t>
            </w:r>
          </w:p>
        </w:tc>
        <w:tc>
          <w:tcPr>
            <w:tcW w:w="1142" w:type="dxa"/>
            <w:vAlign w:val="center"/>
            <w:hideMark/>
          </w:tcPr>
          <w:p w14:paraId="56B4471A" w14:textId="77777777" w:rsidR="00993617" w:rsidRPr="00E72303" w:rsidRDefault="00993617" w:rsidP="007B178E">
            <w:pPr>
              <w:pStyle w:val="1stParagraph"/>
              <w:jc w:val="center"/>
              <w:rPr>
                <w:sz w:val="22"/>
              </w:rPr>
            </w:pPr>
            <w:r w:rsidRPr="00E72303">
              <w:rPr>
                <w:sz w:val="22"/>
              </w:rPr>
              <w:t>-73.08</w:t>
            </w:r>
          </w:p>
        </w:tc>
        <w:tc>
          <w:tcPr>
            <w:tcW w:w="1142" w:type="dxa"/>
            <w:vAlign w:val="center"/>
            <w:hideMark/>
          </w:tcPr>
          <w:p w14:paraId="5D18A448" w14:textId="77777777" w:rsidR="00993617" w:rsidRPr="00E72303" w:rsidRDefault="00993617" w:rsidP="007B178E">
            <w:pPr>
              <w:pStyle w:val="1stParagraph"/>
              <w:jc w:val="center"/>
              <w:rPr>
                <w:sz w:val="22"/>
              </w:rPr>
            </w:pPr>
            <w:r w:rsidRPr="00E72303">
              <w:rPr>
                <w:sz w:val="22"/>
              </w:rPr>
              <w:t>-71.76</w:t>
            </w:r>
          </w:p>
        </w:tc>
        <w:tc>
          <w:tcPr>
            <w:tcW w:w="1142" w:type="dxa"/>
            <w:vAlign w:val="center"/>
            <w:hideMark/>
          </w:tcPr>
          <w:p w14:paraId="15635751" w14:textId="77777777" w:rsidR="00993617" w:rsidRPr="00E72303" w:rsidRDefault="00993617" w:rsidP="007B178E">
            <w:pPr>
              <w:pStyle w:val="1stParagraph"/>
              <w:jc w:val="center"/>
              <w:rPr>
                <w:sz w:val="22"/>
              </w:rPr>
            </w:pPr>
            <w:r w:rsidRPr="00E72303">
              <w:rPr>
                <w:sz w:val="22"/>
              </w:rPr>
              <w:t>-43.42</w:t>
            </w:r>
          </w:p>
        </w:tc>
        <w:tc>
          <w:tcPr>
            <w:tcW w:w="998" w:type="dxa"/>
            <w:vAlign w:val="center"/>
            <w:hideMark/>
          </w:tcPr>
          <w:p w14:paraId="1F198D41" w14:textId="77777777" w:rsidR="00993617" w:rsidRPr="00E72303" w:rsidRDefault="00993617" w:rsidP="007B178E">
            <w:pPr>
              <w:pStyle w:val="1stParagraph"/>
              <w:jc w:val="center"/>
              <w:rPr>
                <w:sz w:val="22"/>
              </w:rPr>
            </w:pPr>
            <w:r w:rsidRPr="00E72303">
              <w:rPr>
                <w:sz w:val="22"/>
              </w:rPr>
              <w:t>-51.84</w:t>
            </w:r>
          </w:p>
        </w:tc>
      </w:tr>
      <w:tr w:rsidR="00E72303" w:rsidRPr="00E72303" w14:paraId="6F042F8A" w14:textId="77777777" w:rsidTr="005D2BD0">
        <w:trPr>
          <w:trHeight w:val="288"/>
        </w:trPr>
        <w:tc>
          <w:tcPr>
            <w:tcW w:w="4135" w:type="dxa"/>
            <w:gridSpan w:val="2"/>
            <w:vAlign w:val="center"/>
            <w:hideMark/>
          </w:tcPr>
          <w:p w14:paraId="42A48056" w14:textId="77777777" w:rsidR="00993617" w:rsidRPr="00E72303" w:rsidRDefault="00993617" w:rsidP="007B178E">
            <w:pPr>
              <w:pStyle w:val="1stParagraph"/>
              <w:jc w:val="left"/>
              <w:rPr>
                <w:sz w:val="22"/>
              </w:rPr>
            </w:pPr>
            <w:r w:rsidRPr="00E72303">
              <w:rPr>
                <w:sz w:val="22"/>
              </w:rPr>
              <w:t>Age more than 65 years old</w:t>
            </w:r>
          </w:p>
        </w:tc>
        <w:tc>
          <w:tcPr>
            <w:tcW w:w="1170" w:type="dxa"/>
            <w:vAlign w:val="center"/>
            <w:hideMark/>
          </w:tcPr>
          <w:p w14:paraId="3BDC471F" w14:textId="77777777" w:rsidR="00993617" w:rsidRPr="00E72303" w:rsidRDefault="00993617" w:rsidP="007B178E">
            <w:pPr>
              <w:pStyle w:val="1stParagraph"/>
              <w:jc w:val="center"/>
              <w:rPr>
                <w:sz w:val="22"/>
              </w:rPr>
            </w:pPr>
            <w:r w:rsidRPr="00E72303">
              <w:rPr>
                <w:sz w:val="22"/>
              </w:rPr>
              <w:t>-1.86</w:t>
            </w:r>
          </w:p>
        </w:tc>
        <w:tc>
          <w:tcPr>
            <w:tcW w:w="1046" w:type="dxa"/>
            <w:vAlign w:val="center"/>
            <w:hideMark/>
          </w:tcPr>
          <w:p w14:paraId="0CA14EF9" w14:textId="77777777" w:rsidR="00993617" w:rsidRPr="00E72303" w:rsidRDefault="00993617" w:rsidP="007B178E">
            <w:pPr>
              <w:pStyle w:val="1stParagraph"/>
              <w:jc w:val="center"/>
              <w:rPr>
                <w:sz w:val="22"/>
              </w:rPr>
            </w:pPr>
            <w:r w:rsidRPr="00E72303">
              <w:rPr>
                <w:sz w:val="22"/>
              </w:rPr>
              <w:t>-15.17</w:t>
            </w:r>
          </w:p>
        </w:tc>
        <w:tc>
          <w:tcPr>
            <w:tcW w:w="1035" w:type="dxa"/>
            <w:vAlign w:val="center"/>
            <w:hideMark/>
          </w:tcPr>
          <w:p w14:paraId="235F70B7" w14:textId="77777777" w:rsidR="00993617" w:rsidRPr="00E72303" w:rsidRDefault="00993617" w:rsidP="007B178E">
            <w:pPr>
              <w:pStyle w:val="1stParagraph"/>
              <w:jc w:val="center"/>
              <w:rPr>
                <w:sz w:val="22"/>
              </w:rPr>
            </w:pPr>
            <w:r w:rsidRPr="00E72303">
              <w:rPr>
                <w:sz w:val="22"/>
              </w:rPr>
              <w:t>6.70</w:t>
            </w:r>
          </w:p>
        </w:tc>
        <w:tc>
          <w:tcPr>
            <w:tcW w:w="1157" w:type="dxa"/>
            <w:vAlign w:val="center"/>
            <w:hideMark/>
          </w:tcPr>
          <w:p w14:paraId="1F73D02F" w14:textId="77777777" w:rsidR="00993617" w:rsidRPr="00E72303" w:rsidRDefault="00993617" w:rsidP="007B178E">
            <w:pPr>
              <w:pStyle w:val="1stParagraph"/>
              <w:jc w:val="center"/>
              <w:rPr>
                <w:sz w:val="22"/>
              </w:rPr>
            </w:pPr>
            <w:r w:rsidRPr="00E72303">
              <w:rPr>
                <w:sz w:val="22"/>
              </w:rPr>
              <w:t>-1.16</w:t>
            </w:r>
          </w:p>
        </w:tc>
        <w:tc>
          <w:tcPr>
            <w:tcW w:w="1142" w:type="dxa"/>
            <w:vAlign w:val="center"/>
            <w:hideMark/>
          </w:tcPr>
          <w:p w14:paraId="39065B4A" w14:textId="77777777" w:rsidR="00993617" w:rsidRPr="00E72303" w:rsidRDefault="00993617" w:rsidP="007B178E">
            <w:pPr>
              <w:pStyle w:val="1stParagraph"/>
              <w:jc w:val="center"/>
              <w:rPr>
                <w:sz w:val="22"/>
              </w:rPr>
            </w:pPr>
            <w:r w:rsidRPr="00E72303">
              <w:rPr>
                <w:sz w:val="22"/>
              </w:rPr>
              <w:t>-2.05</w:t>
            </w:r>
          </w:p>
        </w:tc>
        <w:tc>
          <w:tcPr>
            <w:tcW w:w="1142" w:type="dxa"/>
            <w:vAlign w:val="center"/>
            <w:hideMark/>
          </w:tcPr>
          <w:p w14:paraId="43E8F2E9" w14:textId="77777777" w:rsidR="00993617" w:rsidRPr="00E72303" w:rsidRDefault="00993617" w:rsidP="007B178E">
            <w:pPr>
              <w:pStyle w:val="1stParagraph"/>
              <w:jc w:val="center"/>
              <w:rPr>
                <w:sz w:val="22"/>
              </w:rPr>
            </w:pPr>
            <w:r w:rsidRPr="00E72303">
              <w:rPr>
                <w:sz w:val="22"/>
              </w:rPr>
              <w:t>-17.34</w:t>
            </w:r>
          </w:p>
        </w:tc>
        <w:tc>
          <w:tcPr>
            <w:tcW w:w="1142" w:type="dxa"/>
            <w:vAlign w:val="center"/>
            <w:hideMark/>
          </w:tcPr>
          <w:p w14:paraId="5ABBA3FE" w14:textId="77777777" w:rsidR="00993617" w:rsidRPr="00E72303" w:rsidRDefault="00993617" w:rsidP="007B178E">
            <w:pPr>
              <w:pStyle w:val="1stParagraph"/>
              <w:jc w:val="center"/>
              <w:rPr>
                <w:sz w:val="22"/>
              </w:rPr>
            </w:pPr>
            <w:r w:rsidRPr="00E72303">
              <w:rPr>
                <w:sz w:val="22"/>
              </w:rPr>
              <w:t>3.28</w:t>
            </w:r>
          </w:p>
        </w:tc>
        <w:tc>
          <w:tcPr>
            <w:tcW w:w="998" w:type="dxa"/>
            <w:vAlign w:val="center"/>
            <w:hideMark/>
          </w:tcPr>
          <w:p w14:paraId="6B8F2ED2" w14:textId="77777777" w:rsidR="00993617" w:rsidRPr="00E72303" w:rsidRDefault="00993617" w:rsidP="007B178E">
            <w:pPr>
              <w:pStyle w:val="1stParagraph"/>
              <w:jc w:val="center"/>
              <w:rPr>
                <w:sz w:val="22"/>
              </w:rPr>
            </w:pPr>
            <w:r w:rsidRPr="00E72303">
              <w:rPr>
                <w:sz w:val="22"/>
              </w:rPr>
              <w:t>-1.60</w:t>
            </w:r>
          </w:p>
        </w:tc>
      </w:tr>
      <w:tr w:rsidR="00E72303" w:rsidRPr="00E72303" w14:paraId="6EC5A328" w14:textId="77777777" w:rsidTr="005D2BD0">
        <w:trPr>
          <w:trHeight w:val="288"/>
        </w:trPr>
        <w:tc>
          <w:tcPr>
            <w:tcW w:w="4135" w:type="dxa"/>
            <w:gridSpan w:val="2"/>
            <w:vAlign w:val="center"/>
            <w:hideMark/>
          </w:tcPr>
          <w:p w14:paraId="0EA0A7B7" w14:textId="77777777" w:rsidR="00993617" w:rsidRPr="00E72303" w:rsidRDefault="00993617" w:rsidP="007B178E">
            <w:pPr>
              <w:pStyle w:val="1stParagraph"/>
              <w:jc w:val="left"/>
              <w:rPr>
                <w:sz w:val="22"/>
              </w:rPr>
            </w:pPr>
            <w:r w:rsidRPr="00E72303">
              <w:rPr>
                <w:sz w:val="22"/>
              </w:rPr>
              <w:t>High income household</w:t>
            </w:r>
          </w:p>
        </w:tc>
        <w:tc>
          <w:tcPr>
            <w:tcW w:w="1170" w:type="dxa"/>
            <w:vAlign w:val="center"/>
            <w:hideMark/>
          </w:tcPr>
          <w:p w14:paraId="444EBE38" w14:textId="77777777" w:rsidR="00993617" w:rsidRPr="00E72303" w:rsidRDefault="00993617" w:rsidP="007B178E">
            <w:pPr>
              <w:pStyle w:val="1stParagraph"/>
              <w:jc w:val="center"/>
              <w:rPr>
                <w:sz w:val="22"/>
              </w:rPr>
            </w:pPr>
            <w:r w:rsidRPr="00E72303">
              <w:rPr>
                <w:sz w:val="22"/>
              </w:rPr>
              <w:t>-1.01</w:t>
            </w:r>
          </w:p>
        </w:tc>
        <w:tc>
          <w:tcPr>
            <w:tcW w:w="1046" w:type="dxa"/>
            <w:vAlign w:val="center"/>
            <w:hideMark/>
          </w:tcPr>
          <w:p w14:paraId="1BE440AA" w14:textId="77777777" w:rsidR="00993617" w:rsidRPr="00E72303" w:rsidRDefault="00993617" w:rsidP="007B178E">
            <w:pPr>
              <w:pStyle w:val="1stParagraph"/>
              <w:jc w:val="center"/>
              <w:rPr>
                <w:sz w:val="22"/>
              </w:rPr>
            </w:pPr>
            <w:r w:rsidRPr="00E72303">
              <w:rPr>
                <w:sz w:val="22"/>
              </w:rPr>
              <w:t>-1.11</w:t>
            </w:r>
          </w:p>
        </w:tc>
        <w:tc>
          <w:tcPr>
            <w:tcW w:w="1035" w:type="dxa"/>
            <w:vAlign w:val="center"/>
            <w:hideMark/>
          </w:tcPr>
          <w:p w14:paraId="1E9176D4" w14:textId="77777777" w:rsidR="00993617" w:rsidRPr="00E72303" w:rsidRDefault="00993617" w:rsidP="007B178E">
            <w:pPr>
              <w:pStyle w:val="1stParagraph"/>
              <w:jc w:val="center"/>
              <w:rPr>
                <w:sz w:val="22"/>
              </w:rPr>
            </w:pPr>
            <w:r w:rsidRPr="00E72303">
              <w:rPr>
                <w:sz w:val="22"/>
              </w:rPr>
              <w:t>-0.38</w:t>
            </w:r>
          </w:p>
        </w:tc>
        <w:tc>
          <w:tcPr>
            <w:tcW w:w="1157" w:type="dxa"/>
            <w:vAlign w:val="center"/>
            <w:hideMark/>
          </w:tcPr>
          <w:p w14:paraId="4D8857EA" w14:textId="77777777" w:rsidR="00993617" w:rsidRPr="00E72303" w:rsidRDefault="00993617" w:rsidP="007B178E">
            <w:pPr>
              <w:pStyle w:val="1stParagraph"/>
              <w:jc w:val="center"/>
              <w:rPr>
                <w:sz w:val="22"/>
              </w:rPr>
            </w:pPr>
            <w:r w:rsidRPr="00E72303">
              <w:rPr>
                <w:sz w:val="22"/>
              </w:rPr>
              <w:t>6.02</w:t>
            </w:r>
          </w:p>
        </w:tc>
        <w:tc>
          <w:tcPr>
            <w:tcW w:w="1142" w:type="dxa"/>
            <w:vAlign w:val="center"/>
            <w:hideMark/>
          </w:tcPr>
          <w:p w14:paraId="02A18EFE" w14:textId="77777777" w:rsidR="00993617" w:rsidRPr="00E72303" w:rsidRDefault="00993617" w:rsidP="007B178E">
            <w:pPr>
              <w:pStyle w:val="1stParagraph"/>
              <w:jc w:val="center"/>
              <w:rPr>
                <w:sz w:val="22"/>
              </w:rPr>
            </w:pPr>
            <w:r w:rsidRPr="00E72303">
              <w:rPr>
                <w:sz w:val="22"/>
              </w:rPr>
              <w:t>-1.03</w:t>
            </w:r>
          </w:p>
        </w:tc>
        <w:tc>
          <w:tcPr>
            <w:tcW w:w="1142" w:type="dxa"/>
            <w:vAlign w:val="center"/>
            <w:hideMark/>
          </w:tcPr>
          <w:p w14:paraId="0AF757BB" w14:textId="77777777" w:rsidR="00993617" w:rsidRPr="00E72303" w:rsidRDefault="00993617" w:rsidP="007B178E">
            <w:pPr>
              <w:pStyle w:val="1stParagraph"/>
              <w:jc w:val="center"/>
              <w:rPr>
                <w:sz w:val="22"/>
              </w:rPr>
            </w:pPr>
            <w:r w:rsidRPr="00E72303">
              <w:rPr>
                <w:sz w:val="22"/>
              </w:rPr>
              <w:t>-0.27</w:t>
            </w:r>
          </w:p>
        </w:tc>
        <w:tc>
          <w:tcPr>
            <w:tcW w:w="1142" w:type="dxa"/>
            <w:vAlign w:val="center"/>
            <w:hideMark/>
          </w:tcPr>
          <w:p w14:paraId="4DED4FEA" w14:textId="77777777" w:rsidR="00993617" w:rsidRPr="00E72303" w:rsidRDefault="00993617" w:rsidP="007B178E">
            <w:pPr>
              <w:pStyle w:val="1stParagraph"/>
              <w:jc w:val="center"/>
              <w:rPr>
                <w:sz w:val="22"/>
              </w:rPr>
            </w:pPr>
            <w:r w:rsidRPr="00E72303">
              <w:rPr>
                <w:sz w:val="22"/>
              </w:rPr>
              <w:t>-0.50</w:t>
            </w:r>
          </w:p>
        </w:tc>
        <w:tc>
          <w:tcPr>
            <w:tcW w:w="998" w:type="dxa"/>
            <w:vAlign w:val="center"/>
            <w:hideMark/>
          </w:tcPr>
          <w:p w14:paraId="241FB092" w14:textId="77777777" w:rsidR="00993617" w:rsidRPr="00E72303" w:rsidRDefault="00993617" w:rsidP="007B178E">
            <w:pPr>
              <w:pStyle w:val="1stParagraph"/>
              <w:jc w:val="center"/>
              <w:rPr>
                <w:sz w:val="22"/>
              </w:rPr>
            </w:pPr>
            <w:r w:rsidRPr="00E72303">
              <w:rPr>
                <w:sz w:val="22"/>
              </w:rPr>
              <w:t>5.88</w:t>
            </w:r>
          </w:p>
        </w:tc>
      </w:tr>
      <w:tr w:rsidR="00E72303" w:rsidRPr="00E72303" w14:paraId="54A20CEF" w14:textId="77777777" w:rsidTr="005D2BD0">
        <w:trPr>
          <w:trHeight w:val="288"/>
        </w:trPr>
        <w:tc>
          <w:tcPr>
            <w:tcW w:w="4135" w:type="dxa"/>
            <w:gridSpan w:val="2"/>
            <w:vAlign w:val="center"/>
            <w:hideMark/>
          </w:tcPr>
          <w:p w14:paraId="2F1138BB" w14:textId="77777777" w:rsidR="00993617" w:rsidRPr="00E72303" w:rsidRDefault="00993617" w:rsidP="007B178E">
            <w:pPr>
              <w:pStyle w:val="1stParagraph"/>
              <w:jc w:val="left"/>
              <w:rPr>
                <w:sz w:val="22"/>
              </w:rPr>
            </w:pPr>
            <w:r w:rsidRPr="00E72303">
              <w:rPr>
                <w:sz w:val="22"/>
              </w:rPr>
              <w:t>Household ownership: No</w:t>
            </w:r>
          </w:p>
        </w:tc>
        <w:tc>
          <w:tcPr>
            <w:tcW w:w="1170" w:type="dxa"/>
            <w:vAlign w:val="center"/>
            <w:hideMark/>
          </w:tcPr>
          <w:p w14:paraId="42BA39DF" w14:textId="77777777" w:rsidR="00993617" w:rsidRPr="00E72303" w:rsidRDefault="00993617" w:rsidP="007B178E">
            <w:pPr>
              <w:pStyle w:val="1stParagraph"/>
              <w:jc w:val="center"/>
              <w:rPr>
                <w:sz w:val="22"/>
              </w:rPr>
            </w:pPr>
            <w:r w:rsidRPr="00E72303">
              <w:rPr>
                <w:sz w:val="22"/>
              </w:rPr>
              <w:t>-1.01</w:t>
            </w:r>
          </w:p>
        </w:tc>
        <w:tc>
          <w:tcPr>
            <w:tcW w:w="1046" w:type="dxa"/>
            <w:vAlign w:val="center"/>
            <w:hideMark/>
          </w:tcPr>
          <w:p w14:paraId="7D4AF4FA" w14:textId="77777777" w:rsidR="00993617" w:rsidRPr="00E72303" w:rsidRDefault="00993617" w:rsidP="007B178E">
            <w:pPr>
              <w:pStyle w:val="1stParagraph"/>
              <w:jc w:val="center"/>
              <w:rPr>
                <w:sz w:val="22"/>
              </w:rPr>
            </w:pPr>
            <w:r w:rsidRPr="00E72303">
              <w:rPr>
                <w:sz w:val="22"/>
              </w:rPr>
              <w:t>-1.11</w:t>
            </w:r>
          </w:p>
        </w:tc>
        <w:tc>
          <w:tcPr>
            <w:tcW w:w="1035" w:type="dxa"/>
            <w:vAlign w:val="center"/>
            <w:hideMark/>
          </w:tcPr>
          <w:p w14:paraId="3FA51A46" w14:textId="77777777" w:rsidR="00993617" w:rsidRPr="00E72303" w:rsidRDefault="00993617" w:rsidP="007B178E">
            <w:pPr>
              <w:pStyle w:val="1stParagraph"/>
              <w:jc w:val="center"/>
              <w:rPr>
                <w:sz w:val="22"/>
              </w:rPr>
            </w:pPr>
            <w:r w:rsidRPr="00E72303">
              <w:rPr>
                <w:sz w:val="22"/>
              </w:rPr>
              <w:t>-0.38</w:t>
            </w:r>
          </w:p>
        </w:tc>
        <w:tc>
          <w:tcPr>
            <w:tcW w:w="1157" w:type="dxa"/>
            <w:vAlign w:val="center"/>
            <w:hideMark/>
          </w:tcPr>
          <w:p w14:paraId="3BEDC838" w14:textId="77777777" w:rsidR="00993617" w:rsidRPr="00E72303" w:rsidRDefault="00993617" w:rsidP="007B178E">
            <w:pPr>
              <w:pStyle w:val="1stParagraph"/>
              <w:jc w:val="center"/>
              <w:rPr>
                <w:sz w:val="22"/>
              </w:rPr>
            </w:pPr>
            <w:r w:rsidRPr="00E72303">
              <w:rPr>
                <w:sz w:val="22"/>
              </w:rPr>
              <w:t>6.02</w:t>
            </w:r>
          </w:p>
        </w:tc>
        <w:tc>
          <w:tcPr>
            <w:tcW w:w="1142" w:type="dxa"/>
            <w:vAlign w:val="center"/>
            <w:hideMark/>
          </w:tcPr>
          <w:p w14:paraId="2C26EF8D" w14:textId="77777777" w:rsidR="00993617" w:rsidRPr="00E72303" w:rsidRDefault="00993617" w:rsidP="007B178E">
            <w:pPr>
              <w:pStyle w:val="1stParagraph"/>
              <w:jc w:val="center"/>
              <w:rPr>
                <w:sz w:val="22"/>
              </w:rPr>
            </w:pPr>
            <w:r w:rsidRPr="00E72303">
              <w:rPr>
                <w:sz w:val="22"/>
              </w:rPr>
              <w:t>-1.03</w:t>
            </w:r>
          </w:p>
        </w:tc>
        <w:tc>
          <w:tcPr>
            <w:tcW w:w="1142" w:type="dxa"/>
            <w:vAlign w:val="center"/>
            <w:hideMark/>
          </w:tcPr>
          <w:p w14:paraId="6CC0BA94" w14:textId="77777777" w:rsidR="00993617" w:rsidRPr="00E72303" w:rsidRDefault="00993617" w:rsidP="007B178E">
            <w:pPr>
              <w:pStyle w:val="1stParagraph"/>
              <w:jc w:val="center"/>
              <w:rPr>
                <w:sz w:val="22"/>
              </w:rPr>
            </w:pPr>
            <w:r w:rsidRPr="00E72303">
              <w:rPr>
                <w:sz w:val="22"/>
              </w:rPr>
              <w:t>-0.27</w:t>
            </w:r>
          </w:p>
        </w:tc>
        <w:tc>
          <w:tcPr>
            <w:tcW w:w="1142" w:type="dxa"/>
            <w:vAlign w:val="center"/>
            <w:hideMark/>
          </w:tcPr>
          <w:p w14:paraId="38C2AF1C" w14:textId="77777777" w:rsidR="00993617" w:rsidRPr="00E72303" w:rsidRDefault="00993617" w:rsidP="007B178E">
            <w:pPr>
              <w:pStyle w:val="1stParagraph"/>
              <w:jc w:val="center"/>
              <w:rPr>
                <w:sz w:val="22"/>
              </w:rPr>
            </w:pPr>
            <w:r w:rsidRPr="00E72303">
              <w:rPr>
                <w:sz w:val="22"/>
              </w:rPr>
              <w:t>-0.50</w:t>
            </w:r>
          </w:p>
        </w:tc>
        <w:tc>
          <w:tcPr>
            <w:tcW w:w="998" w:type="dxa"/>
            <w:vAlign w:val="center"/>
            <w:hideMark/>
          </w:tcPr>
          <w:p w14:paraId="1FC49C04" w14:textId="77777777" w:rsidR="00993617" w:rsidRPr="00E72303" w:rsidRDefault="00993617" w:rsidP="007B178E">
            <w:pPr>
              <w:pStyle w:val="1stParagraph"/>
              <w:jc w:val="center"/>
              <w:rPr>
                <w:sz w:val="22"/>
              </w:rPr>
            </w:pPr>
            <w:r w:rsidRPr="00E72303">
              <w:rPr>
                <w:sz w:val="22"/>
              </w:rPr>
              <w:t>5.88</w:t>
            </w:r>
          </w:p>
        </w:tc>
      </w:tr>
      <w:tr w:rsidR="00E72303" w:rsidRPr="00E72303" w14:paraId="243A2318" w14:textId="77777777" w:rsidTr="005D2BD0">
        <w:trPr>
          <w:trHeight w:val="288"/>
        </w:trPr>
        <w:tc>
          <w:tcPr>
            <w:tcW w:w="4135" w:type="dxa"/>
            <w:gridSpan w:val="2"/>
            <w:vAlign w:val="center"/>
            <w:hideMark/>
          </w:tcPr>
          <w:p w14:paraId="67D7119A" w14:textId="77777777" w:rsidR="00993617" w:rsidRPr="00E72303" w:rsidRDefault="00993617" w:rsidP="007B178E">
            <w:pPr>
              <w:pStyle w:val="1stParagraph"/>
              <w:jc w:val="left"/>
              <w:rPr>
                <w:sz w:val="22"/>
              </w:rPr>
            </w:pPr>
            <w:r w:rsidRPr="00E72303">
              <w:rPr>
                <w:sz w:val="22"/>
              </w:rPr>
              <w:t>Low density area</w:t>
            </w:r>
          </w:p>
        </w:tc>
        <w:tc>
          <w:tcPr>
            <w:tcW w:w="1170" w:type="dxa"/>
            <w:vAlign w:val="center"/>
            <w:hideMark/>
          </w:tcPr>
          <w:p w14:paraId="40CB268C" w14:textId="77777777" w:rsidR="00993617" w:rsidRPr="00E72303" w:rsidRDefault="00993617" w:rsidP="007B178E">
            <w:pPr>
              <w:pStyle w:val="1stParagraph"/>
              <w:jc w:val="center"/>
              <w:rPr>
                <w:sz w:val="22"/>
              </w:rPr>
            </w:pPr>
            <w:r w:rsidRPr="00E72303">
              <w:rPr>
                <w:sz w:val="22"/>
              </w:rPr>
              <w:t>0.76</w:t>
            </w:r>
          </w:p>
        </w:tc>
        <w:tc>
          <w:tcPr>
            <w:tcW w:w="1046" w:type="dxa"/>
            <w:vAlign w:val="center"/>
            <w:hideMark/>
          </w:tcPr>
          <w:p w14:paraId="4C92AE63" w14:textId="77777777" w:rsidR="00993617" w:rsidRPr="00E72303" w:rsidRDefault="00993617" w:rsidP="007B178E">
            <w:pPr>
              <w:pStyle w:val="1stParagraph"/>
              <w:jc w:val="center"/>
              <w:rPr>
                <w:sz w:val="22"/>
              </w:rPr>
            </w:pPr>
            <w:r w:rsidRPr="00E72303">
              <w:rPr>
                <w:sz w:val="22"/>
              </w:rPr>
              <w:t>0.73</w:t>
            </w:r>
          </w:p>
        </w:tc>
        <w:tc>
          <w:tcPr>
            <w:tcW w:w="1035" w:type="dxa"/>
            <w:vAlign w:val="center"/>
            <w:hideMark/>
          </w:tcPr>
          <w:p w14:paraId="3238EA87" w14:textId="77777777" w:rsidR="00993617" w:rsidRPr="00E72303" w:rsidRDefault="00993617" w:rsidP="007B178E">
            <w:pPr>
              <w:pStyle w:val="1stParagraph"/>
              <w:jc w:val="center"/>
              <w:rPr>
                <w:sz w:val="22"/>
              </w:rPr>
            </w:pPr>
            <w:r w:rsidRPr="00E72303">
              <w:rPr>
                <w:sz w:val="22"/>
              </w:rPr>
              <w:t>-9.59</w:t>
            </w:r>
          </w:p>
        </w:tc>
        <w:tc>
          <w:tcPr>
            <w:tcW w:w="1157" w:type="dxa"/>
            <w:vAlign w:val="center"/>
            <w:hideMark/>
          </w:tcPr>
          <w:p w14:paraId="4C89F95C" w14:textId="77777777" w:rsidR="00993617" w:rsidRPr="00E72303" w:rsidRDefault="00993617" w:rsidP="007B178E">
            <w:pPr>
              <w:pStyle w:val="1stParagraph"/>
              <w:jc w:val="center"/>
              <w:rPr>
                <w:sz w:val="22"/>
              </w:rPr>
            </w:pPr>
            <w:r w:rsidRPr="00E72303">
              <w:rPr>
                <w:sz w:val="22"/>
              </w:rPr>
              <w:t>-0.59</w:t>
            </w:r>
          </w:p>
        </w:tc>
        <w:tc>
          <w:tcPr>
            <w:tcW w:w="1142" w:type="dxa"/>
            <w:vAlign w:val="center"/>
            <w:hideMark/>
          </w:tcPr>
          <w:p w14:paraId="643020BA" w14:textId="77777777" w:rsidR="00993617" w:rsidRPr="00E72303" w:rsidRDefault="00993617" w:rsidP="007B178E">
            <w:pPr>
              <w:pStyle w:val="1stParagraph"/>
              <w:jc w:val="center"/>
              <w:rPr>
                <w:sz w:val="22"/>
              </w:rPr>
            </w:pPr>
            <w:r w:rsidRPr="00E72303">
              <w:rPr>
                <w:sz w:val="22"/>
              </w:rPr>
              <w:t>26.35</w:t>
            </w:r>
          </w:p>
        </w:tc>
        <w:tc>
          <w:tcPr>
            <w:tcW w:w="1142" w:type="dxa"/>
            <w:vAlign w:val="center"/>
            <w:hideMark/>
          </w:tcPr>
          <w:p w14:paraId="25646566" w14:textId="77777777" w:rsidR="00993617" w:rsidRPr="00E72303" w:rsidRDefault="00993617" w:rsidP="007B178E">
            <w:pPr>
              <w:pStyle w:val="1stParagraph"/>
              <w:jc w:val="center"/>
              <w:rPr>
                <w:sz w:val="22"/>
              </w:rPr>
            </w:pPr>
            <w:r w:rsidRPr="00E72303">
              <w:rPr>
                <w:sz w:val="22"/>
              </w:rPr>
              <w:t>41.86</w:t>
            </w:r>
          </w:p>
        </w:tc>
        <w:tc>
          <w:tcPr>
            <w:tcW w:w="1142" w:type="dxa"/>
            <w:vAlign w:val="center"/>
            <w:hideMark/>
          </w:tcPr>
          <w:p w14:paraId="1792CE21" w14:textId="77777777" w:rsidR="00993617" w:rsidRPr="00E72303" w:rsidRDefault="00993617" w:rsidP="007B178E">
            <w:pPr>
              <w:pStyle w:val="1stParagraph"/>
              <w:jc w:val="center"/>
              <w:rPr>
                <w:sz w:val="22"/>
              </w:rPr>
            </w:pPr>
            <w:r w:rsidRPr="00E72303">
              <w:rPr>
                <w:sz w:val="22"/>
              </w:rPr>
              <w:t>2.96</w:t>
            </w:r>
          </w:p>
        </w:tc>
        <w:tc>
          <w:tcPr>
            <w:tcW w:w="998" w:type="dxa"/>
            <w:vAlign w:val="center"/>
            <w:hideMark/>
          </w:tcPr>
          <w:p w14:paraId="75FA73D2" w14:textId="77777777" w:rsidR="00993617" w:rsidRPr="00E72303" w:rsidRDefault="00993617" w:rsidP="007B178E">
            <w:pPr>
              <w:pStyle w:val="1stParagraph"/>
              <w:jc w:val="center"/>
              <w:rPr>
                <w:sz w:val="22"/>
              </w:rPr>
            </w:pPr>
            <w:r w:rsidRPr="00E72303">
              <w:rPr>
                <w:sz w:val="22"/>
              </w:rPr>
              <w:t>18.47</w:t>
            </w:r>
          </w:p>
        </w:tc>
      </w:tr>
      <w:tr w:rsidR="00E72303" w:rsidRPr="00E72303" w14:paraId="3E972A30" w14:textId="77777777" w:rsidTr="005D2BD0">
        <w:trPr>
          <w:trHeight w:val="288"/>
        </w:trPr>
        <w:tc>
          <w:tcPr>
            <w:tcW w:w="4135" w:type="dxa"/>
            <w:gridSpan w:val="2"/>
            <w:vAlign w:val="center"/>
          </w:tcPr>
          <w:p w14:paraId="65612775" w14:textId="77777777" w:rsidR="00993617" w:rsidRPr="00E72303" w:rsidRDefault="00993617" w:rsidP="007B178E">
            <w:pPr>
              <w:pStyle w:val="1stParagraph"/>
              <w:jc w:val="left"/>
              <w:rPr>
                <w:sz w:val="22"/>
              </w:rPr>
            </w:pPr>
            <w:r w:rsidRPr="00E72303">
              <w:rPr>
                <w:sz w:val="22"/>
              </w:rPr>
              <w:t>Proportion of male</w:t>
            </w:r>
          </w:p>
        </w:tc>
        <w:tc>
          <w:tcPr>
            <w:tcW w:w="1170" w:type="dxa"/>
            <w:vAlign w:val="center"/>
          </w:tcPr>
          <w:p w14:paraId="5B33A83E" w14:textId="77777777" w:rsidR="00993617" w:rsidRPr="00E72303" w:rsidRDefault="00993617" w:rsidP="007B178E">
            <w:pPr>
              <w:pStyle w:val="1stParagraph"/>
              <w:jc w:val="center"/>
              <w:rPr>
                <w:sz w:val="22"/>
              </w:rPr>
            </w:pPr>
            <w:r w:rsidRPr="00E72303">
              <w:rPr>
                <w:sz w:val="22"/>
              </w:rPr>
              <w:t>0.06</w:t>
            </w:r>
          </w:p>
        </w:tc>
        <w:tc>
          <w:tcPr>
            <w:tcW w:w="1046" w:type="dxa"/>
            <w:vAlign w:val="center"/>
          </w:tcPr>
          <w:p w14:paraId="67CA2C36" w14:textId="77777777" w:rsidR="00993617" w:rsidRPr="00E72303" w:rsidRDefault="00993617" w:rsidP="007B178E">
            <w:pPr>
              <w:pStyle w:val="1stParagraph"/>
              <w:jc w:val="center"/>
              <w:rPr>
                <w:sz w:val="22"/>
              </w:rPr>
            </w:pPr>
            <w:r w:rsidRPr="00E72303">
              <w:rPr>
                <w:sz w:val="22"/>
              </w:rPr>
              <w:t>-5.54</w:t>
            </w:r>
          </w:p>
        </w:tc>
        <w:tc>
          <w:tcPr>
            <w:tcW w:w="1035" w:type="dxa"/>
            <w:vAlign w:val="center"/>
          </w:tcPr>
          <w:p w14:paraId="520EFDB7" w14:textId="77777777" w:rsidR="00993617" w:rsidRPr="00E72303" w:rsidRDefault="00993617" w:rsidP="007B178E">
            <w:pPr>
              <w:pStyle w:val="1stParagraph"/>
              <w:jc w:val="center"/>
              <w:rPr>
                <w:sz w:val="22"/>
              </w:rPr>
            </w:pPr>
            <w:r w:rsidRPr="00E72303">
              <w:rPr>
                <w:sz w:val="22"/>
              </w:rPr>
              <w:t>-1.51</w:t>
            </w:r>
          </w:p>
        </w:tc>
        <w:tc>
          <w:tcPr>
            <w:tcW w:w="1157" w:type="dxa"/>
            <w:vAlign w:val="center"/>
          </w:tcPr>
          <w:p w14:paraId="2428371D" w14:textId="77777777" w:rsidR="00993617" w:rsidRPr="00E72303" w:rsidRDefault="00993617" w:rsidP="007B178E">
            <w:pPr>
              <w:pStyle w:val="1stParagraph"/>
              <w:jc w:val="center"/>
              <w:rPr>
                <w:sz w:val="22"/>
              </w:rPr>
            </w:pPr>
            <w:r w:rsidRPr="00E72303">
              <w:rPr>
                <w:sz w:val="22"/>
              </w:rPr>
              <w:t>5.78</w:t>
            </w:r>
          </w:p>
        </w:tc>
        <w:tc>
          <w:tcPr>
            <w:tcW w:w="1142" w:type="dxa"/>
            <w:vAlign w:val="center"/>
          </w:tcPr>
          <w:p w14:paraId="35D72103" w14:textId="77777777" w:rsidR="00993617" w:rsidRPr="00E72303" w:rsidRDefault="00993617" w:rsidP="007B178E">
            <w:pPr>
              <w:pStyle w:val="1stParagraph"/>
              <w:jc w:val="center"/>
              <w:rPr>
                <w:sz w:val="22"/>
              </w:rPr>
            </w:pPr>
            <w:r w:rsidRPr="00E72303">
              <w:rPr>
                <w:sz w:val="22"/>
              </w:rPr>
              <w:t>-0.11</w:t>
            </w:r>
          </w:p>
        </w:tc>
        <w:tc>
          <w:tcPr>
            <w:tcW w:w="1142" w:type="dxa"/>
            <w:vAlign w:val="center"/>
          </w:tcPr>
          <w:p w14:paraId="191A42E3" w14:textId="77777777" w:rsidR="00993617" w:rsidRPr="00E72303" w:rsidRDefault="00993617" w:rsidP="007B178E">
            <w:pPr>
              <w:pStyle w:val="1stParagraph"/>
              <w:jc w:val="center"/>
              <w:rPr>
                <w:sz w:val="22"/>
              </w:rPr>
            </w:pPr>
            <w:r w:rsidRPr="00E72303">
              <w:rPr>
                <w:sz w:val="22"/>
              </w:rPr>
              <w:t>-5.64</w:t>
            </w:r>
          </w:p>
        </w:tc>
        <w:tc>
          <w:tcPr>
            <w:tcW w:w="1142" w:type="dxa"/>
            <w:vAlign w:val="center"/>
          </w:tcPr>
          <w:p w14:paraId="1F84CD4B" w14:textId="77777777" w:rsidR="00993617" w:rsidRPr="00E72303" w:rsidRDefault="00993617" w:rsidP="007B178E">
            <w:pPr>
              <w:pStyle w:val="1stParagraph"/>
              <w:jc w:val="center"/>
              <w:rPr>
                <w:sz w:val="22"/>
              </w:rPr>
            </w:pPr>
            <w:r w:rsidRPr="00E72303">
              <w:rPr>
                <w:sz w:val="22"/>
              </w:rPr>
              <w:t>-1.08</w:t>
            </w:r>
          </w:p>
        </w:tc>
        <w:tc>
          <w:tcPr>
            <w:tcW w:w="998" w:type="dxa"/>
            <w:vAlign w:val="center"/>
          </w:tcPr>
          <w:p w14:paraId="44C46D05" w14:textId="77777777" w:rsidR="00993617" w:rsidRPr="00E72303" w:rsidRDefault="00993617" w:rsidP="007B178E">
            <w:pPr>
              <w:pStyle w:val="1stParagraph"/>
              <w:jc w:val="center"/>
              <w:rPr>
                <w:sz w:val="22"/>
              </w:rPr>
            </w:pPr>
            <w:r w:rsidRPr="00E72303">
              <w:rPr>
                <w:sz w:val="22"/>
              </w:rPr>
              <w:t>5.99</w:t>
            </w:r>
          </w:p>
        </w:tc>
      </w:tr>
      <w:tr w:rsidR="00DE7DAF" w:rsidRPr="00E72303" w14:paraId="74065F1E" w14:textId="77777777">
        <w:trPr>
          <w:trHeight w:val="288"/>
        </w:trPr>
        <w:tc>
          <w:tcPr>
            <w:tcW w:w="12967" w:type="dxa"/>
            <w:gridSpan w:val="10"/>
            <w:vAlign w:val="center"/>
          </w:tcPr>
          <w:p w14:paraId="704A78BA" w14:textId="59153F41" w:rsidR="00DE7DAF" w:rsidRPr="00E72303" w:rsidRDefault="00DE7DAF" w:rsidP="007B178E">
            <w:pPr>
              <w:pStyle w:val="1stParagraph"/>
              <w:jc w:val="left"/>
              <w:rPr>
                <w:b/>
                <w:bCs/>
                <w:i/>
                <w:iCs/>
                <w:sz w:val="22"/>
              </w:rPr>
            </w:pPr>
            <w:r w:rsidRPr="00E72303">
              <w:rPr>
                <w:b/>
                <w:bCs/>
                <w:i/>
                <w:iCs/>
                <w:sz w:val="22"/>
              </w:rPr>
              <w:t>*</w:t>
            </w:r>
            <w:r w:rsidR="00040A96" w:rsidRPr="00E72303">
              <w:rPr>
                <w:b/>
                <w:bCs/>
                <w:i/>
                <w:iCs/>
                <w:sz w:val="22"/>
              </w:rPr>
              <w:t>Alternative specific variable</w:t>
            </w:r>
          </w:p>
        </w:tc>
      </w:tr>
    </w:tbl>
    <w:p w14:paraId="09461B60" w14:textId="77777777" w:rsidR="001E4D32" w:rsidRPr="00E72303" w:rsidRDefault="001E4D32" w:rsidP="007B178E">
      <w:pPr>
        <w:ind w:firstLine="0"/>
        <w:rPr>
          <w:rFonts w:cs="Times New Roman"/>
          <w:szCs w:val="24"/>
        </w:rPr>
        <w:sectPr w:rsidR="001E4D32" w:rsidRPr="00E72303" w:rsidSect="0033263B">
          <w:pgSz w:w="15840" w:h="12240" w:orient="landscape"/>
          <w:pgMar w:top="1440" w:right="1440" w:bottom="1440" w:left="1440" w:header="720" w:footer="720" w:gutter="0"/>
          <w:lnNumType w:countBy="1"/>
          <w:cols w:space="720"/>
          <w:docGrid w:linePitch="360"/>
        </w:sectPr>
      </w:pPr>
    </w:p>
    <w:p w14:paraId="03DCAAAE" w14:textId="75EC0932" w:rsidR="00337E2A" w:rsidRPr="00E72303" w:rsidRDefault="00337E2A" w:rsidP="007B178E">
      <w:pPr>
        <w:pStyle w:val="Heading1"/>
        <w:rPr>
          <w:color w:val="auto"/>
        </w:rPr>
      </w:pPr>
      <w:r w:rsidRPr="00E72303">
        <w:rPr>
          <w:color w:val="auto"/>
        </w:rPr>
        <w:lastRenderedPageBreak/>
        <w:t>Conclusion</w:t>
      </w:r>
    </w:p>
    <w:p w14:paraId="47D752B6" w14:textId="0013FAC0" w:rsidR="0083578A" w:rsidRPr="00E72303" w:rsidRDefault="0083578A" w:rsidP="007B178E">
      <w:pPr>
        <w:pStyle w:val="1stParagraph"/>
      </w:pPr>
      <w:r w:rsidRPr="00E72303">
        <w:t xml:space="preserve">The growing adoption of </w:t>
      </w:r>
      <w:r w:rsidR="00F461C8" w:rsidRPr="00E72303">
        <w:t>alternative fuel vehicles (AFVs)</w:t>
      </w:r>
      <w:r w:rsidRPr="00E72303">
        <w:t xml:space="preserve"> across the country </w:t>
      </w:r>
      <w:r w:rsidR="00795A39" w:rsidRPr="00E72303">
        <w:t xml:space="preserve">has </w:t>
      </w:r>
      <w:r w:rsidR="008D1F14" w:rsidRPr="00E72303">
        <w:t xml:space="preserve">resulted in increased attention on modeling </w:t>
      </w:r>
      <w:r w:rsidR="004862DD" w:rsidRPr="00E72303">
        <w:t xml:space="preserve">AFV </w:t>
      </w:r>
      <w:r w:rsidR="008D1F14" w:rsidRPr="00E72303">
        <w:t xml:space="preserve">adoption in the US. </w:t>
      </w:r>
      <w:r w:rsidR="00B75B26" w:rsidRPr="00E72303">
        <w:t>S</w:t>
      </w:r>
      <w:r w:rsidR="008D1F14" w:rsidRPr="00E72303">
        <w:t xml:space="preserve">everal research attempts have developed models on </w:t>
      </w:r>
      <w:r w:rsidR="004862DD" w:rsidRPr="00E72303">
        <w:t xml:space="preserve">AFV </w:t>
      </w:r>
      <w:r w:rsidR="008D1F14" w:rsidRPr="00E72303">
        <w:t>adoption primarily relying on stated preference data</w:t>
      </w:r>
      <w:r w:rsidR="0018059F" w:rsidRPr="00E72303">
        <w:t>. T</w:t>
      </w:r>
      <w:r w:rsidR="008D1F14" w:rsidRPr="00E72303">
        <w:t xml:space="preserve">here is limited </w:t>
      </w:r>
      <w:r w:rsidR="00B75B26" w:rsidRPr="00E72303">
        <w:t xml:space="preserve">research employing revealed preference data for </w:t>
      </w:r>
      <w:r w:rsidR="004862DD" w:rsidRPr="00E72303">
        <w:t xml:space="preserve">AFV </w:t>
      </w:r>
      <w:r w:rsidR="00B75B26" w:rsidRPr="00E72303">
        <w:t xml:space="preserve">adoption. The objective of the current research is to study vehicle purchase behavior with emphasis on </w:t>
      </w:r>
      <w:r w:rsidR="004862DD" w:rsidRPr="00E72303">
        <w:t xml:space="preserve">AFVs </w:t>
      </w:r>
      <w:r w:rsidR="00B75B26" w:rsidRPr="00E72303">
        <w:t>using a</w:t>
      </w:r>
      <w:r w:rsidR="00666289" w:rsidRPr="00E72303">
        <w:t xml:space="preserve"> </w:t>
      </w:r>
      <w:r w:rsidR="00B75B26" w:rsidRPr="00E72303">
        <w:t xml:space="preserve">vehicle purchase dataset </w:t>
      </w:r>
      <w:proofErr w:type="spellStart"/>
      <w:r w:rsidR="00B75B26" w:rsidRPr="00E72303">
        <w:t>MaritzCX</w:t>
      </w:r>
      <w:proofErr w:type="spellEnd"/>
      <w:r w:rsidR="00B75B26" w:rsidRPr="00E72303">
        <w:t xml:space="preserve"> New Vehicle Customer Study (NVCS). </w:t>
      </w:r>
      <w:proofErr w:type="spellStart"/>
      <w:r w:rsidRPr="00E72303">
        <w:t>MaritzCX</w:t>
      </w:r>
      <w:proofErr w:type="spellEnd"/>
      <w:r w:rsidRPr="00E72303">
        <w:t xml:space="preserve"> data provides the most comprehensive vehicle purchase data</w:t>
      </w:r>
      <w:r w:rsidR="00BC6F84" w:rsidRPr="00E72303">
        <w:t xml:space="preserve"> in the US and Canada. However, </w:t>
      </w:r>
      <w:r w:rsidRPr="00E72303">
        <w:t xml:space="preserve">it is not employed in transportation modeling to understand population vehicle purchase behavior for two reasons. First, </w:t>
      </w:r>
      <w:proofErr w:type="spellStart"/>
      <w:r w:rsidRPr="00E72303">
        <w:t>MaritzCX</w:t>
      </w:r>
      <w:proofErr w:type="spellEnd"/>
      <w:r w:rsidRPr="00E72303">
        <w:t xml:space="preserve"> records represent a self-selected sample of vehicle purchasers (and not the general population). Second, </w:t>
      </w:r>
      <w:proofErr w:type="spellStart"/>
      <w:r w:rsidRPr="00E72303">
        <w:t>MaritzCX</w:t>
      </w:r>
      <w:proofErr w:type="spellEnd"/>
      <w:r w:rsidRPr="00E72303">
        <w:t xml:space="preserve"> data provides very limited data on the household characteristics of the vehicle purchase</w:t>
      </w:r>
      <w:r w:rsidR="0018059F" w:rsidRPr="00E72303">
        <w:t>r</w:t>
      </w:r>
      <w:r w:rsidRPr="00E72303">
        <w:t>s.</w:t>
      </w:r>
      <w:r w:rsidR="00171818" w:rsidRPr="00E72303">
        <w:t xml:space="preserve"> </w:t>
      </w:r>
      <w:r w:rsidR="009A21BE" w:rsidRPr="00E72303">
        <w:t xml:space="preserve">For estimating vehicle ownership models employing </w:t>
      </w:r>
      <w:proofErr w:type="spellStart"/>
      <w:r w:rsidR="009A21BE" w:rsidRPr="00E72303">
        <w:t>MaritzCX</w:t>
      </w:r>
      <w:proofErr w:type="spellEnd"/>
      <w:r w:rsidR="009A21BE" w:rsidRPr="00E72303">
        <w:t xml:space="preserve"> data along with different categories of exogenous variables, it might be necessary to merge several datasets. However, the </w:t>
      </w:r>
      <w:proofErr w:type="spellStart"/>
      <w:r w:rsidR="009A21BE" w:rsidRPr="00E72303">
        <w:t>MaritzCX</w:t>
      </w:r>
      <w:proofErr w:type="spellEnd"/>
      <w:r w:rsidR="009A21BE" w:rsidRPr="00E72303">
        <w:t xml:space="preserve"> datasets and different survey datasets that represent household characteristics do not have any common identifier variable that can be utilized for merging those datasets. </w:t>
      </w:r>
      <w:r w:rsidRPr="00E72303">
        <w:t>Hence, the rich set of vehicle purchase observations are not useful in understanding vehicle fleet evolution at the household resolution.</w:t>
      </w:r>
    </w:p>
    <w:p w14:paraId="017A3FE7" w14:textId="77777777" w:rsidR="00976BB5" w:rsidRPr="00E72303" w:rsidRDefault="0083578A" w:rsidP="00976BB5">
      <w:pPr>
        <w:pStyle w:val="1stParagraph"/>
        <w:ind w:firstLine="720"/>
      </w:pPr>
      <w:r w:rsidRPr="00E72303">
        <w:t xml:space="preserve">In the current research effort, we propose solutions to address these limitations and develop a framework that will allow us to tap into the rich information available in </w:t>
      </w:r>
      <w:proofErr w:type="spellStart"/>
      <w:r w:rsidRPr="00E72303">
        <w:t>MartizCX</w:t>
      </w:r>
      <w:proofErr w:type="spellEnd"/>
      <w:r w:rsidRPr="00E72303">
        <w:t xml:space="preserve"> data. The self-selection of vehicle purchasers is addressed by developing a vehicle purchase decision model using data from the 2017 National Household Travel Survey (NHTS, 2017). To improve the independent variables available in the </w:t>
      </w:r>
      <w:proofErr w:type="spellStart"/>
      <w:r w:rsidRPr="00E72303">
        <w:t>MaritzCX</w:t>
      </w:r>
      <w:proofErr w:type="spellEnd"/>
      <w:r w:rsidRPr="00E72303">
        <w:t xml:space="preserve"> data, we employ an innovative data fusion approach that probabilistically links records from </w:t>
      </w:r>
      <w:proofErr w:type="spellStart"/>
      <w:r w:rsidRPr="00E72303">
        <w:t>MartitzCX</w:t>
      </w:r>
      <w:proofErr w:type="spellEnd"/>
      <w:r w:rsidRPr="00E72303">
        <w:t xml:space="preserve"> with records from NHTS. The proposed data fusion is based on common attributes across the two datasets. Four identical variables – age category, income category, household’s state, and household’s location classified as urban or rural – are present in both </w:t>
      </w:r>
      <w:proofErr w:type="spellStart"/>
      <w:r w:rsidRPr="00E72303">
        <w:t>MaritzCX</w:t>
      </w:r>
      <w:proofErr w:type="spellEnd"/>
      <w:r w:rsidRPr="00E72303">
        <w:t xml:space="preserve"> and NHTS dataset. Therefore, in the current study, </w:t>
      </w:r>
      <w:r w:rsidR="00AF212A" w:rsidRPr="00E72303">
        <w:t xml:space="preserve">10 </w:t>
      </w:r>
      <w:r w:rsidRPr="00E72303">
        <w:t xml:space="preserve">variable combinations: 1) </w:t>
      </w:r>
      <w:r w:rsidR="007F1E33" w:rsidRPr="00E72303">
        <w:rPr>
          <w:rFonts w:cs="Times New Roman"/>
          <w:szCs w:val="24"/>
        </w:rPr>
        <w:t xml:space="preserve">age and </w:t>
      </w:r>
      <w:r w:rsidR="009229CE" w:rsidRPr="00E72303">
        <w:rPr>
          <w:rFonts w:cs="Times New Roman"/>
          <w:szCs w:val="24"/>
        </w:rPr>
        <w:t>income</w:t>
      </w:r>
      <w:r w:rsidRPr="00E72303">
        <w:t xml:space="preserve">, 2) </w:t>
      </w:r>
      <w:r w:rsidR="007F1E33" w:rsidRPr="00E72303">
        <w:rPr>
          <w:rFonts w:cs="Times New Roman"/>
          <w:szCs w:val="24"/>
        </w:rPr>
        <w:t xml:space="preserve">age and </w:t>
      </w:r>
      <w:r w:rsidR="009229CE" w:rsidRPr="00E72303">
        <w:rPr>
          <w:rFonts w:cs="Times New Roman"/>
          <w:szCs w:val="24"/>
        </w:rPr>
        <w:t>location</w:t>
      </w:r>
      <w:r w:rsidRPr="00E72303">
        <w:t xml:space="preserve">, 3) </w:t>
      </w:r>
      <w:r w:rsidR="007F1E33" w:rsidRPr="00E72303">
        <w:t>age and state</w:t>
      </w:r>
      <w:r w:rsidRPr="00E72303">
        <w:t xml:space="preserve">, 4) </w:t>
      </w:r>
      <w:r w:rsidR="007F1E33" w:rsidRPr="00E72303">
        <w:t>age, income and location</w:t>
      </w:r>
      <w:r w:rsidRPr="00E72303">
        <w:t xml:space="preserve">, 5) </w:t>
      </w:r>
      <w:r w:rsidR="00492AF0" w:rsidRPr="00E72303">
        <w:t>age, income and state</w:t>
      </w:r>
      <w:r w:rsidRPr="00E72303">
        <w:t xml:space="preserve">, 6) </w:t>
      </w:r>
      <w:r w:rsidR="00492AF0" w:rsidRPr="00E72303">
        <w:t>age, location and state</w:t>
      </w:r>
      <w:r w:rsidRPr="00E72303">
        <w:t xml:space="preserve">, 7) </w:t>
      </w:r>
      <w:r w:rsidR="00492AF0" w:rsidRPr="00E72303">
        <w:rPr>
          <w:rFonts w:cs="Times New Roman"/>
          <w:szCs w:val="24"/>
        </w:rPr>
        <w:t>income and location</w:t>
      </w:r>
      <w:r w:rsidR="00AF212A" w:rsidRPr="00E72303">
        <w:t xml:space="preserve">, 8) </w:t>
      </w:r>
      <w:r w:rsidR="00492AF0" w:rsidRPr="00E72303">
        <w:t>state and location</w:t>
      </w:r>
      <w:r w:rsidR="00AF212A" w:rsidRPr="00E72303">
        <w:t xml:space="preserve">, 9) </w:t>
      </w:r>
      <w:r w:rsidR="00492AF0" w:rsidRPr="00E72303">
        <w:rPr>
          <w:rFonts w:cs="Times New Roman"/>
          <w:szCs w:val="24"/>
        </w:rPr>
        <w:t>state and income</w:t>
      </w:r>
      <w:r w:rsidR="00AF212A" w:rsidRPr="00E72303">
        <w:t xml:space="preserve">, and 10) </w:t>
      </w:r>
      <w:r w:rsidR="00492AF0" w:rsidRPr="00E72303">
        <w:t xml:space="preserve">state, income and location </w:t>
      </w:r>
      <w:r w:rsidRPr="00E72303">
        <w:t xml:space="preserve">were tested for data fusion. The proposed model framework was estimated fusing 15 NHTS records </w:t>
      </w:r>
      <w:r w:rsidR="00164EB4" w:rsidRPr="00E72303">
        <w:t xml:space="preserve">with </w:t>
      </w:r>
      <w:r w:rsidRPr="00E72303">
        <w:t xml:space="preserve">each </w:t>
      </w:r>
      <w:proofErr w:type="spellStart"/>
      <w:r w:rsidRPr="00E72303">
        <w:t>MaritzCX</w:t>
      </w:r>
      <w:proofErr w:type="spellEnd"/>
      <w:r w:rsidRPr="00E72303">
        <w:t xml:space="preserve"> record based on</w:t>
      </w:r>
      <w:r w:rsidR="007E0CB5" w:rsidRPr="00E72303">
        <w:t xml:space="preserve"> </w:t>
      </w:r>
      <w:r w:rsidRPr="00E72303">
        <w:t>income and location combination.</w:t>
      </w:r>
      <w:r w:rsidR="00A15B33" w:rsidRPr="00E72303">
        <w:t xml:space="preserve"> The reader would note that the development of the fused dataset does not impose any sample size restrictions on the model estimation. Further, the fused dataset will be selected for adoption only if the fused variables (newly added variables) improve the model fit for the dependent variable. </w:t>
      </w:r>
      <w:r w:rsidR="00164EB4" w:rsidRPr="00E72303">
        <w:t xml:space="preserve">The model fit measures and independent variables significant clearly illustrate how the model framework has been significantly improved based on the fused data (relative to </w:t>
      </w:r>
      <w:proofErr w:type="spellStart"/>
      <w:r w:rsidR="00164EB4" w:rsidRPr="00E72303">
        <w:t>MaritzCX</w:t>
      </w:r>
      <w:proofErr w:type="spellEnd"/>
      <w:r w:rsidR="00164EB4" w:rsidRPr="00E72303">
        <w:t xml:space="preserve"> only data).</w:t>
      </w:r>
      <w:r w:rsidR="009F42EA" w:rsidRPr="00E72303">
        <w:t xml:space="preserve"> </w:t>
      </w:r>
      <w:r w:rsidR="00E85EA0" w:rsidRPr="00E72303">
        <w:t>The model results also highlight various interesting patterns of customers’ AFV purchase decision. Among vehicle characteristics, fuel efficiency is found to offer a positive correlation with AFVs. The results illustrate that increasing the fuel efficiency by 10 % will result in an increased likelihood of purchasing AFVs irrespective of the vehicle types. It is also interesting to observe that the impact of vehicle price is similar across both fuel types. Further, among socioeconomic variables, household economic characteristics (such as household income and household ownership) do not provide any significant impact on fuel choice decision. On the other hand, the findings indicate that households in low dense areas are more likely to buy AFVs</w:t>
      </w:r>
      <w:r w:rsidR="00976BB5" w:rsidRPr="00E72303">
        <w:t>.</w:t>
      </w:r>
    </w:p>
    <w:p w14:paraId="5B7B8BDE" w14:textId="307B33AD" w:rsidR="007F1E33" w:rsidRPr="00E72303" w:rsidRDefault="0083578A" w:rsidP="00976BB5">
      <w:pPr>
        <w:pStyle w:val="1stParagraph"/>
        <w:ind w:firstLine="720"/>
      </w:pPr>
      <w:r w:rsidRPr="00E72303">
        <w:t xml:space="preserve">The coefficients of the independent variables of the proposed model do not directly provide the exact magnitude of the impact of variables on household’s vehicle purchase decision. The </w:t>
      </w:r>
      <w:r w:rsidRPr="00E72303">
        <w:lastRenderedPageBreak/>
        <w:t xml:space="preserve">effects of the variables might change across different combinations of fuel type and body type. To evaluate this variability, we </w:t>
      </w:r>
      <w:r w:rsidR="00164EB4" w:rsidRPr="00E72303">
        <w:t xml:space="preserve">generated </w:t>
      </w:r>
      <w:r w:rsidRPr="00E72303">
        <w:t xml:space="preserve">elasticity </w:t>
      </w:r>
      <w:r w:rsidR="00164EB4" w:rsidRPr="00E72303">
        <w:t xml:space="preserve">effects </w:t>
      </w:r>
      <w:r w:rsidR="00603AD6" w:rsidRPr="00E72303">
        <w:t xml:space="preserve">in response </w:t>
      </w:r>
      <w:r w:rsidR="00164EB4" w:rsidRPr="00E72303">
        <w:t xml:space="preserve">to changes to independent </w:t>
      </w:r>
      <w:r w:rsidRPr="00E72303">
        <w:t xml:space="preserve">variables. </w:t>
      </w:r>
      <w:r w:rsidR="00603AD6" w:rsidRPr="00E72303">
        <w:t>The elasticity results illustrate how the model system can be applied to identify important variables.</w:t>
      </w:r>
    </w:p>
    <w:p w14:paraId="1DB6B5FD" w14:textId="6F2D3D9A" w:rsidR="00121A6C" w:rsidRPr="00E72303" w:rsidRDefault="00007833" w:rsidP="007B178E">
      <w:r w:rsidRPr="00E72303">
        <w:t xml:space="preserve">The proposed methodology can be employed to examine the effect of incentives on customer’s vehicle purchase behavior. The incentives can be incorporated as an increase in household income and employed to examine the impact on fuel type and body type choices. </w:t>
      </w:r>
      <w:r w:rsidR="00170E69" w:rsidRPr="00E72303">
        <w:t>In addition</w:t>
      </w:r>
      <w:r w:rsidR="00C62BE9" w:rsidRPr="00E72303">
        <w:t xml:space="preserve"> to </w:t>
      </w:r>
      <w:r w:rsidR="00D43468" w:rsidRPr="00E72303">
        <w:t xml:space="preserve">estimating </w:t>
      </w:r>
      <w:r w:rsidR="00C27C83" w:rsidRPr="00E72303">
        <w:t xml:space="preserve">customers’ vehicle choice behavior, </w:t>
      </w:r>
      <w:r w:rsidR="00930926" w:rsidRPr="00E72303">
        <w:t xml:space="preserve">the proposed methodology </w:t>
      </w:r>
      <w:r w:rsidR="00E514AD" w:rsidRPr="00E72303">
        <w:t xml:space="preserve">can </w:t>
      </w:r>
      <w:r w:rsidR="00F3366B" w:rsidRPr="00E72303">
        <w:t>also</w:t>
      </w:r>
      <w:r w:rsidR="00E514AD" w:rsidRPr="00E72303">
        <w:t xml:space="preserve"> be </w:t>
      </w:r>
      <w:r w:rsidR="00F3366B" w:rsidRPr="00E72303">
        <w:t>applied</w:t>
      </w:r>
      <w:r w:rsidR="00E514AD" w:rsidRPr="00E72303">
        <w:t xml:space="preserve"> to</w:t>
      </w:r>
      <w:r w:rsidR="00170E69" w:rsidRPr="00E72303">
        <w:t xml:space="preserve"> </w:t>
      </w:r>
      <w:r w:rsidR="00121A6C" w:rsidRPr="00E72303">
        <w:t>address diverse planning challenges, including the utilization of – a) social media data</w:t>
      </w:r>
      <w:r w:rsidR="00412064" w:rsidRPr="00E72303">
        <w:t xml:space="preserve"> or location-based smartphone data</w:t>
      </w:r>
      <w:r w:rsidR="00121A6C" w:rsidRPr="00E72303">
        <w:t>, fused with household’s socio-demographic-, economic-, vehicle ownership- and commuting characteristics</w:t>
      </w:r>
      <w:r w:rsidR="004C3BD8" w:rsidRPr="00E72303">
        <w:t xml:space="preserve"> for</w:t>
      </w:r>
      <w:r w:rsidR="00121A6C" w:rsidRPr="00E72303">
        <w:t xml:space="preserve"> travel behavior analysis, </w:t>
      </w:r>
      <w:r w:rsidR="00412064" w:rsidRPr="00E72303">
        <w:t xml:space="preserve">disaster evacuation </w:t>
      </w:r>
      <w:r w:rsidR="00121A6C" w:rsidRPr="00E72303">
        <w:t>and public experience assessment regarding various transportation modes</w:t>
      </w:r>
      <w:r w:rsidR="00F57A74" w:rsidRPr="00E72303">
        <w:t xml:space="preserve"> (see </w:t>
      </w:r>
      <w:r w:rsidR="008911DE" w:rsidRPr="00E72303">
        <w:t>(</w:t>
      </w:r>
      <w:r w:rsidR="00F57A74" w:rsidRPr="00E72303">
        <w:t>Bhowmik et al., 2024</w:t>
      </w:r>
      <w:r w:rsidR="008911DE" w:rsidRPr="00E72303">
        <w:t>b)</w:t>
      </w:r>
      <w:r w:rsidR="00F57A74" w:rsidRPr="00E72303">
        <w:t xml:space="preserve"> for example application for evacuation behavior analysis)</w:t>
      </w:r>
      <w:r w:rsidR="00121A6C" w:rsidRPr="00E72303">
        <w:t>.</w:t>
      </w:r>
    </w:p>
    <w:p w14:paraId="459E39AC" w14:textId="36576CC7" w:rsidR="006155B0" w:rsidRPr="00E72303" w:rsidRDefault="00121A6C" w:rsidP="007B178E">
      <w:r w:rsidRPr="00E72303">
        <w:t>To be sure, t</w:t>
      </w:r>
      <w:r w:rsidR="00164EB4" w:rsidRPr="00E72303">
        <w:t>h</w:t>
      </w:r>
      <w:r w:rsidR="00E83005" w:rsidRPr="00E72303">
        <w:t>is</w:t>
      </w:r>
      <w:r w:rsidR="00164EB4" w:rsidRPr="00E72303">
        <w:t xml:space="preserve"> study is not without limitations. </w:t>
      </w:r>
      <w:r w:rsidR="00FB1E2B" w:rsidRPr="00E72303">
        <w:t xml:space="preserve">As mentioned earlier, we had to consider EVs in our modeling framework within the non-gasoline fuel type category. With </w:t>
      </w:r>
      <w:r w:rsidR="00603AD6" w:rsidRPr="00E72303">
        <w:t xml:space="preserve">more </w:t>
      </w:r>
      <w:r w:rsidR="00FB1E2B" w:rsidRPr="00E72303">
        <w:t xml:space="preserve">years of </w:t>
      </w:r>
      <w:r w:rsidR="00603AD6" w:rsidRPr="00E72303">
        <w:t xml:space="preserve">recent </w:t>
      </w:r>
      <w:r w:rsidR="00FB1E2B" w:rsidRPr="00E72303">
        <w:t xml:space="preserve">data, this assumption can be relaxed to focus directly on EVs. </w:t>
      </w:r>
      <w:r w:rsidR="00486A53" w:rsidRPr="00E72303">
        <w:t>The approach proposed</w:t>
      </w:r>
      <w:r w:rsidR="0097512F" w:rsidRPr="00E72303">
        <w:t xml:space="preserve"> in our study</w:t>
      </w:r>
      <w:r w:rsidR="00486A53" w:rsidRPr="00E72303">
        <w:t xml:space="preserve"> will need a minor update to account for this change. </w:t>
      </w:r>
    </w:p>
    <w:p w14:paraId="3A9E2334" w14:textId="77777777" w:rsidR="00DA5FF9" w:rsidRPr="00E72303" w:rsidRDefault="00DA5FF9" w:rsidP="00DA5FF9">
      <w:pPr>
        <w:ind w:firstLine="0"/>
      </w:pPr>
    </w:p>
    <w:p w14:paraId="73618431" w14:textId="5164DCFF" w:rsidR="00BE7CEB" w:rsidRPr="00E72303" w:rsidRDefault="00BE7CEB" w:rsidP="007B178E">
      <w:pPr>
        <w:pStyle w:val="Heading1"/>
        <w:numPr>
          <w:ilvl w:val="0"/>
          <w:numId w:val="0"/>
        </w:numPr>
        <w:ind w:left="432" w:hanging="432"/>
        <w:rPr>
          <w:color w:val="auto"/>
          <w:sz w:val="22"/>
        </w:rPr>
      </w:pPr>
      <w:r w:rsidRPr="00E72303">
        <w:rPr>
          <w:color w:val="auto"/>
        </w:rPr>
        <w:t>ACKNOWLEDGMENT</w:t>
      </w:r>
      <w:r w:rsidR="00F82BD4" w:rsidRPr="00E72303">
        <w:rPr>
          <w:color w:val="auto"/>
        </w:rPr>
        <w:t>S</w:t>
      </w:r>
    </w:p>
    <w:p w14:paraId="3B08BDFC" w14:textId="77777777" w:rsidR="00464843" w:rsidRPr="00E72303" w:rsidRDefault="00BE7CEB" w:rsidP="007B178E">
      <w:pPr>
        <w:pStyle w:val="1stParagraph"/>
        <w:rPr>
          <w:sz w:val="23"/>
          <w:szCs w:val="23"/>
        </w:rPr>
      </w:pPr>
      <w:r w:rsidRPr="00E72303">
        <w:t xml:space="preserve">The authors would like to thank Dr. Joshua Linn (Associate Professor, Department of Agricultural and Resource, University of Maryland, Email: </w:t>
      </w:r>
      <w:hyperlink r:id="rId19">
        <w:r w:rsidRPr="00E72303">
          <w:rPr>
            <w:sz w:val="23"/>
            <w:szCs w:val="23"/>
          </w:rPr>
          <w:t>linn@umd.edu</w:t>
        </w:r>
      </w:hyperlink>
      <w:r w:rsidRPr="00E72303">
        <w:rPr>
          <w:sz w:val="23"/>
          <w:szCs w:val="23"/>
        </w:rPr>
        <w:t>)</w:t>
      </w:r>
      <w:r w:rsidR="001D065A" w:rsidRPr="00E72303">
        <w:rPr>
          <w:sz w:val="23"/>
          <w:szCs w:val="23"/>
        </w:rPr>
        <w:t xml:space="preserve">, </w:t>
      </w:r>
      <w:r w:rsidRPr="00E72303">
        <w:rPr>
          <w:sz w:val="23"/>
          <w:szCs w:val="23"/>
        </w:rPr>
        <w:t xml:space="preserve">Dr. James </w:t>
      </w:r>
      <w:proofErr w:type="spellStart"/>
      <w:r w:rsidRPr="00E72303">
        <w:rPr>
          <w:sz w:val="23"/>
          <w:szCs w:val="23"/>
        </w:rPr>
        <w:t>Archsmith</w:t>
      </w:r>
      <w:proofErr w:type="spellEnd"/>
      <w:r w:rsidR="002D1577" w:rsidRPr="00E72303">
        <w:rPr>
          <w:sz w:val="23"/>
          <w:szCs w:val="23"/>
        </w:rPr>
        <w:t xml:space="preserve"> (</w:t>
      </w:r>
      <w:r w:rsidRPr="00E72303">
        <w:rPr>
          <w:sz w:val="23"/>
          <w:szCs w:val="23"/>
        </w:rPr>
        <w:t xml:space="preserve">Assistant Professor, Department of Agricultural and Resource Economics, University of Maryland, Email: </w:t>
      </w:r>
      <w:r w:rsidR="001D065A" w:rsidRPr="00E72303">
        <w:rPr>
          <w:sz w:val="23"/>
          <w:szCs w:val="23"/>
        </w:rPr>
        <w:t>archsmit@umd.edu</w:t>
      </w:r>
      <w:r w:rsidRPr="00E72303">
        <w:rPr>
          <w:sz w:val="23"/>
          <w:szCs w:val="23"/>
        </w:rPr>
        <w:t>)</w:t>
      </w:r>
      <w:r w:rsidR="001D065A" w:rsidRPr="00E72303">
        <w:rPr>
          <w:sz w:val="23"/>
          <w:szCs w:val="23"/>
        </w:rPr>
        <w:t xml:space="preserve"> and </w:t>
      </w:r>
      <w:r w:rsidR="00F82BD4" w:rsidRPr="00E72303">
        <w:rPr>
          <w:sz w:val="23"/>
          <w:szCs w:val="23"/>
        </w:rPr>
        <w:t xml:space="preserve">the </w:t>
      </w:r>
      <w:r w:rsidR="001D065A" w:rsidRPr="00E72303">
        <w:rPr>
          <w:sz w:val="23"/>
          <w:szCs w:val="23"/>
        </w:rPr>
        <w:t xml:space="preserve">Resources For the Future (RFF) </w:t>
      </w:r>
      <w:r w:rsidR="002D1577" w:rsidRPr="00E72303">
        <w:rPr>
          <w:sz w:val="23"/>
          <w:szCs w:val="23"/>
        </w:rPr>
        <w:t>for providing the data utilized in this study.</w:t>
      </w:r>
    </w:p>
    <w:p w14:paraId="5EE73D1F" w14:textId="77777777" w:rsidR="00DA5FF9" w:rsidRPr="00E72303" w:rsidRDefault="00DA5FF9" w:rsidP="007B178E">
      <w:pPr>
        <w:pStyle w:val="1stParagraph"/>
        <w:rPr>
          <w:sz w:val="23"/>
          <w:szCs w:val="23"/>
        </w:rPr>
      </w:pPr>
    </w:p>
    <w:p w14:paraId="75C70315" w14:textId="14CDECF9" w:rsidR="00603508" w:rsidRPr="00E72303" w:rsidRDefault="00603508" w:rsidP="007B178E">
      <w:pPr>
        <w:pStyle w:val="1stParagraph"/>
        <w:rPr>
          <w:sz w:val="23"/>
          <w:szCs w:val="23"/>
        </w:rPr>
      </w:pPr>
      <w:r w:rsidRPr="00E72303">
        <w:rPr>
          <w:b/>
          <w:bCs/>
        </w:rPr>
        <w:t>AUTHOR</w:t>
      </w:r>
      <w:r w:rsidR="00F02452" w:rsidRPr="00E72303">
        <w:rPr>
          <w:b/>
          <w:bCs/>
        </w:rPr>
        <w:t>S’ CONTRIBUTION</w:t>
      </w:r>
    </w:p>
    <w:p w14:paraId="4F382C38" w14:textId="72DEF91A" w:rsidR="006B4FD9" w:rsidRPr="00E72303" w:rsidRDefault="00603508" w:rsidP="007B178E">
      <w:pPr>
        <w:pStyle w:val="1stParagraph"/>
      </w:pPr>
      <w:r w:rsidRPr="00E72303">
        <w:rPr>
          <w:b/>
          <w:bCs/>
        </w:rPr>
        <w:t>Md Istiak Jahan:</w:t>
      </w:r>
      <w:r w:rsidR="00F906E3" w:rsidRPr="00E72303">
        <w:rPr>
          <w:b/>
          <w:bCs/>
        </w:rPr>
        <w:t xml:space="preserve"> </w:t>
      </w:r>
      <w:r w:rsidRPr="00E72303">
        <w:t>Software, Validation, Formal analysis, Investigation, Data Curation, Writing - Original Draft, Visualization</w:t>
      </w:r>
      <w:r w:rsidR="00F906E3" w:rsidRPr="00E72303">
        <w:t xml:space="preserve">. </w:t>
      </w:r>
      <w:r w:rsidR="00F906E3" w:rsidRPr="00E72303">
        <w:rPr>
          <w:b/>
          <w:bCs/>
        </w:rPr>
        <w:t>Tanmoy Bhowmik:</w:t>
      </w:r>
      <w:r w:rsidR="00F906E3" w:rsidRPr="00E72303">
        <w:t xml:space="preserve"> Conceptualization, Methodology, Software, Formal analysis, Investigation, Visualization</w:t>
      </w:r>
      <w:r w:rsidR="00F906E3" w:rsidRPr="00E72303">
        <w:rPr>
          <w:b/>
          <w:bCs/>
        </w:rPr>
        <w:t xml:space="preserve">. Sachraa G. Borjigin: </w:t>
      </w:r>
      <w:r w:rsidR="00F906E3" w:rsidRPr="00E72303">
        <w:t xml:space="preserve">Investigation, Writing - Original Draft. </w:t>
      </w:r>
      <w:r w:rsidR="00F906E3" w:rsidRPr="00E72303">
        <w:rPr>
          <w:b/>
          <w:bCs/>
        </w:rPr>
        <w:t xml:space="preserve">Jiehong Lou: </w:t>
      </w:r>
      <w:r w:rsidR="00F906E3" w:rsidRPr="00E72303">
        <w:t xml:space="preserve">Writing - Original Draft, Visualization. </w:t>
      </w:r>
      <w:r w:rsidR="00F906E3" w:rsidRPr="00E72303">
        <w:rPr>
          <w:b/>
          <w:bCs/>
        </w:rPr>
        <w:t>Nneoma M. Ugwu</w:t>
      </w:r>
      <w:r w:rsidR="00F906E3" w:rsidRPr="00E72303">
        <w:t xml:space="preserve">: Writing - Original Draft. </w:t>
      </w:r>
      <w:r w:rsidR="00F906E3" w:rsidRPr="00E72303">
        <w:rPr>
          <w:b/>
          <w:bCs/>
        </w:rPr>
        <w:t>Deb A. Niemeier:</w:t>
      </w:r>
      <w:r w:rsidR="00F906E3" w:rsidRPr="00E72303">
        <w:t xml:space="preserve"> Writing - Original Draft. </w:t>
      </w:r>
      <w:r w:rsidR="00F906E3" w:rsidRPr="00E72303">
        <w:rPr>
          <w:b/>
          <w:bCs/>
        </w:rPr>
        <w:t xml:space="preserve">Naveen Eluru: </w:t>
      </w:r>
      <w:r w:rsidR="00F906E3" w:rsidRPr="00E72303">
        <w:t>Conceptualization, Methodology, Investigation, Writing - Review &amp; Editing, Supervision.</w:t>
      </w:r>
    </w:p>
    <w:p w14:paraId="41DEAB27" w14:textId="77777777" w:rsidR="00DA5FF9" w:rsidRPr="00E72303" w:rsidRDefault="00DA5FF9" w:rsidP="007B178E">
      <w:pPr>
        <w:pStyle w:val="1stParagraph"/>
      </w:pPr>
    </w:p>
    <w:p w14:paraId="7AD4BBA3" w14:textId="77777777" w:rsidR="00001C8E" w:rsidRPr="00E72303" w:rsidRDefault="00001C8E" w:rsidP="007B178E">
      <w:pPr>
        <w:pStyle w:val="1stParagraph"/>
        <w:rPr>
          <w:rFonts w:eastAsiaTheme="majorEastAsia" w:cstheme="majorBidi"/>
          <w:b/>
          <w:caps/>
          <w:szCs w:val="32"/>
        </w:rPr>
      </w:pPr>
      <w:r w:rsidRPr="00E72303">
        <w:rPr>
          <w:rFonts w:eastAsiaTheme="majorEastAsia" w:cstheme="majorBidi"/>
          <w:b/>
          <w:caps/>
          <w:szCs w:val="32"/>
        </w:rPr>
        <w:t>Disclosure statemenT</w:t>
      </w:r>
    </w:p>
    <w:p w14:paraId="221E561B" w14:textId="17783D4F" w:rsidR="00EC26FF" w:rsidRPr="00E72303" w:rsidRDefault="009A6E8C" w:rsidP="007B178E">
      <w:pPr>
        <w:pStyle w:val="1stParagraph"/>
      </w:pPr>
      <w:r w:rsidRPr="00E72303">
        <w:t>The authors declare that they have no known competing financial interests or personal relationships that could have appeared to influence the work reported in this paper.</w:t>
      </w:r>
    </w:p>
    <w:p w14:paraId="53713A29" w14:textId="77777777" w:rsidR="0065777A" w:rsidRPr="00E72303" w:rsidRDefault="0065777A" w:rsidP="007B178E">
      <w:pPr>
        <w:pStyle w:val="1stParagraph"/>
      </w:pPr>
    </w:p>
    <w:p w14:paraId="7A72A53B" w14:textId="77777777" w:rsidR="00141504" w:rsidRPr="00E72303" w:rsidRDefault="009A6E8C" w:rsidP="007B178E">
      <w:pPr>
        <w:widowControl w:val="0"/>
        <w:autoSpaceDE w:val="0"/>
        <w:autoSpaceDN w:val="0"/>
        <w:adjustRightInd w:val="0"/>
        <w:ind w:firstLine="0"/>
        <w:rPr>
          <w:b/>
          <w:bCs/>
        </w:rPr>
      </w:pPr>
      <w:r w:rsidRPr="00E72303">
        <w:rPr>
          <w:b/>
          <w:bCs/>
        </w:rPr>
        <w:t>REFERENCES</w:t>
      </w:r>
    </w:p>
    <w:p w14:paraId="70B269B3" w14:textId="463EEB74" w:rsidR="00341A94" w:rsidRPr="00E72303" w:rsidRDefault="00141504" w:rsidP="00341A94">
      <w:pPr>
        <w:widowControl w:val="0"/>
        <w:autoSpaceDE w:val="0"/>
        <w:autoSpaceDN w:val="0"/>
        <w:adjustRightInd w:val="0"/>
        <w:ind w:left="480" w:hanging="480"/>
        <w:rPr>
          <w:rFonts w:cs="Times New Roman"/>
          <w:noProof/>
        </w:rPr>
      </w:pPr>
      <w:r w:rsidRPr="00E72303">
        <w:rPr>
          <w:b/>
          <w:bCs/>
        </w:rPr>
        <w:fldChar w:fldCharType="begin" w:fldLock="1"/>
      </w:r>
      <w:r w:rsidRPr="00E72303">
        <w:rPr>
          <w:b/>
          <w:bCs/>
        </w:rPr>
        <w:instrText xml:space="preserve">ADDIN Mendeley Bibliography CSL_BIBLIOGRAPHY </w:instrText>
      </w:r>
      <w:r w:rsidRPr="00E72303">
        <w:rPr>
          <w:b/>
          <w:bCs/>
        </w:rPr>
        <w:fldChar w:fldCharType="separate"/>
      </w:r>
      <w:r w:rsidR="00341A94" w:rsidRPr="00E72303">
        <w:rPr>
          <w:rFonts w:cs="Times New Roman"/>
          <w:noProof/>
        </w:rPr>
        <w:t xml:space="preserve">Ackaah, W., Kanton, A. T., &amp; Osei, K. K. (2022). Factors influencing consumers’ intentions to purchase electric vehicles in Ghana. </w:t>
      </w:r>
      <w:r w:rsidR="00341A94" w:rsidRPr="00E72303">
        <w:rPr>
          <w:rFonts w:cs="Times New Roman"/>
          <w:i/>
          <w:iCs/>
          <w:noProof/>
        </w:rPr>
        <w:t>Transportation Letters</w:t>
      </w:r>
      <w:r w:rsidR="00341A94" w:rsidRPr="00E72303">
        <w:rPr>
          <w:rFonts w:cs="Times New Roman"/>
          <w:noProof/>
        </w:rPr>
        <w:t xml:space="preserve">, </w:t>
      </w:r>
      <w:r w:rsidR="00341A94" w:rsidRPr="00E72303">
        <w:rPr>
          <w:rFonts w:cs="Times New Roman"/>
          <w:i/>
          <w:iCs/>
          <w:noProof/>
        </w:rPr>
        <w:t>14</w:t>
      </w:r>
      <w:r w:rsidR="00341A94" w:rsidRPr="00E72303">
        <w:rPr>
          <w:rFonts w:cs="Times New Roman"/>
          <w:noProof/>
        </w:rPr>
        <w:t>(9), 1031–1042. https://doi.org/10.1080/19427867.2021.1990828</w:t>
      </w:r>
    </w:p>
    <w:p w14:paraId="078DF2D7"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Ahn, J., Jeong, G., &amp; Kim, Y. (2008). A forecast of household ownership and use of alternative fuel vehicles: A multiple discrete-continuous choice approach. </w:t>
      </w:r>
      <w:r w:rsidRPr="00E72303">
        <w:rPr>
          <w:rFonts w:cs="Times New Roman"/>
          <w:i/>
          <w:iCs/>
          <w:noProof/>
        </w:rPr>
        <w:t>Energy Economics</w:t>
      </w:r>
      <w:r w:rsidRPr="00E72303">
        <w:rPr>
          <w:rFonts w:cs="Times New Roman"/>
          <w:noProof/>
        </w:rPr>
        <w:t xml:space="preserve">, </w:t>
      </w:r>
      <w:r w:rsidRPr="00E72303">
        <w:rPr>
          <w:rFonts w:cs="Times New Roman"/>
          <w:i/>
          <w:iCs/>
          <w:noProof/>
        </w:rPr>
        <w:t>30</w:t>
      </w:r>
      <w:r w:rsidRPr="00E72303">
        <w:rPr>
          <w:rFonts w:cs="Times New Roman"/>
          <w:noProof/>
        </w:rPr>
        <w:t>(5), 2091–2104. https://doi.org/10.1016/j.eneco.2007.10.003</w:t>
      </w:r>
    </w:p>
    <w:p w14:paraId="6BA9CA7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Anderhofstadt, B., &amp; Spinler, S. (2019). Factors affecting the purchasing decision and operation of alternative fuel-powered heavy-duty trucks in Germany – A Delphi study. </w:t>
      </w:r>
      <w:r w:rsidRPr="00E72303">
        <w:rPr>
          <w:rFonts w:cs="Times New Roman"/>
          <w:i/>
          <w:iCs/>
          <w:noProof/>
        </w:rPr>
        <w:t>Transportation Research Part D: Transport and Environment</w:t>
      </w:r>
      <w:r w:rsidRPr="00E72303">
        <w:rPr>
          <w:rFonts w:cs="Times New Roman"/>
          <w:noProof/>
        </w:rPr>
        <w:t xml:space="preserve">, </w:t>
      </w:r>
      <w:r w:rsidRPr="00E72303">
        <w:rPr>
          <w:rFonts w:cs="Times New Roman"/>
          <w:i/>
          <w:iCs/>
          <w:noProof/>
        </w:rPr>
        <w:t>73</w:t>
      </w:r>
      <w:r w:rsidRPr="00E72303">
        <w:rPr>
          <w:rFonts w:cs="Times New Roman"/>
          <w:noProof/>
        </w:rPr>
        <w:t xml:space="preserve">, 87–107. </w:t>
      </w:r>
      <w:r w:rsidRPr="00E72303">
        <w:rPr>
          <w:rFonts w:cs="Times New Roman"/>
          <w:noProof/>
        </w:rPr>
        <w:lastRenderedPageBreak/>
        <w:t>https://doi.org/10.1016/j.trd.2019.06.003</w:t>
      </w:r>
    </w:p>
    <w:p w14:paraId="6BCA19F0"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Ankney, K., &amp; Leard, B. (2021). </w:t>
      </w:r>
      <w:r w:rsidRPr="00E72303">
        <w:rPr>
          <w:rFonts w:cs="Times New Roman"/>
          <w:i/>
          <w:iCs/>
          <w:noProof/>
        </w:rPr>
        <w:t>How Much Do Consumers Value Fuel Cost Savings? Evidence from the Passenger Vehicle Leasing Market</w:t>
      </w:r>
      <w:r w:rsidRPr="00E72303">
        <w:rPr>
          <w:rFonts w:cs="Times New Roman"/>
          <w:noProof/>
        </w:rPr>
        <w:t xml:space="preserve"> (Issue August).</w:t>
      </w:r>
    </w:p>
    <w:p w14:paraId="43520832"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Anowar, S., Eluru, N., &amp; Miranda-Moreno, L. F. (2016). Analysis of vehicle ownership evolution in Montreal, Canada using pseudo panel analysis. </w:t>
      </w:r>
      <w:r w:rsidRPr="00E72303">
        <w:rPr>
          <w:rFonts w:cs="Times New Roman"/>
          <w:i/>
          <w:iCs/>
          <w:noProof/>
        </w:rPr>
        <w:t>Transportation</w:t>
      </w:r>
      <w:r w:rsidRPr="00E72303">
        <w:rPr>
          <w:rFonts w:cs="Times New Roman"/>
          <w:noProof/>
        </w:rPr>
        <w:t xml:space="preserve">, </w:t>
      </w:r>
      <w:r w:rsidRPr="00E72303">
        <w:rPr>
          <w:rFonts w:cs="Times New Roman"/>
          <w:i/>
          <w:iCs/>
          <w:noProof/>
        </w:rPr>
        <w:t>43</w:t>
      </w:r>
      <w:r w:rsidRPr="00E72303">
        <w:rPr>
          <w:rFonts w:cs="Times New Roman"/>
          <w:noProof/>
        </w:rPr>
        <w:t>, 531–548. https://doi.org/10.1007/s11116-015-9588-z</w:t>
      </w:r>
    </w:p>
    <w:p w14:paraId="3D113151"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Anowar, S., Eluru, N., Miranda-Moreno, L. F., &amp; Lee-Gosselin, M. (2015). Joint econometric analysis of temporal and spatial flexibility of activities, vehicle type choice, and primary driver selection. </w:t>
      </w:r>
      <w:r w:rsidRPr="00E72303">
        <w:rPr>
          <w:rFonts w:cs="Times New Roman"/>
          <w:i/>
          <w:iCs/>
          <w:noProof/>
        </w:rPr>
        <w:t>Transportation Research Record</w:t>
      </w:r>
      <w:r w:rsidRPr="00E72303">
        <w:rPr>
          <w:rFonts w:cs="Times New Roman"/>
          <w:noProof/>
        </w:rPr>
        <w:t xml:space="preserve">, </w:t>
      </w:r>
      <w:r w:rsidRPr="00E72303">
        <w:rPr>
          <w:rFonts w:cs="Times New Roman"/>
          <w:i/>
          <w:iCs/>
          <w:noProof/>
        </w:rPr>
        <w:t>2525</w:t>
      </w:r>
      <w:r w:rsidRPr="00E72303">
        <w:rPr>
          <w:rFonts w:cs="Times New Roman"/>
          <w:noProof/>
        </w:rPr>
        <w:t>, 32–41. https://doi.org/10.3141/2495-04</w:t>
      </w:r>
    </w:p>
    <w:p w14:paraId="579DD162"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Anowar, S., Eluru, N., Miranda-Moreno, L. F., &amp; Miranda-moreno, L. F. (2014). Alternative Modeling Approaches Used for Examining Automobile Ownership: A Comprehensive Review. </w:t>
      </w:r>
      <w:r w:rsidRPr="00E72303">
        <w:rPr>
          <w:rFonts w:cs="Times New Roman"/>
          <w:i/>
          <w:iCs/>
          <w:noProof/>
        </w:rPr>
        <w:t>Transport Reviews</w:t>
      </w:r>
      <w:r w:rsidRPr="00E72303">
        <w:rPr>
          <w:rFonts w:cs="Times New Roman"/>
          <w:noProof/>
        </w:rPr>
        <w:t xml:space="preserve">, </w:t>
      </w:r>
      <w:r w:rsidRPr="00E72303">
        <w:rPr>
          <w:rFonts w:cs="Times New Roman"/>
          <w:i/>
          <w:iCs/>
          <w:noProof/>
        </w:rPr>
        <w:t>34</w:t>
      </w:r>
      <w:r w:rsidRPr="00E72303">
        <w:rPr>
          <w:rFonts w:cs="Times New Roman"/>
          <w:noProof/>
        </w:rPr>
        <w:t>(4), 441–473. https://doi.org/10.1080/01441647.2014.915440</w:t>
      </w:r>
    </w:p>
    <w:p w14:paraId="5C767816"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Arokiaraj, D., &amp; M.Banumathi. (2014). Factors Influencing the Purchase Decision of Passenger Cars in Puduchery. </w:t>
      </w:r>
      <w:r w:rsidRPr="00E72303">
        <w:rPr>
          <w:rFonts w:cs="Times New Roman"/>
          <w:i/>
          <w:iCs/>
          <w:noProof/>
        </w:rPr>
        <w:t>IJEMR</w:t>
      </w:r>
      <w:r w:rsidRPr="00E72303">
        <w:rPr>
          <w:rFonts w:cs="Times New Roman"/>
          <w:noProof/>
        </w:rPr>
        <w:t xml:space="preserve">, </w:t>
      </w:r>
      <w:r w:rsidRPr="00E72303">
        <w:rPr>
          <w:rFonts w:cs="Times New Roman"/>
          <w:i/>
          <w:iCs/>
          <w:noProof/>
        </w:rPr>
        <w:t>4</w:t>
      </w:r>
      <w:r w:rsidRPr="00E72303">
        <w:rPr>
          <w:rFonts w:cs="Times New Roman"/>
          <w:noProof/>
        </w:rPr>
        <w:t>(4), 1–10.</w:t>
      </w:r>
    </w:p>
    <w:p w14:paraId="47E9DBE1"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Ayetor, G. K., Nyarko, F. K., &amp; Andoh, P. Y. (2023). Achieving Cost Parity for Battery Electric Vehicles in Africa: a case study of Ghana. </w:t>
      </w:r>
      <w:r w:rsidRPr="00E72303">
        <w:rPr>
          <w:rFonts w:cs="Times New Roman"/>
          <w:i/>
          <w:iCs/>
          <w:noProof/>
        </w:rPr>
        <w:t>Transportation Letters</w:t>
      </w:r>
      <w:r w:rsidRPr="00E72303">
        <w:rPr>
          <w:rFonts w:cs="Times New Roman"/>
          <w:noProof/>
        </w:rPr>
        <w:t xml:space="preserve">, </w:t>
      </w:r>
      <w:r w:rsidRPr="00E72303">
        <w:rPr>
          <w:rFonts w:cs="Times New Roman"/>
          <w:i/>
          <w:iCs/>
          <w:noProof/>
        </w:rPr>
        <w:t>00</w:t>
      </w:r>
      <w:r w:rsidRPr="00E72303">
        <w:rPr>
          <w:rFonts w:cs="Times New Roman"/>
          <w:noProof/>
        </w:rPr>
        <w:t>(00), 1–13. https://doi.org/10.1080/19427867.2023.2168348</w:t>
      </w:r>
    </w:p>
    <w:p w14:paraId="71A51230"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Baltas, G., &amp; Saridakis, C. (2013). An empirical investigation of the impact of behavioural and psychographic consumer characteristics on car preferences: An integrated model of car type choice. </w:t>
      </w:r>
      <w:r w:rsidRPr="00E72303">
        <w:rPr>
          <w:rFonts w:cs="Times New Roman"/>
          <w:i/>
          <w:iCs/>
          <w:noProof/>
        </w:rPr>
        <w:t>Transportation Research Part A: Policy and Practice</w:t>
      </w:r>
      <w:r w:rsidRPr="00E72303">
        <w:rPr>
          <w:rFonts w:cs="Times New Roman"/>
          <w:noProof/>
        </w:rPr>
        <w:t xml:space="preserve">, </w:t>
      </w:r>
      <w:r w:rsidRPr="00E72303">
        <w:rPr>
          <w:rFonts w:cs="Times New Roman"/>
          <w:i/>
          <w:iCs/>
          <w:noProof/>
        </w:rPr>
        <w:t>54</w:t>
      </w:r>
      <w:r w:rsidRPr="00E72303">
        <w:rPr>
          <w:rFonts w:cs="Times New Roman"/>
          <w:noProof/>
        </w:rPr>
        <w:t>, 92–110. https://doi.org/10.1016/j.tra.2013.07.007</w:t>
      </w:r>
    </w:p>
    <w:p w14:paraId="64B7B844"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Bauer, G. (2018). The impact of battery electric vehicles on vehicle purchase and driving behavior in Norway. </w:t>
      </w:r>
      <w:r w:rsidRPr="00E72303">
        <w:rPr>
          <w:rFonts w:cs="Times New Roman"/>
          <w:i/>
          <w:iCs/>
          <w:noProof/>
        </w:rPr>
        <w:t>Transportation Research Part D: Transport and Environment</w:t>
      </w:r>
      <w:r w:rsidRPr="00E72303">
        <w:rPr>
          <w:rFonts w:cs="Times New Roman"/>
          <w:noProof/>
        </w:rPr>
        <w:t xml:space="preserve">, </w:t>
      </w:r>
      <w:r w:rsidRPr="00E72303">
        <w:rPr>
          <w:rFonts w:cs="Times New Roman"/>
          <w:i/>
          <w:iCs/>
          <w:noProof/>
        </w:rPr>
        <w:t>58</w:t>
      </w:r>
      <w:r w:rsidRPr="00E72303">
        <w:rPr>
          <w:rFonts w:cs="Times New Roman"/>
          <w:noProof/>
        </w:rPr>
        <w:t>(December 2017), 239–258. https://doi.org/10.1016/j.trd.2017.12.011</w:t>
      </w:r>
    </w:p>
    <w:p w14:paraId="7724FA37"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Bhat, C. R., Sen, S., &amp; Eluru, N. (2009). The impact of demographics, built environment attributes, vehicle characteristics, and gasoline prices on household vehicle holdings and use. </w:t>
      </w:r>
      <w:r w:rsidRPr="00E72303">
        <w:rPr>
          <w:rFonts w:cs="Times New Roman"/>
          <w:i/>
          <w:iCs/>
          <w:noProof/>
        </w:rPr>
        <w:t>Transportation Research Part B: Methodological</w:t>
      </w:r>
      <w:r w:rsidRPr="00E72303">
        <w:rPr>
          <w:rFonts w:cs="Times New Roman"/>
          <w:noProof/>
        </w:rPr>
        <w:t xml:space="preserve">, </w:t>
      </w:r>
      <w:r w:rsidRPr="00E72303">
        <w:rPr>
          <w:rFonts w:cs="Times New Roman"/>
          <w:i/>
          <w:iCs/>
          <w:noProof/>
        </w:rPr>
        <w:t>43</w:t>
      </w:r>
      <w:r w:rsidRPr="00E72303">
        <w:rPr>
          <w:rFonts w:cs="Times New Roman"/>
          <w:noProof/>
        </w:rPr>
        <w:t>(1), 1–18. https://doi.org/10.1016/j.trb.2008.06.009</w:t>
      </w:r>
    </w:p>
    <w:p w14:paraId="60A0174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Bhowmik, T., Eluru, N., Hasan, S., Culotta, A., &amp; Chandra, K. (2024). Predicting hurricane evacuation behavior synthesizing data from travel surveys and social media. </w:t>
      </w:r>
      <w:r w:rsidRPr="00E72303">
        <w:rPr>
          <w:rFonts w:cs="Times New Roman"/>
          <w:i/>
          <w:iCs/>
          <w:noProof/>
        </w:rPr>
        <w:t>Transportation Research Part C</w:t>
      </w:r>
      <w:r w:rsidRPr="00E72303">
        <w:rPr>
          <w:rFonts w:cs="Times New Roman"/>
          <w:noProof/>
        </w:rPr>
        <w:t xml:space="preserve">, </w:t>
      </w:r>
      <w:r w:rsidRPr="00E72303">
        <w:rPr>
          <w:rFonts w:cs="Times New Roman"/>
          <w:i/>
          <w:iCs/>
          <w:noProof/>
        </w:rPr>
        <w:t>165</w:t>
      </w:r>
      <w:r w:rsidRPr="00E72303">
        <w:rPr>
          <w:rFonts w:cs="Times New Roman"/>
          <w:noProof/>
        </w:rPr>
        <w:t>(July), 104753. https://doi.org/10.1016/j.trc.2024.104753</w:t>
      </w:r>
    </w:p>
    <w:p w14:paraId="78AAC09B"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Bhowmik, T., Iraganaboina, N. C., &amp; Eluru, N. (2024). A Novel Maximum Likelihood Based Probabilistic Behavioral Data Fusion Algorithm for Modeling Residential Energy Consumption. </w:t>
      </w:r>
      <w:r w:rsidRPr="00E72303">
        <w:rPr>
          <w:rFonts w:cs="Times New Roman"/>
          <w:i/>
          <w:iCs/>
          <w:noProof/>
        </w:rPr>
        <w:t>PLoS ONE</w:t>
      </w:r>
      <w:r w:rsidRPr="00E72303">
        <w:rPr>
          <w:rFonts w:cs="Times New Roman"/>
          <w:noProof/>
        </w:rPr>
        <w:t xml:space="preserve">, </w:t>
      </w:r>
      <w:r w:rsidRPr="00E72303">
        <w:rPr>
          <w:rFonts w:cs="Times New Roman"/>
          <w:i/>
          <w:iCs/>
          <w:noProof/>
        </w:rPr>
        <w:t>Under revi</w:t>
      </w:r>
      <w:r w:rsidRPr="00E72303">
        <w:rPr>
          <w:rFonts w:cs="Times New Roman"/>
          <w:noProof/>
        </w:rPr>
        <w:t>.</w:t>
      </w:r>
    </w:p>
    <w:p w14:paraId="49AC0021"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Bhowmik, T., Yasmin, S., &amp; Eluru, N. (2022). Accommodating for systematic and unobserved heterogeneity in panel data: Application to macro-level crash modeling. </w:t>
      </w:r>
      <w:r w:rsidRPr="00E72303">
        <w:rPr>
          <w:rFonts w:cs="Times New Roman"/>
          <w:i/>
          <w:iCs/>
          <w:noProof/>
        </w:rPr>
        <w:t>Analytic Methods in Accident Research</w:t>
      </w:r>
      <w:r w:rsidRPr="00E72303">
        <w:rPr>
          <w:rFonts w:cs="Times New Roman"/>
          <w:noProof/>
        </w:rPr>
        <w:t xml:space="preserve">, </w:t>
      </w:r>
      <w:r w:rsidRPr="00E72303">
        <w:rPr>
          <w:rFonts w:cs="Times New Roman"/>
          <w:i/>
          <w:iCs/>
          <w:noProof/>
        </w:rPr>
        <w:t>33</w:t>
      </w:r>
      <w:r w:rsidRPr="00E72303">
        <w:rPr>
          <w:rFonts w:cs="Times New Roman"/>
          <w:noProof/>
        </w:rPr>
        <w:t>, 100202. https://doi.org/10.1016/j.amar.2021.100202</w:t>
      </w:r>
    </w:p>
    <w:p w14:paraId="668DDBB6"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Biswas, A., Mukherjee, A., &amp; Roy, M. (2014). Leveraging Factors for Consumers’ Car Purchase Decisions- A Study in an Emerging Economy. </w:t>
      </w:r>
      <w:r w:rsidRPr="00E72303">
        <w:rPr>
          <w:rFonts w:cs="Times New Roman"/>
          <w:i/>
          <w:iCs/>
          <w:noProof/>
        </w:rPr>
        <w:t>Journal of Management Policies and Practices</w:t>
      </w:r>
      <w:r w:rsidRPr="00E72303">
        <w:rPr>
          <w:rFonts w:cs="Times New Roman"/>
          <w:noProof/>
        </w:rPr>
        <w:t xml:space="preserve">, </w:t>
      </w:r>
      <w:r w:rsidRPr="00E72303">
        <w:rPr>
          <w:rFonts w:cs="Times New Roman"/>
          <w:i/>
          <w:iCs/>
          <w:noProof/>
        </w:rPr>
        <w:t>2</w:t>
      </w:r>
      <w:r w:rsidRPr="00E72303">
        <w:rPr>
          <w:rFonts w:cs="Times New Roman"/>
          <w:noProof/>
        </w:rPr>
        <w:t>(2), 99–111. https://doi.org/10.4324/9781315576657-19</w:t>
      </w:r>
    </w:p>
    <w:p w14:paraId="6B32BA45"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Blink. (2023). </w:t>
      </w:r>
      <w:r w:rsidRPr="00E72303">
        <w:rPr>
          <w:rFonts w:cs="Times New Roman"/>
          <w:i/>
          <w:iCs/>
          <w:noProof/>
        </w:rPr>
        <w:t>How EVs Are Reducing Carbon (CO2) Emissions</w:t>
      </w:r>
      <w:r w:rsidRPr="00E72303">
        <w:rPr>
          <w:rFonts w:cs="Times New Roman"/>
          <w:noProof/>
        </w:rPr>
        <w:t>. https://doi.org/https://blinkcharging.com/blog/how-evs-are-reducing-carbon-co2-emissions</w:t>
      </w:r>
    </w:p>
    <w:p w14:paraId="1420CB27"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Bolduc, D., Boucher, N., &amp; Alvarez-Daziano, R. (2008). Hybrid Choice Modeling of New Technologies for Car Choice in Canada. </w:t>
      </w:r>
      <w:r w:rsidRPr="00E72303">
        <w:rPr>
          <w:rFonts w:cs="Times New Roman"/>
          <w:i/>
          <w:iCs/>
          <w:noProof/>
        </w:rPr>
        <w:t>Transportation Research Record: Journal of the Transportation Research</w:t>
      </w:r>
      <w:r w:rsidRPr="00E72303">
        <w:rPr>
          <w:rFonts w:cs="Times New Roman"/>
          <w:noProof/>
        </w:rPr>
        <w:t xml:space="preserve">, </w:t>
      </w:r>
      <w:r w:rsidRPr="00E72303">
        <w:rPr>
          <w:rFonts w:cs="Times New Roman"/>
          <w:i/>
          <w:iCs/>
          <w:noProof/>
        </w:rPr>
        <w:t>2082</w:t>
      </w:r>
      <w:r w:rsidRPr="00E72303">
        <w:rPr>
          <w:rFonts w:cs="Times New Roman"/>
          <w:noProof/>
        </w:rPr>
        <w:t>, 63–71. https://doi.org/10.3141/2082-08</w:t>
      </w:r>
    </w:p>
    <w:p w14:paraId="491E41C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lastRenderedPageBreak/>
        <w:t xml:space="preserve">Boloor, M., Valderrama, P., Statler, A., &amp; Garcia, S. (2019). </w:t>
      </w:r>
      <w:r w:rsidRPr="00E72303">
        <w:rPr>
          <w:rFonts w:cs="Times New Roman"/>
          <w:i/>
          <w:iCs/>
          <w:noProof/>
        </w:rPr>
        <w:t>Electric Vehicle Basics</w:t>
      </w:r>
      <w:r w:rsidRPr="00E72303">
        <w:rPr>
          <w:rFonts w:cs="Times New Roman"/>
          <w:noProof/>
        </w:rPr>
        <w:t>. Natural Resources Defence Council. https://www.nrdc.org/bio/madhur-boloor/electric-vehicle-basics</w:t>
      </w:r>
    </w:p>
    <w:p w14:paraId="28CF3CE0"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Bubeck, S., Tomaschek, J., &amp; Fahl, U. (2016). Perspectives of electric mobility: Total cost of ownership of electric vehicles in Germany. </w:t>
      </w:r>
      <w:r w:rsidRPr="00E72303">
        <w:rPr>
          <w:rFonts w:cs="Times New Roman"/>
          <w:i/>
          <w:iCs/>
          <w:noProof/>
        </w:rPr>
        <w:t>Transport Policy</w:t>
      </w:r>
      <w:r w:rsidRPr="00E72303">
        <w:rPr>
          <w:rFonts w:cs="Times New Roman"/>
          <w:noProof/>
        </w:rPr>
        <w:t xml:space="preserve">, </w:t>
      </w:r>
      <w:r w:rsidRPr="00E72303">
        <w:rPr>
          <w:rFonts w:cs="Times New Roman"/>
          <w:i/>
          <w:iCs/>
          <w:noProof/>
        </w:rPr>
        <w:t>50</w:t>
      </w:r>
      <w:r w:rsidRPr="00E72303">
        <w:rPr>
          <w:rFonts w:cs="Times New Roman"/>
          <w:noProof/>
        </w:rPr>
        <w:t>, 63–77. https://doi.org/10.1016/J.TRANPOL.2016.05.012</w:t>
      </w:r>
    </w:p>
    <w:p w14:paraId="315F2A54"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Caggiani, L., Prencipe, L. P., &amp; Ottomanelli, M. (2021). A static relocation strategy for electric car-sharing systems in a vehicle-to-grid framework. </w:t>
      </w:r>
      <w:r w:rsidRPr="00E72303">
        <w:rPr>
          <w:rFonts w:cs="Times New Roman"/>
          <w:i/>
          <w:iCs/>
          <w:noProof/>
        </w:rPr>
        <w:t>Transportation Letters</w:t>
      </w:r>
      <w:r w:rsidRPr="00E72303">
        <w:rPr>
          <w:rFonts w:cs="Times New Roman"/>
          <w:noProof/>
        </w:rPr>
        <w:t xml:space="preserve">, </w:t>
      </w:r>
      <w:r w:rsidRPr="00E72303">
        <w:rPr>
          <w:rFonts w:cs="Times New Roman"/>
          <w:i/>
          <w:iCs/>
          <w:noProof/>
        </w:rPr>
        <w:t>13</w:t>
      </w:r>
      <w:r w:rsidRPr="00E72303">
        <w:rPr>
          <w:rFonts w:cs="Times New Roman"/>
          <w:noProof/>
        </w:rPr>
        <w:t>(3), 219–228. https://doi.org/10.1080/19427867.2020.1861501</w:t>
      </w:r>
    </w:p>
    <w:p w14:paraId="2AE7A0E6"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Chang, T., &amp; Hsiao, W. (2011). Consumers’ Automotive Purchase Decisions: The Significance of Vehicle-based Infotainment Systems. </w:t>
      </w:r>
      <w:r w:rsidRPr="00E72303">
        <w:rPr>
          <w:rFonts w:cs="Times New Roman"/>
          <w:i/>
          <w:iCs/>
          <w:noProof/>
        </w:rPr>
        <w:t>African Journal of Business Management</w:t>
      </w:r>
      <w:r w:rsidRPr="00E72303">
        <w:rPr>
          <w:rFonts w:cs="Times New Roman"/>
          <w:noProof/>
        </w:rPr>
        <w:t xml:space="preserve">, </w:t>
      </w:r>
      <w:r w:rsidRPr="00E72303">
        <w:rPr>
          <w:rFonts w:cs="Times New Roman"/>
          <w:i/>
          <w:iCs/>
          <w:noProof/>
        </w:rPr>
        <w:t>5</w:t>
      </w:r>
      <w:r w:rsidRPr="00E72303">
        <w:rPr>
          <w:rFonts w:cs="Times New Roman"/>
          <w:noProof/>
        </w:rPr>
        <w:t>(11), 4152–4163. https://doi.org/10.5897/AJBM10.480</w:t>
      </w:r>
    </w:p>
    <w:p w14:paraId="13145CDE"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Chen, T. D., Wang, Y., &amp; Kockelman, K. M. (2015). Where are the electric vehicles? A spatial model for vehicle-choice count data. </w:t>
      </w:r>
      <w:r w:rsidRPr="00E72303">
        <w:rPr>
          <w:rFonts w:cs="Times New Roman"/>
          <w:i/>
          <w:iCs/>
          <w:noProof/>
        </w:rPr>
        <w:t>Journal of Transport Geography</w:t>
      </w:r>
      <w:r w:rsidRPr="00E72303">
        <w:rPr>
          <w:rFonts w:cs="Times New Roman"/>
          <w:noProof/>
        </w:rPr>
        <w:t xml:space="preserve">, </w:t>
      </w:r>
      <w:r w:rsidRPr="00E72303">
        <w:rPr>
          <w:rFonts w:cs="Times New Roman"/>
          <w:i/>
          <w:iCs/>
          <w:noProof/>
        </w:rPr>
        <w:t>43</w:t>
      </w:r>
      <w:r w:rsidRPr="00E72303">
        <w:rPr>
          <w:rFonts w:cs="Times New Roman"/>
          <w:noProof/>
        </w:rPr>
        <w:t>, 181–188. https://doi.org/10.1016/J.JTRANGEO.2015.02.005</w:t>
      </w:r>
    </w:p>
    <w:p w14:paraId="0F3B64C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Cirillo, C., Xu, R., &amp; Bastin, F. (2016). A Dynamic Formulation for Car Ownership Modeling. </w:t>
      </w:r>
      <w:r w:rsidRPr="00E72303">
        <w:rPr>
          <w:rFonts w:cs="Times New Roman"/>
          <w:i/>
          <w:iCs/>
          <w:noProof/>
        </w:rPr>
        <w:t>Transportation Science</w:t>
      </w:r>
      <w:r w:rsidRPr="00E72303">
        <w:rPr>
          <w:rFonts w:cs="Times New Roman"/>
          <w:noProof/>
        </w:rPr>
        <w:t xml:space="preserve">, </w:t>
      </w:r>
      <w:r w:rsidRPr="00E72303">
        <w:rPr>
          <w:rFonts w:cs="Times New Roman"/>
          <w:i/>
          <w:iCs/>
          <w:noProof/>
        </w:rPr>
        <w:t>50</w:t>
      </w:r>
      <w:r w:rsidRPr="00E72303">
        <w:rPr>
          <w:rFonts w:cs="Times New Roman"/>
          <w:noProof/>
        </w:rPr>
        <w:t>(1), 322–335. https://doi.org/10.1287/TRSC.2015.0597</w:t>
      </w:r>
    </w:p>
    <w:p w14:paraId="7496D021"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Daina, N., Sivakumar, A., &amp; Polak, J. W. (2017). Modelling electric vehicles use: a survey on the methods. </w:t>
      </w:r>
      <w:r w:rsidRPr="00E72303">
        <w:rPr>
          <w:rFonts w:cs="Times New Roman"/>
          <w:i/>
          <w:iCs/>
          <w:noProof/>
        </w:rPr>
        <w:t>Renewable and Sustainable Energy Reviews</w:t>
      </w:r>
      <w:r w:rsidRPr="00E72303">
        <w:rPr>
          <w:rFonts w:cs="Times New Roman"/>
          <w:noProof/>
        </w:rPr>
        <w:t xml:space="preserve">, </w:t>
      </w:r>
      <w:r w:rsidRPr="00E72303">
        <w:rPr>
          <w:rFonts w:cs="Times New Roman"/>
          <w:i/>
          <w:iCs/>
          <w:noProof/>
        </w:rPr>
        <w:t>68</w:t>
      </w:r>
      <w:r w:rsidRPr="00E72303">
        <w:rPr>
          <w:rFonts w:cs="Times New Roman"/>
          <w:noProof/>
        </w:rPr>
        <w:t>, 447–460. https://doi.org/10.1016/J.RSER.2016.10.005</w:t>
      </w:r>
    </w:p>
    <w:p w14:paraId="58BB8303"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Dhanabalan, T., Subha, K., Shanthi, R., &amp; Sathish, A. (2018). Factors influencing consumers’ car purchasing decision in indian automobile industry. </w:t>
      </w:r>
      <w:r w:rsidRPr="00E72303">
        <w:rPr>
          <w:rFonts w:cs="Times New Roman"/>
          <w:i/>
          <w:iCs/>
          <w:noProof/>
        </w:rPr>
        <w:t>International Journal of Mechanical Engineering and Technology</w:t>
      </w:r>
      <w:r w:rsidRPr="00E72303">
        <w:rPr>
          <w:rFonts w:cs="Times New Roman"/>
          <w:noProof/>
        </w:rPr>
        <w:t xml:space="preserve">, </w:t>
      </w:r>
      <w:r w:rsidRPr="00E72303">
        <w:rPr>
          <w:rFonts w:cs="Times New Roman"/>
          <w:i/>
          <w:iCs/>
          <w:noProof/>
        </w:rPr>
        <w:t>9</w:t>
      </w:r>
      <w:r w:rsidRPr="00E72303">
        <w:rPr>
          <w:rFonts w:cs="Times New Roman"/>
          <w:noProof/>
        </w:rPr>
        <w:t>(10), 53–63.</w:t>
      </w:r>
    </w:p>
    <w:p w14:paraId="2C9E0234"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Eluru, N., Bhat, C. R., Pendyala, R. M., &amp; Konduri, K. C. (2010). A joint flexible econometric model system of household residential location and vehicle fleet composition/usage choices. </w:t>
      </w:r>
      <w:r w:rsidRPr="00E72303">
        <w:rPr>
          <w:rFonts w:cs="Times New Roman"/>
          <w:i/>
          <w:iCs/>
          <w:noProof/>
        </w:rPr>
        <w:t>Transportation</w:t>
      </w:r>
      <w:r w:rsidRPr="00E72303">
        <w:rPr>
          <w:rFonts w:cs="Times New Roman"/>
          <w:noProof/>
        </w:rPr>
        <w:t xml:space="preserve">, </w:t>
      </w:r>
      <w:r w:rsidRPr="00E72303">
        <w:rPr>
          <w:rFonts w:cs="Times New Roman"/>
          <w:i/>
          <w:iCs/>
          <w:noProof/>
        </w:rPr>
        <w:t>37</w:t>
      </w:r>
      <w:r w:rsidRPr="00E72303">
        <w:rPr>
          <w:rFonts w:cs="Times New Roman"/>
          <w:noProof/>
        </w:rPr>
        <w:t>(4), 603–626. https://doi.org/10.1007/s11116-010-9271-3</w:t>
      </w:r>
    </w:p>
    <w:p w14:paraId="44C73EE3"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Eppstein, M. J., Grover, D. K., Marshall, J. S., &amp; Rizzo, D. M. (2011). An agent-based model to study market penetration of plug-in hybrid electric vehicles. </w:t>
      </w:r>
      <w:r w:rsidRPr="00E72303">
        <w:rPr>
          <w:rFonts w:cs="Times New Roman"/>
          <w:i/>
          <w:iCs/>
          <w:noProof/>
        </w:rPr>
        <w:t>Energy Policy</w:t>
      </w:r>
      <w:r w:rsidRPr="00E72303">
        <w:rPr>
          <w:rFonts w:cs="Times New Roman"/>
          <w:noProof/>
        </w:rPr>
        <w:t xml:space="preserve">, </w:t>
      </w:r>
      <w:r w:rsidRPr="00E72303">
        <w:rPr>
          <w:rFonts w:cs="Times New Roman"/>
          <w:i/>
          <w:iCs/>
          <w:noProof/>
        </w:rPr>
        <w:t>39</w:t>
      </w:r>
      <w:r w:rsidRPr="00E72303">
        <w:rPr>
          <w:rFonts w:cs="Times New Roman"/>
          <w:noProof/>
        </w:rPr>
        <w:t>(6), 3789–3802. https://doi.org/10.1016/j.enpol.2011.04.007</w:t>
      </w:r>
    </w:p>
    <w:p w14:paraId="2AC45492"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Fang, H. A. (2008). A discrete–continuous model of households’ vehicle choice and usage, with an application to the effects of residential density. </w:t>
      </w:r>
      <w:r w:rsidRPr="00E72303">
        <w:rPr>
          <w:rFonts w:cs="Times New Roman"/>
          <w:i/>
          <w:iCs/>
          <w:noProof/>
        </w:rPr>
        <w:t>Transportation Research Part B: Methodological</w:t>
      </w:r>
      <w:r w:rsidRPr="00E72303">
        <w:rPr>
          <w:rFonts w:cs="Times New Roman"/>
          <w:noProof/>
        </w:rPr>
        <w:t xml:space="preserve">, </w:t>
      </w:r>
      <w:r w:rsidRPr="00E72303">
        <w:rPr>
          <w:rFonts w:cs="Times New Roman"/>
          <w:i/>
          <w:iCs/>
          <w:noProof/>
        </w:rPr>
        <w:t>42</w:t>
      </w:r>
      <w:r w:rsidRPr="00E72303">
        <w:rPr>
          <w:rFonts w:cs="Times New Roman"/>
          <w:noProof/>
        </w:rPr>
        <w:t>(9), 736–758. https://doi.org/10.1016/J.TRB.2008.01.004</w:t>
      </w:r>
    </w:p>
    <w:p w14:paraId="48ED312A"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Fevang, E., Figenbaum, E., Fridstrøm, L., Halse, A. H., Hauge, K. E., Johansen, B. G., &amp; Raaum, O. (2021). Who goes electric? The anatomy of electric car ownership in Norway. </w:t>
      </w:r>
      <w:r w:rsidRPr="00E72303">
        <w:rPr>
          <w:rFonts w:cs="Times New Roman"/>
          <w:i/>
          <w:iCs/>
          <w:noProof/>
        </w:rPr>
        <w:t>Transportation Research Part D: Transport and Environment</w:t>
      </w:r>
      <w:r w:rsidRPr="00E72303">
        <w:rPr>
          <w:rFonts w:cs="Times New Roman"/>
          <w:noProof/>
        </w:rPr>
        <w:t xml:space="preserve">, </w:t>
      </w:r>
      <w:r w:rsidRPr="00E72303">
        <w:rPr>
          <w:rFonts w:cs="Times New Roman"/>
          <w:i/>
          <w:iCs/>
          <w:noProof/>
        </w:rPr>
        <w:t>92</w:t>
      </w:r>
      <w:r w:rsidRPr="00E72303">
        <w:rPr>
          <w:rFonts w:cs="Times New Roman"/>
          <w:noProof/>
        </w:rPr>
        <w:t>, 102727. https://doi.org/10.1016/J.TRD.2021.102727</w:t>
      </w:r>
    </w:p>
    <w:p w14:paraId="4E840714"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Gillingham, K., Iskhakov, F., Munk-Nielsen, A., Rust, J., &amp; Schjerning Bertel. (2015). </w:t>
      </w:r>
      <w:r w:rsidRPr="00E72303">
        <w:rPr>
          <w:rFonts w:cs="Times New Roman"/>
          <w:i/>
          <w:iCs/>
          <w:noProof/>
        </w:rPr>
        <w:t>A Dynamic Model of Vehicle Ownership, Type Choice, and Usage</w:t>
      </w:r>
      <w:r w:rsidRPr="00E72303">
        <w:rPr>
          <w:rFonts w:cs="Times New Roman"/>
          <w:noProof/>
        </w:rPr>
        <w:t>.</w:t>
      </w:r>
    </w:p>
    <w:p w14:paraId="3A10568B"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Guo, D., Wang, J., Zhao, J. B., Sun, F., Gao, S., Li, C. D., Li, M. H., &amp; Li, C. C. (2019). A vehicle path planning method based on a dynamic traffic network that considers fuel consumption and emissions. </w:t>
      </w:r>
      <w:r w:rsidRPr="00E72303">
        <w:rPr>
          <w:rFonts w:cs="Times New Roman"/>
          <w:i/>
          <w:iCs/>
          <w:noProof/>
        </w:rPr>
        <w:t>Science of The Total Environment</w:t>
      </w:r>
      <w:r w:rsidRPr="00E72303">
        <w:rPr>
          <w:rFonts w:cs="Times New Roman"/>
          <w:noProof/>
        </w:rPr>
        <w:t xml:space="preserve">, </w:t>
      </w:r>
      <w:r w:rsidRPr="00E72303">
        <w:rPr>
          <w:rFonts w:cs="Times New Roman"/>
          <w:i/>
          <w:iCs/>
          <w:noProof/>
        </w:rPr>
        <w:t>663</w:t>
      </w:r>
      <w:r w:rsidRPr="00E72303">
        <w:rPr>
          <w:rFonts w:cs="Times New Roman"/>
          <w:noProof/>
        </w:rPr>
        <w:t>, 935–943. https://doi.org/10.1016/J.SCITOTENV.2019.01.222</w:t>
      </w:r>
    </w:p>
    <w:p w14:paraId="1FD4E8E4"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Hackbarth, A., &amp; Madlener, R. (2016). Willingness-to-pay for alternative fuel vehicle characteristics: A stated choice study for Germany. </w:t>
      </w:r>
      <w:r w:rsidRPr="00E72303">
        <w:rPr>
          <w:rFonts w:cs="Times New Roman"/>
          <w:i/>
          <w:iCs/>
          <w:noProof/>
        </w:rPr>
        <w:t>Transportation Research Part A: Policy and Practice</w:t>
      </w:r>
      <w:r w:rsidRPr="00E72303">
        <w:rPr>
          <w:rFonts w:cs="Times New Roman"/>
          <w:noProof/>
        </w:rPr>
        <w:t xml:space="preserve">, </w:t>
      </w:r>
      <w:r w:rsidRPr="00E72303">
        <w:rPr>
          <w:rFonts w:cs="Times New Roman"/>
          <w:i/>
          <w:iCs/>
          <w:noProof/>
        </w:rPr>
        <w:t>85</w:t>
      </w:r>
      <w:r w:rsidRPr="00E72303">
        <w:rPr>
          <w:rFonts w:cs="Times New Roman"/>
          <w:noProof/>
        </w:rPr>
        <w:t>, 89–111. https://doi.org/10.1016/J.TRA.2015.12.005</w:t>
      </w:r>
    </w:p>
    <w:p w14:paraId="45F736D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Hara, K., &amp; Asahi, Y. (2020). Feature analysis of customers purchasing cars in Japan. </w:t>
      </w:r>
      <w:r w:rsidRPr="00E72303">
        <w:rPr>
          <w:rFonts w:cs="Times New Roman"/>
          <w:i/>
          <w:iCs/>
          <w:noProof/>
        </w:rPr>
        <w:t xml:space="preserve">Lecture </w:t>
      </w:r>
      <w:r w:rsidRPr="00E72303">
        <w:rPr>
          <w:rFonts w:cs="Times New Roman"/>
          <w:i/>
          <w:iCs/>
          <w:noProof/>
        </w:rPr>
        <w:lastRenderedPageBreak/>
        <w:t>Notes in Computer Science (Including Subseries Lecture Notes in Artificial Intelligence and Lecture Notes in Bioinformatics)</w:t>
      </w:r>
      <w:r w:rsidRPr="00E72303">
        <w:rPr>
          <w:rFonts w:cs="Times New Roman"/>
          <w:noProof/>
        </w:rPr>
        <w:t xml:space="preserve">, </w:t>
      </w:r>
      <w:r w:rsidRPr="00E72303">
        <w:rPr>
          <w:rFonts w:cs="Times New Roman"/>
          <w:i/>
          <w:iCs/>
          <w:noProof/>
        </w:rPr>
        <w:t>12184 LNCS</w:t>
      </w:r>
      <w:r w:rsidRPr="00E72303">
        <w:rPr>
          <w:rFonts w:cs="Times New Roman"/>
          <w:noProof/>
        </w:rPr>
        <w:t>, 201–211. https://doi.org/10.1007/978-3-030-50020-7_13/FIGURES/8</w:t>
      </w:r>
    </w:p>
    <w:p w14:paraId="3800936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Harahap, F., Harahap, A. Y. N., Ekadiansyah, E., Sari, R. N., Adawiyah, R., &amp; Harahap, C. B. (2019). Implementation of Naïve Bayes Classification Method for Predicting Purchase. </w:t>
      </w:r>
      <w:r w:rsidRPr="00E72303">
        <w:rPr>
          <w:rFonts w:cs="Times New Roman"/>
          <w:i/>
          <w:iCs/>
          <w:noProof/>
        </w:rPr>
        <w:t>2018 6th International Conference on Cyber and IT Service Management, CITSM 2018</w:t>
      </w:r>
      <w:r w:rsidRPr="00E72303">
        <w:rPr>
          <w:rFonts w:cs="Times New Roman"/>
          <w:noProof/>
        </w:rPr>
        <w:t xml:space="preserve">, </w:t>
      </w:r>
      <w:r w:rsidRPr="00E72303">
        <w:rPr>
          <w:rFonts w:cs="Times New Roman"/>
          <w:i/>
          <w:iCs/>
          <w:noProof/>
        </w:rPr>
        <w:t>Citsm</w:t>
      </w:r>
      <w:r w:rsidRPr="00E72303">
        <w:rPr>
          <w:rFonts w:cs="Times New Roman"/>
          <w:noProof/>
        </w:rPr>
        <w:t>, 1–5. https://doi.org/10.1109/CITSM.2018.8674324</w:t>
      </w:r>
    </w:p>
    <w:p w14:paraId="09249FF5"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Hoen, A., &amp; Koetse, M. J. (2014). A choice experiment on alternative fuel vehicle preferences of private car owners in the Netherlands. </w:t>
      </w:r>
      <w:r w:rsidRPr="00E72303">
        <w:rPr>
          <w:rFonts w:cs="Times New Roman"/>
          <w:i/>
          <w:iCs/>
          <w:noProof/>
        </w:rPr>
        <w:t>Transportation Research Part A: Policy and Practice</w:t>
      </w:r>
      <w:r w:rsidRPr="00E72303">
        <w:rPr>
          <w:rFonts w:cs="Times New Roman"/>
          <w:noProof/>
        </w:rPr>
        <w:t xml:space="preserve">, </w:t>
      </w:r>
      <w:r w:rsidRPr="00E72303">
        <w:rPr>
          <w:rFonts w:cs="Times New Roman"/>
          <w:i/>
          <w:iCs/>
          <w:noProof/>
        </w:rPr>
        <w:t>61</w:t>
      </w:r>
      <w:r w:rsidRPr="00E72303">
        <w:rPr>
          <w:rFonts w:cs="Times New Roman"/>
          <w:noProof/>
        </w:rPr>
        <w:t>, 199–215. https://doi.org/10.1016/J.TRA.2014.01.008</w:t>
      </w:r>
    </w:p>
    <w:p w14:paraId="5D1927EF"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Holland, S. P., Mansur, E. T., Muller, N. Z., &amp; Yates, A. J. (2016). Are There Environmental Benefits from Driving Electric Vehicles? The Importance of Local Factors †. </w:t>
      </w:r>
      <w:r w:rsidRPr="00E72303">
        <w:rPr>
          <w:rFonts w:cs="Times New Roman"/>
          <w:i/>
          <w:iCs/>
          <w:noProof/>
        </w:rPr>
        <w:t>American Economic Review</w:t>
      </w:r>
      <w:r w:rsidRPr="00E72303">
        <w:rPr>
          <w:rFonts w:cs="Times New Roman"/>
          <w:noProof/>
        </w:rPr>
        <w:t xml:space="preserve">, </w:t>
      </w:r>
      <w:r w:rsidRPr="00E72303">
        <w:rPr>
          <w:rFonts w:cs="Times New Roman"/>
          <w:i/>
          <w:iCs/>
          <w:noProof/>
        </w:rPr>
        <w:t>106</w:t>
      </w:r>
      <w:r w:rsidRPr="00E72303">
        <w:rPr>
          <w:rFonts w:cs="Times New Roman"/>
          <w:noProof/>
        </w:rPr>
        <w:t>(12), 3700–3729. https://doi.org/10.1257/aer.20150897</w:t>
      </w:r>
    </w:p>
    <w:p w14:paraId="291DE2E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Holland, S. P., Mansur, E. T., Muller, N. Z., &amp; Yates, A. J. (2019). Distributional effects of air pollution from electric vehicle adoption. </w:t>
      </w:r>
      <w:r w:rsidRPr="00E72303">
        <w:rPr>
          <w:rFonts w:cs="Times New Roman"/>
          <w:i/>
          <w:iCs/>
          <w:noProof/>
        </w:rPr>
        <w:t>Journal of the Association of Environmental and Resource Economists</w:t>
      </w:r>
      <w:r w:rsidRPr="00E72303">
        <w:rPr>
          <w:rFonts w:cs="Times New Roman"/>
          <w:noProof/>
        </w:rPr>
        <w:t xml:space="preserve">, </w:t>
      </w:r>
      <w:r w:rsidRPr="00E72303">
        <w:rPr>
          <w:rFonts w:cs="Times New Roman"/>
          <w:i/>
          <w:iCs/>
          <w:noProof/>
        </w:rPr>
        <w:t>6</w:t>
      </w:r>
      <w:r w:rsidRPr="00E72303">
        <w:rPr>
          <w:rFonts w:cs="Times New Roman"/>
          <w:noProof/>
        </w:rPr>
        <w:t>(S1), S65–S94. https://doi.org/10.1086/701188/SUPPL_FILE/2016184APPENDIX.PDF</w:t>
      </w:r>
    </w:p>
    <w:p w14:paraId="7A977589"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Imani, A. F., Ghafghazi, G., Eluru, N., &amp; Pinjari, A. R. (2014). A multiple-discrete approach for examining vehicle type use for daily activity participation decisions. </w:t>
      </w:r>
      <w:r w:rsidRPr="00E72303">
        <w:rPr>
          <w:rFonts w:cs="Times New Roman"/>
          <w:i/>
          <w:iCs/>
          <w:noProof/>
        </w:rPr>
        <w:t>Transportation Letters</w:t>
      </w:r>
      <w:r w:rsidRPr="00E72303">
        <w:rPr>
          <w:rFonts w:cs="Times New Roman"/>
          <w:noProof/>
        </w:rPr>
        <w:t xml:space="preserve">, </w:t>
      </w:r>
      <w:r w:rsidRPr="00E72303">
        <w:rPr>
          <w:rFonts w:cs="Times New Roman"/>
          <w:i/>
          <w:iCs/>
          <w:noProof/>
        </w:rPr>
        <w:t>6</w:t>
      </w:r>
      <w:r w:rsidRPr="00E72303">
        <w:rPr>
          <w:rFonts w:cs="Times New Roman"/>
          <w:noProof/>
        </w:rPr>
        <w:t>(1), 1–13. https://doi.org/10.1179/1942787513Y.0000000001</w:t>
      </w:r>
    </w:p>
    <w:p w14:paraId="1F850800"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Jabbari, P., Chernicoff, W., &amp; Mackenzie, D. (2017). Analysis of electric vehicle purchaser satisfaction and rejection reasons. </w:t>
      </w:r>
      <w:r w:rsidRPr="00E72303">
        <w:rPr>
          <w:rFonts w:cs="Times New Roman"/>
          <w:i/>
          <w:iCs/>
          <w:noProof/>
        </w:rPr>
        <w:t>Transportation Research Record</w:t>
      </w:r>
      <w:r w:rsidRPr="00E72303">
        <w:rPr>
          <w:rFonts w:cs="Times New Roman"/>
          <w:noProof/>
        </w:rPr>
        <w:t xml:space="preserve">, </w:t>
      </w:r>
      <w:r w:rsidRPr="00E72303">
        <w:rPr>
          <w:rFonts w:cs="Times New Roman"/>
          <w:i/>
          <w:iCs/>
          <w:noProof/>
        </w:rPr>
        <w:t>2628</w:t>
      </w:r>
      <w:r w:rsidRPr="00E72303">
        <w:rPr>
          <w:rFonts w:cs="Times New Roman"/>
          <w:noProof/>
        </w:rPr>
        <w:t>(1), 110–119. https://doi.org/10.3141/2628-12</w:t>
      </w:r>
    </w:p>
    <w:p w14:paraId="4D90ABF6"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Jian, S., Rashidi, T. H., &amp; Dixit, V. (2017). An analysis of carsharing vehicle choice and utilization patterns using multiple discrete-continuous extreme value (MDCEV) models. </w:t>
      </w:r>
      <w:r w:rsidRPr="00E72303">
        <w:rPr>
          <w:rFonts w:cs="Times New Roman"/>
          <w:i/>
          <w:iCs/>
          <w:noProof/>
        </w:rPr>
        <w:t>Transportation Research Part A: Policy and Practice</w:t>
      </w:r>
      <w:r w:rsidRPr="00E72303">
        <w:rPr>
          <w:rFonts w:cs="Times New Roman"/>
          <w:noProof/>
        </w:rPr>
        <w:t xml:space="preserve">, </w:t>
      </w:r>
      <w:r w:rsidRPr="00E72303">
        <w:rPr>
          <w:rFonts w:cs="Times New Roman"/>
          <w:i/>
          <w:iCs/>
          <w:noProof/>
        </w:rPr>
        <w:t>103</w:t>
      </w:r>
      <w:r w:rsidRPr="00E72303">
        <w:rPr>
          <w:rFonts w:cs="Times New Roman"/>
          <w:noProof/>
        </w:rPr>
        <w:t>, 362–376. https://doi.org/10.1016/J.TRA.2017.06.012</w:t>
      </w:r>
    </w:p>
    <w:p w14:paraId="4221CC8A"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Joshi, D., &amp; Bhatt, V. (2018). A Study on Factors Influencing Consumer’S Preference While Making Purchase Decision of First Own Car in Ahmedabad City. </w:t>
      </w:r>
      <w:r w:rsidRPr="00E72303">
        <w:rPr>
          <w:rFonts w:cs="Times New Roman"/>
          <w:i/>
          <w:iCs/>
          <w:noProof/>
        </w:rPr>
        <w:t>Roots International Journal of Multidisciplinary Researches</w:t>
      </w:r>
      <w:r w:rsidRPr="00E72303">
        <w:rPr>
          <w:rFonts w:cs="Times New Roman"/>
          <w:noProof/>
        </w:rPr>
        <w:t xml:space="preserve">, </w:t>
      </w:r>
      <w:r w:rsidRPr="00E72303">
        <w:rPr>
          <w:rFonts w:cs="Times New Roman"/>
          <w:i/>
          <w:iCs/>
          <w:noProof/>
        </w:rPr>
        <w:t>2</w:t>
      </w:r>
      <w:r w:rsidRPr="00E72303">
        <w:rPr>
          <w:rFonts w:cs="Times New Roman"/>
          <w:noProof/>
        </w:rPr>
        <w:t>(2), 67–76.</w:t>
      </w:r>
    </w:p>
    <w:p w14:paraId="25B0B19C"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Kabli, A., Bhowmik, T., &amp; Eluru, N. (2020). A multivariate approach for modeling driver injury severity by body region. </w:t>
      </w:r>
      <w:r w:rsidRPr="00E72303">
        <w:rPr>
          <w:rFonts w:cs="Times New Roman"/>
          <w:i/>
          <w:iCs/>
          <w:noProof/>
        </w:rPr>
        <w:t>Analytic Methods in Accident Research</w:t>
      </w:r>
      <w:r w:rsidRPr="00E72303">
        <w:rPr>
          <w:rFonts w:cs="Times New Roman"/>
          <w:noProof/>
        </w:rPr>
        <w:t xml:space="preserve">, </w:t>
      </w:r>
      <w:r w:rsidRPr="00E72303">
        <w:rPr>
          <w:rFonts w:cs="Times New Roman"/>
          <w:i/>
          <w:iCs/>
          <w:noProof/>
        </w:rPr>
        <w:t>28</w:t>
      </w:r>
      <w:r w:rsidRPr="00E72303">
        <w:rPr>
          <w:rFonts w:cs="Times New Roman"/>
          <w:noProof/>
        </w:rPr>
        <w:t>, 100129. https://doi.org/10.1016/J.AMAR.2020.100129</w:t>
      </w:r>
    </w:p>
    <w:p w14:paraId="069A8198"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Kanyepe, J., Tukuta, M., &amp; Chirisa, I. (2021). Urban Land-use and Traffic Congestion: Mapping the Interaction. </w:t>
      </w:r>
      <w:r w:rsidRPr="00E72303">
        <w:rPr>
          <w:rFonts w:cs="Times New Roman"/>
          <w:i/>
          <w:iCs/>
          <w:noProof/>
        </w:rPr>
        <w:t>Journal of Contemporary Urban Affairs</w:t>
      </w:r>
      <w:r w:rsidRPr="00E72303">
        <w:rPr>
          <w:rFonts w:cs="Times New Roman"/>
          <w:noProof/>
        </w:rPr>
        <w:t xml:space="preserve">, </w:t>
      </w:r>
      <w:r w:rsidRPr="00E72303">
        <w:rPr>
          <w:rFonts w:cs="Times New Roman"/>
          <w:i/>
          <w:iCs/>
          <w:noProof/>
        </w:rPr>
        <w:t>5</w:t>
      </w:r>
      <w:r w:rsidRPr="00E72303">
        <w:rPr>
          <w:rFonts w:cs="Times New Roman"/>
          <w:noProof/>
        </w:rPr>
        <w:t>(1), 77–84. https://doi.org/10.25034/ijcua.2021.v5n1-6</w:t>
      </w:r>
    </w:p>
    <w:p w14:paraId="706A687A"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Khan, N. A., &amp; Habib, M. A. (2021). Development of households’ vehicle choice models for travel accompanying arrangements. </w:t>
      </w:r>
      <w:r w:rsidRPr="00E72303">
        <w:rPr>
          <w:rFonts w:cs="Times New Roman"/>
          <w:i/>
          <w:iCs/>
          <w:noProof/>
        </w:rPr>
        <w:t>Transportation Engineering</w:t>
      </w:r>
      <w:r w:rsidRPr="00E72303">
        <w:rPr>
          <w:rFonts w:cs="Times New Roman"/>
          <w:noProof/>
        </w:rPr>
        <w:t xml:space="preserve">, </w:t>
      </w:r>
      <w:r w:rsidRPr="00E72303">
        <w:rPr>
          <w:rFonts w:cs="Times New Roman"/>
          <w:i/>
          <w:iCs/>
          <w:noProof/>
        </w:rPr>
        <w:t>4</w:t>
      </w:r>
      <w:r w:rsidRPr="00E72303">
        <w:rPr>
          <w:rFonts w:cs="Times New Roman"/>
          <w:noProof/>
        </w:rPr>
        <w:t>(November 2020), 100071. https://doi.org/10.1016/j.treng.2021.100071</w:t>
      </w:r>
    </w:p>
    <w:p w14:paraId="3D36FC5E"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Kim, J., &amp; Kim, M. S. (2014). Analysis of automobile repeat-purchase behaviour on CRM. </w:t>
      </w:r>
      <w:r w:rsidRPr="00E72303">
        <w:rPr>
          <w:rFonts w:cs="Times New Roman"/>
          <w:i/>
          <w:iCs/>
          <w:noProof/>
        </w:rPr>
        <w:t>Industrial Management and Data Systems</w:t>
      </w:r>
      <w:r w:rsidRPr="00E72303">
        <w:rPr>
          <w:rFonts w:cs="Times New Roman"/>
          <w:noProof/>
        </w:rPr>
        <w:t xml:space="preserve">, </w:t>
      </w:r>
      <w:r w:rsidRPr="00E72303">
        <w:rPr>
          <w:rFonts w:cs="Times New Roman"/>
          <w:i/>
          <w:iCs/>
          <w:noProof/>
        </w:rPr>
        <w:t>114</w:t>
      </w:r>
      <w:r w:rsidRPr="00E72303">
        <w:rPr>
          <w:rFonts w:cs="Times New Roman"/>
          <w:noProof/>
        </w:rPr>
        <w:t>(7), 994–1006. https://doi.org/10.1108/IMDS-01-2014-0031</w:t>
      </w:r>
    </w:p>
    <w:p w14:paraId="017C794B"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Kiran, P., &amp; Shanmugam, V. (2017). A Logistic regression model to identify the key attributes considered by consumers for purchasing a car. </w:t>
      </w:r>
      <w:r w:rsidRPr="00E72303">
        <w:rPr>
          <w:rFonts w:cs="Times New Roman"/>
          <w:i/>
          <w:iCs/>
          <w:noProof/>
        </w:rPr>
        <w:t>International Journal of Economic Research</w:t>
      </w:r>
      <w:r w:rsidRPr="00E72303">
        <w:rPr>
          <w:rFonts w:cs="Times New Roman"/>
          <w:noProof/>
        </w:rPr>
        <w:t>.</w:t>
      </w:r>
    </w:p>
    <w:p w14:paraId="1F45EF3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Knez, M., Jereb, B., &amp; Obrecht, M. (2014). Factors influencing the purchasing decisions of low emission cars: A study of Slovenia. </w:t>
      </w:r>
      <w:r w:rsidRPr="00E72303">
        <w:rPr>
          <w:rFonts w:cs="Times New Roman"/>
          <w:i/>
          <w:iCs/>
          <w:noProof/>
        </w:rPr>
        <w:t xml:space="preserve">Transportation Research Part D: Transport and </w:t>
      </w:r>
      <w:r w:rsidRPr="00E72303">
        <w:rPr>
          <w:rFonts w:cs="Times New Roman"/>
          <w:i/>
          <w:iCs/>
          <w:noProof/>
        </w:rPr>
        <w:lastRenderedPageBreak/>
        <w:t>Environment</w:t>
      </w:r>
      <w:r w:rsidRPr="00E72303">
        <w:rPr>
          <w:rFonts w:cs="Times New Roman"/>
          <w:noProof/>
        </w:rPr>
        <w:t xml:space="preserve">, </w:t>
      </w:r>
      <w:r w:rsidRPr="00E72303">
        <w:rPr>
          <w:rFonts w:cs="Times New Roman"/>
          <w:i/>
          <w:iCs/>
          <w:noProof/>
        </w:rPr>
        <w:t>30</w:t>
      </w:r>
      <w:r w:rsidRPr="00E72303">
        <w:rPr>
          <w:rFonts w:cs="Times New Roman"/>
          <w:noProof/>
        </w:rPr>
        <w:t>(2014), 53–61. https://doi.org/10.1016/j.trd.2014.05.007</w:t>
      </w:r>
    </w:p>
    <w:p w14:paraId="58F7CB74"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Kumar, P., &amp; Chakrabarty, S. (2020). </w:t>
      </w:r>
      <w:r w:rsidRPr="00E72303">
        <w:rPr>
          <w:rFonts w:cs="Times New Roman"/>
          <w:i/>
          <w:iCs/>
          <w:noProof/>
        </w:rPr>
        <w:t>Total Cost of Ownership Analysis of the Impact of Vehicle Usage on the Economic Viability of Electric Vehicles in India</w:t>
      </w:r>
      <w:r w:rsidRPr="00E72303">
        <w:rPr>
          <w:rFonts w:cs="Times New Roman"/>
          <w:noProof/>
        </w:rPr>
        <w:t xml:space="preserve">. </w:t>
      </w:r>
      <w:r w:rsidRPr="00E72303">
        <w:rPr>
          <w:rFonts w:cs="Times New Roman"/>
          <w:i/>
          <w:iCs/>
          <w:noProof/>
        </w:rPr>
        <w:t>2674</w:t>
      </w:r>
      <w:r w:rsidRPr="00E72303">
        <w:rPr>
          <w:rFonts w:cs="Times New Roman"/>
          <w:noProof/>
        </w:rPr>
        <w:t>(11), 563–572. https://doi.org/10.1177/0361198120947089</w:t>
      </w:r>
    </w:p>
    <w:p w14:paraId="354513BF"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Leard, B. (2022). Estimating consumer substitution between new and used passenger vehicles. </w:t>
      </w:r>
      <w:r w:rsidRPr="00E72303">
        <w:rPr>
          <w:rFonts w:cs="Times New Roman"/>
          <w:i/>
          <w:iCs/>
          <w:noProof/>
        </w:rPr>
        <w:t>Journal of the Association of Environmental and Resource Economists</w:t>
      </w:r>
      <w:r w:rsidRPr="00E72303">
        <w:rPr>
          <w:rFonts w:cs="Times New Roman"/>
          <w:noProof/>
        </w:rPr>
        <w:t xml:space="preserve">, </w:t>
      </w:r>
      <w:r w:rsidRPr="00E72303">
        <w:rPr>
          <w:rFonts w:cs="Times New Roman"/>
          <w:i/>
          <w:iCs/>
          <w:noProof/>
        </w:rPr>
        <w:t>9</w:t>
      </w:r>
      <w:r w:rsidRPr="00E72303">
        <w:rPr>
          <w:rFonts w:cs="Times New Roman"/>
          <w:noProof/>
        </w:rPr>
        <w:t>(1), 27–49. https://doi.org/10.1086/715814</w:t>
      </w:r>
    </w:p>
    <w:p w14:paraId="36134614"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Leard, B., Linn, J., &amp; Springel, K. (2020). </w:t>
      </w:r>
      <w:r w:rsidRPr="00E72303">
        <w:rPr>
          <w:rFonts w:cs="Times New Roman"/>
          <w:i/>
          <w:iCs/>
          <w:noProof/>
        </w:rPr>
        <w:t>Have US Fuel Economy and Greenhouse Gas Emissions Standards Improved Social Welfare?</w:t>
      </w:r>
    </w:p>
    <w:p w14:paraId="1C742FE1"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Lee, R., &amp; Brown, S. (2021). Evaluating the role of behavior and social class in electric vehicle adoption and charging demands. </w:t>
      </w:r>
      <w:r w:rsidRPr="00E72303">
        <w:rPr>
          <w:rFonts w:cs="Times New Roman"/>
          <w:i/>
          <w:iCs/>
          <w:noProof/>
        </w:rPr>
        <w:t>ISCIENCE</w:t>
      </w:r>
      <w:r w:rsidRPr="00E72303">
        <w:rPr>
          <w:rFonts w:cs="Times New Roman"/>
          <w:noProof/>
        </w:rPr>
        <w:t xml:space="preserve">, </w:t>
      </w:r>
      <w:r w:rsidRPr="00E72303">
        <w:rPr>
          <w:rFonts w:cs="Times New Roman"/>
          <w:i/>
          <w:iCs/>
          <w:noProof/>
        </w:rPr>
        <w:t>24</w:t>
      </w:r>
      <w:r w:rsidRPr="00E72303">
        <w:rPr>
          <w:rFonts w:cs="Times New Roman"/>
          <w:noProof/>
        </w:rPr>
        <w:t>, 102914. https://doi.org/10.1016/j.isci.2021.102914</w:t>
      </w:r>
    </w:p>
    <w:p w14:paraId="305D9093"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Liao, F., Molin, E., Timmermans, H., &amp; van Wee, B. (2019). Consumer preferences for business models in electric vehicle adoption. </w:t>
      </w:r>
      <w:r w:rsidRPr="00E72303">
        <w:rPr>
          <w:rFonts w:cs="Times New Roman"/>
          <w:i/>
          <w:iCs/>
          <w:noProof/>
        </w:rPr>
        <w:t>Transport Policy</w:t>
      </w:r>
      <w:r w:rsidRPr="00E72303">
        <w:rPr>
          <w:rFonts w:cs="Times New Roman"/>
          <w:noProof/>
        </w:rPr>
        <w:t xml:space="preserve">, </w:t>
      </w:r>
      <w:r w:rsidRPr="00E72303">
        <w:rPr>
          <w:rFonts w:cs="Times New Roman"/>
          <w:i/>
          <w:iCs/>
          <w:noProof/>
        </w:rPr>
        <w:t>73</w:t>
      </w:r>
      <w:r w:rsidRPr="00E72303">
        <w:rPr>
          <w:rFonts w:cs="Times New Roman"/>
          <w:noProof/>
        </w:rPr>
        <w:t>(October 2018), 12–24. https://doi.org/10.1016/j.tranpol.2018.10.006</w:t>
      </w:r>
    </w:p>
    <w:p w14:paraId="108015F8"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Liu, J., Wang, X., &amp; Khattak, A. (2016). Customizing driving cycles to support vehicle purchase and use decisions: Fuel economy estimation for alternative fuel vehicle users. </w:t>
      </w:r>
      <w:r w:rsidRPr="00E72303">
        <w:rPr>
          <w:rFonts w:cs="Times New Roman"/>
          <w:i/>
          <w:iCs/>
          <w:noProof/>
        </w:rPr>
        <w:t>Transportation Research Part C: Emerging Technologies</w:t>
      </w:r>
      <w:r w:rsidRPr="00E72303">
        <w:rPr>
          <w:rFonts w:cs="Times New Roman"/>
          <w:noProof/>
        </w:rPr>
        <w:t xml:space="preserve">, </w:t>
      </w:r>
      <w:r w:rsidRPr="00E72303">
        <w:rPr>
          <w:rFonts w:cs="Times New Roman"/>
          <w:i/>
          <w:iCs/>
          <w:noProof/>
        </w:rPr>
        <w:t>67</w:t>
      </w:r>
      <w:r w:rsidRPr="00E72303">
        <w:rPr>
          <w:rFonts w:cs="Times New Roman"/>
          <w:noProof/>
        </w:rPr>
        <w:t>, 280–298. https://doi.org/10.1016/j.trc.2016.02.016</w:t>
      </w:r>
    </w:p>
    <w:p w14:paraId="1CD79846"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Lowe, M., Adlakha, D., Sallis, J. F., Salvo, D., Cerin, E., Moudon, A. V., Higgs, C., Hinckson, E., Arundel, J., Boeing, G., Liu, S., Mansour, P., Gebel, K., Puig-Ribera, A., Mishra, P. B., Bozovic, T., Carson, J., Dygrýn, J., Florindo, A. A., … Giles-Corti, B. (2022). City planning policies to support health and sustainability: an international comparison of policy indicators for 25 cities. </w:t>
      </w:r>
      <w:r w:rsidRPr="00E72303">
        <w:rPr>
          <w:rFonts w:cs="Times New Roman"/>
          <w:i/>
          <w:iCs/>
          <w:noProof/>
        </w:rPr>
        <w:t>The Lancet Global Health</w:t>
      </w:r>
      <w:r w:rsidRPr="00E72303">
        <w:rPr>
          <w:rFonts w:cs="Times New Roman"/>
          <w:noProof/>
        </w:rPr>
        <w:t xml:space="preserve">, </w:t>
      </w:r>
      <w:r w:rsidRPr="00E72303">
        <w:rPr>
          <w:rFonts w:cs="Times New Roman"/>
          <w:i/>
          <w:iCs/>
          <w:noProof/>
        </w:rPr>
        <w:t>10</w:t>
      </w:r>
      <w:r w:rsidRPr="00E72303">
        <w:rPr>
          <w:rFonts w:cs="Times New Roman"/>
          <w:noProof/>
        </w:rPr>
        <w:t>(6), e882–e894. https://doi.org/10.1016/S2214-109X(22)00069-9</w:t>
      </w:r>
    </w:p>
    <w:p w14:paraId="15F96C5B"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Ma, J., &amp; Mayburov, I. (2021). Using DID Model to Analyse the Impact of Vehicle Purchase Tax on the Sales of Alternative Fuel Vehicle. </w:t>
      </w:r>
      <w:r w:rsidRPr="00E72303">
        <w:rPr>
          <w:rFonts w:cs="Times New Roman"/>
          <w:i/>
          <w:iCs/>
          <w:noProof/>
        </w:rPr>
        <w:t>IOP Conference Series: Earth and Environmental Science</w:t>
      </w:r>
      <w:r w:rsidRPr="00E72303">
        <w:rPr>
          <w:rFonts w:cs="Times New Roman"/>
          <w:noProof/>
        </w:rPr>
        <w:t xml:space="preserve">, </w:t>
      </w:r>
      <w:r w:rsidRPr="00E72303">
        <w:rPr>
          <w:rFonts w:cs="Times New Roman"/>
          <w:i/>
          <w:iCs/>
          <w:noProof/>
        </w:rPr>
        <w:t>849</w:t>
      </w:r>
      <w:r w:rsidRPr="00E72303">
        <w:rPr>
          <w:rFonts w:cs="Times New Roman"/>
          <w:noProof/>
        </w:rPr>
        <w:t>(1). https://doi.org/10.1088/1755-1315/849/1/012006</w:t>
      </w:r>
    </w:p>
    <w:p w14:paraId="1CBE9802"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Mabit, S. L. (2014). Vehicle type choice under the influence of a tax reform and rising fuel prices. </w:t>
      </w:r>
      <w:r w:rsidRPr="00E72303">
        <w:rPr>
          <w:rFonts w:cs="Times New Roman"/>
          <w:i/>
          <w:iCs/>
          <w:noProof/>
        </w:rPr>
        <w:t>Transportation Research Part A: Policy and Practice</w:t>
      </w:r>
      <w:r w:rsidRPr="00E72303">
        <w:rPr>
          <w:rFonts w:cs="Times New Roman"/>
          <w:noProof/>
        </w:rPr>
        <w:t xml:space="preserve">, </w:t>
      </w:r>
      <w:r w:rsidRPr="00E72303">
        <w:rPr>
          <w:rFonts w:cs="Times New Roman"/>
          <w:i/>
          <w:iCs/>
          <w:noProof/>
        </w:rPr>
        <w:t>64</w:t>
      </w:r>
      <w:r w:rsidRPr="00E72303">
        <w:rPr>
          <w:rFonts w:cs="Times New Roman"/>
          <w:noProof/>
        </w:rPr>
        <w:t>, 32–42. https://doi.org/10.1016/j.tra.2014.03.004</w:t>
      </w:r>
    </w:p>
    <w:p w14:paraId="56DA3A00"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MaritzCX. (2019). </w:t>
      </w:r>
      <w:r w:rsidRPr="00E72303">
        <w:rPr>
          <w:rFonts w:cs="Times New Roman"/>
          <w:i/>
          <w:iCs/>
          <w:noProof/>
        </w:rPr>
        <w:t>Vehicle Manufacturers’ Secret Sauce, The MaritzCX New Vehicle Customer Survey, Marks 50-Year Anniversary</w:t>
      </w:r>
      <w:r w:rsidRPr="00E72303">
        <w:rPr>
          <w:rFonts w:cs="Times New Roman"/>
          <w:noProof/>
        </w:rPr>
        <w:t>. InMoment. https://inmoment.com/news/vehicle-manufacturers-secret-sauce-the-maritzcx-new-vehicle-customer-survey-marks-50-year-anniversary/</w:t>
      </w:r>
    </w:p>
    <w:p w14:paraId="0CEFF176"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Mcguckin, N., Fucci, A., &amp; Jenkins, D. E. (2018). </w:t>
      </w:r>
      <w:r w:rsidRPr="00E72303">
        <w:rPr>
          <w:rFonts w:cs="Times New Roman"/>
          <w:i/>
          <w:iCs/>
          <w:noProof/>
        </w:rPr>
        <w:t>Summary of Travel Trends: 2017 National Household Travel Survey</w:t>
      </w:r>
      <w:r w:rsidRPr="00E72303">
        <w:rPr>
          <w:rFonts w:cs="Times New Roman"/>
          <w:noProof/>
        </w:rPr>
        <w:t>.</w:t>
      </w:r>
    </w:p>
    <w:p w14:paraId="6C0EFF13"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Menon, N., Barbour, N., Zhang, Y., Pinjari, A. R., &amp; Mannering, F. (2019). Shared autonomous vehicles and their potential impacts on household vehicle ownership: An exploratory empirical assessment. </w:t>
      </w:r>
      <w:r w:rsidRPr="00E72303">
        <w:rPr>
          <w:rFonts w:cs="Times New Roman"/>
          <w:i/>
          <w:iCs/>
          <w:noProof/>
        </w:rPr>
        <w:t>International Journal of Sustainable Transportation</w:t>
      </w:r>
      <w:r w:rsidRPr="00E72303">
        <w:rPr>
          <w:rFonts w:cs="Times New Roman"/>
          <w:noProof/>
        </w:rPr>
        <w:t xml:space="preserve">, </w:t>
      </w:r>
      <w:r w:rsidRPr="00E72303">
        <w:rPr>
          <w:rFonts w:cs="Times New Roman"/>
          <w:i/>
          <w:iCs/>
          <w:noProof/>
        </w:rPr>
        <w:t>13</w:t>
      </w:r>
      <w:r w:rsidRPr="00E72303">
        <w:rPr>
          <w:rFonts w:cs="Times New Roman"/>
          <w:noProof/>
        </w:rPr>
        <w:t>(2), 111–122. https://doi.org/10.1080/15568318.2018.1443178</w:t>
      </w:r>
    </w:p>
    <w:p w14:paraId="165C797C"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Minos, S. (2022). </w:t>
      </w:r>
      <w:r w:rsidRPr="00E72303">
        <w:rPr>
          <w:rFonts w:cs="Times New Roman"/>
          <w:i/>
          <w:iCs/>
          <w:noProof/>
        </w:rPr>
        <w:t>New Plug-in Electric Vehicle Sales in the United States Nearly Doubled from 2020 to 2021</w:t>
      </w:r>
      <w:r w:rsidRPr="00E72303">
        <w:rPr>
          <w:rFonts w:cs="Times New Roman"/>
          <w:noProof/>
        </w:rPr>
        <w:t>. US Department of Energy. https://www.energy.gov/energysaver/articles/new-plug-electric-vehicle-sales-united-states-nearly-doubled-2020-2021</w:t>
      </w:r>
    </w:p>
    <w:p w14:paraId="74AD4E01"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Mohamed, M., Higgins, C. D., Ferguson, M., &amp; Réquia, W. J. (2018). The influence of vehicle body type in shaping behavioural intention to acquire electric vehicles: A multi-group </w:t>
      </w:r>
      <w:r w:rsidRPr="00E72303">
        <w:rPr>
          <w:rFonts w:cs="Times New Roman"/>
          <w:noProof/>
        </w:rPr>
        <w:lastRenderedPageBreak/>
        <w:t xml:space="preserve">structural equation approach. </w:t>
      </w:r>
      <w:r w:rsidRPr="00E72303">
        <w:rPr>
          <w:rFonts w:cs="Times New Roman"/>
          <w:i/>
          <w:iCs/>
          <w:noProof/>
        </w:rPr>
        <w:t>Transportation Research Part A: Policy and Practice</w:t>
      </w:r>
      <w:r w:rsidRPr="00E72303">
        <w:rPr>
          <w:rFonts w:cs="Times New Roman"/>
          <w:noProof/>
        </w:rPr>
        <w:t xml:space="preserve">, </w:t>
      </w:r>
      <w:r w:rsidRPr="00E72303">
        <w:rPr>
          <w:rFonts w:cs="Times New Roman"/>
          <w:i/>
          <w:iCs/>
          <w:noProof/>
        </w:rPr>
        <w:t>116</w:t>
      </w:r>
      <w:r w:rsidRPr="00E72303">
        <w:rPr>
          <w:rFonts w:cs="Times New Roman"/>
          <w:noProof/>
        </w:rPr>
        <w:t>(May), 54–72. https://doi.org/10.1016/j.tra.2018.05.011</w:t>
      </w:r>
    </w:p>
    <w:p w14:paraId="379672E7"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Morency, P., Plante, C., Dubé, A. S., Goudreau, S., Morency, C., Bourbonnais, P. L., Eluru, N., Tétreault, L. F., Hatzopoulou, M., Iraganaboina, N. C., Bhowmik, T., &amp; Smargiassi, A. (2020). The potential impacts of urban and transit planning scenarios for 2031 on car use and active transportation in a metropolitan area. </w:t>
      </w:r>
      <w:r w:rsidRPr="00E72303">
        <w:rPr>
          <w:rFonts w:cs="Times New Roman"/>
          <w:i/>
          <w:iCs/>
          <w:noProof/>
        </w:rPr>
        <w:t>International Journal of Environmental Research and Public Health</w:t>
      </w:r>
      <w:r w:rsidRPr="00E72303">
        <w:rPr>
          <w:rFonts w:cs="Times New Roman"/>
          <w:noProof/>
        </w:rPr>
        <w:t xml:space="preserve">, </w:t>
      </w:r>
      <w:r w:rsidRPr="00E72303">
        <w:rPr>
          <w:rFonts w:cs="Times New Roman"/>
          <w:i/>
          <w:iCs/>
          <w:noProof/>
        </w:rPr>
        <w:t>17</w:t>
      </w:r>
      <w:r w:rsidRPr="00E72303">
        <w:rPr>
          <w:rFonts w:cs="Times New Roman"/>
          <w:noProof/>
        </w:rPr>
        <w:t>(14), 1–15. https://doi.org/10.3390/ijerph17145061</w:t>
      </w:r>
    </w:p>
    <w:p w14:paraId="21C2C92F"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Mulholland, E., Tattini, J., Ramea, K., Yang, C., &amp; Ó Gallachóir, B. P. (2018). The cost of electrifying private transport – Evidence from an empirical consumer choice model of Ireland and Denmark. </w:t>
      </w:r>
      <w:r w:rsidRPr="00E72303">
        <w:rPr>
          <w:rFonts w:cs="Times New Roman"/>
          <w:i/>
          <w:iCs/>
          <w:noProof/>
        </w:rPr>
        <w:t>Transportation Research Part D: Transport and Environment</w:t>
      </w:r>
      <w:r w:rsidRPr="00E72303">
        <w:rPr>
          <w:rFonts w:cs="Times New Roman"/>
          <w:noProof/>
        </w:rPr>
        <w:t xml:space="preserve">, </w:t>
      </w:r>
      <w:r w:rsidRPr="00E72303">
        <w:rPr>
          <w:rFonts w:cs="Times New Roman"/>
          <w:i/>
          <w:iCs/>
          <w:noProof/>
        </w:rPr>
        <w:t>62</w:t>
      </w:r>
      <w:r w:rsidRPr="00E72303">
        <w:rPr>
          <w:rFonts w:cs="Times New Roman"/>
          <w:noProof/>
        </w:rPr>
        <w:t>, 584–603. https://doi.org/10.1016/J.TRD.2018.04.010</w:t>
      </w:r>
    </w:p>
    <w:p w14:paraId="48ACCB91"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Nazari, F., Mohammadian, A. (Kouros), &amp; Stephens, T. (2019). Modeling electric vehicle adoption considering a latent travel pattern construct and charging infrastructure. </w:t>
      </w:r>
      <w:r w:rsidRPr="00E72303">
        <w:rPr>
          <w:rFonts w:cs="Times New Roman"/>
          <w:i/>
          <w:iCs/>
          <w:noProof/>
        </w:rPr>
        <w:t>Transportation Research Part D: Transport and Environment</w:t>
      </w:r>
      <w:r w:rsidRPr="00E72303">
        <w:rPr>
          <w:rFonts w:cs="Times New Roman"/>
          <w:noProof/>
        </w:rPr>
        <w:t xml:space="preserve">, </w:t>
      </w:r>
      <w:r w:rsidRPr="00E72303">
        <w:rPr>
          <w:rFonts w:cs="Times New Roman"/>
          <w:i/>
          <w:iCs/>
          <w:noProof/>
        </w:rPr>
        <w:t>72</w:t>
      </w:r>
      <w:r w:rsidRPr="00E72303">
        <w:rPr>
          <w:rFonts w:cs="Times New Roman"/>
          <w:noProof/>
        </w:rPr>
        <w:t>, 65–82. https://doi.org/10.1016/J.TRD.2019.04.010</w:t>
      </w:r>
    </w:p>
    <w:p w14:paraId="280A5C0F"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Nerurkar, V., Barge, P., Bhatt, V., Rastogi, S., &amp; Agarwal, B. (2023). Factors Influencing Consumer Decision to Purchase a Car. </w:t>
      </w:r>
      <w:r w:rsidRPr="00E72303">
        <w:rPr>
          <w:rFonts w:cs="Times New Roman"/>
          <w:i/>
          <w:iCs/>
          <w:noProof/>
        </w:rPr>
        <w:t>Marketing and Management of Innovations</w:t>
      </w:r>
      <w:r w:rsidRPr="00E72303">
        <w:rPr>
          <w:rFonts w:cs="Times New Roman"/>
          <w:noProof/>
        </w:rPr>
        <w:t xml:space="preserve">, </w:t>
      </w:r>
      <w:r w:rsidRPr="00E72303">
        <w:rPr>
          <w:rFonts w:cs="Times New Roman"/>
          <w:i/>
          <w:iCs/>
          <w:noProof/>
        </w:rPr>
        <w:t>14</w:t>
      </w:r>
      <w:r w:rsidRPr="00E72303">
        <w:rPr>
          <w:rFonts w:cs="Times New Roman"/>
          <w:noProof/>
        </w:rPr>
        <w:t>(1), 24–40. https://doi.org/10.21272/mmi.2023.1-03</w:t>
      </w:r>
    </w:p>
    <w:p w14:paraId="307A71E2"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Noel, L., Zarazua de Rubens, G., Kester, J., &amp; Sovacool, B. K. (2020). Understanding the socio-technical nexus of Nordic electric vehicle (EV) barriers: A qualitative discussion of range, price, charging and knowledge. </w:t>
      </w:r>
      <w:r w:rsidRPr="00E72303">
        <w:rPr>
          <w:rFonts w:cs="Times New Roman"/>
          <w:i/>
          <w:iCs/>
          <w:noProof/>
        </w:rPr>
        <w:t>Energy Policy</w:t>
      </w:r>
      <w:r w:rsidRPr="00E72303">
        <w:rPr>
          <w:rFonts w:cs="Times New Roman"/>
          <w:noProof/>
        </w:rPr>
        <w:t xml:space="preserve">, </w:t>
      </w:r>
      <w:r w:rsidRPr="00E72303">
        <w:rPr>
          <w:rFonts w:cs="Times New Roman"/>
          <w:i/>
          <w:iCs/>
          <w:noProof/>
        </w:rPr>
        <w:t>138</w:t>
      </w:r>
      <w:r w:rsidRPr="00E72303">
        <w:rPr>
          <w:rFonts w:cs="Times New Roman"/>
          <w:noProof/>
        </w:rPr>
        <w:t>(January). https://doi.org/10.1016/j.enpol.2020.111292</w:t>
      </w:r>
    </w:p>
    <w:p w14:paraId="646FBB0C"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Okeke, F. O., Okosun, A. E., Udeh, C. A., &amp; Okekeogbu, C. J. (2020). Cities for people: The dependency &amp; impact of automobile in the life of city dwellers. </w:t>
      </w:r>
      <w:r w:rsidRPr="00E72303">
        <w:rPr>
          <w:rFonts w:cs="Times New Roman"/>
          <w:i/>
          <w:iCs/>
          <w:noProof/>
        </w:rPr>
        <w:t>European Journal of Sustainable Development</w:t>
      </w:r>
      <w:r w:rsidRPr="00E72303">
        <w:rPr>
          <w:rFonts w:cs="Times New Roman"/>
          <w:noProof/>
        </w:rPr>
        <w:t xml:space="preserve">, </w:t>
      </w:r>
      <w:r w:rsidRPr="00E72303">
        <w:rPr>
          <w:rFonts w:cs="Times New Roman"/>
          <w:i/>
          <w:iCs/>
          <w:noProof/>
        </w:rPr>
        <w:t>9</w:t>
      </w:r>
      <w:r w:rsidRPr="00E72303">
        <w:rPr>
          <w:rFonts w:cs="Times New Roman"/>
          <w:noProof/>
        </w:rPr>
        <w:t>(3), 157–178. https://doi.org/10.14207/ejsd.2020.v9n3p157</w:t>
      </w:r>
    </w:p>
    <w:p w14:paraId="2D67B44C"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Østli, V., Fridstrøm, L., Johansen, K. W., &amp; Tseng, Y. Y. (2017). A generic discrete choice model of automobile purchase. </w:t>
      </w:r>
      <w:r w:rsidRPr="00E72303">
        <w:rPr>
          <w:rFonts w:cs="Times New Roman"/>
          <w:i/>
          <w:iCs/>
          <w:noProof/>
        </w:rPr>
        <w:t>European Transport Research Review</w:t>
      </w:r>
      <w:r w:rsidRPr="00E72303">
        <w:rPr>
          <w:rFonts w:cs="Times New Roman"/>
          <w:noProof/>
        </w:rPr>
        <w:t xml:space="preserve">, </w:t>
      </w:r>
      <w:r w:rsidRPr="00E72303">
        <w:rPr>
          <w:rFonts w:cs="Times New Roman"/>
          <w:i/>
          <w:iCs/>
          <w:noProof/>
        </w:rPr>
        <w:t>9</w:t>
      </w:r>
      <w:r w:rsidRPr="00E72303">
        <w:rPr>
          <w:rFonts w:cs="Times New Roman"/>
          <w:noProof/>
        </w:rPr>
        <w:t>(2). https://doi.org/10.1007/s12544-017-0232-1</w:t>
      </w:r>
    </w:p>
    <w:p w14:paraId="7E7C8187"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Pierce, G., &amp; Connolly, R. (2023). Disparities in the “who” and “where” of the vehicle purchase decision-making process for lower-income households. </w:t>
      </w:r>
      <w:r w:rsidRPr="00E72303">
        <w:rPr>
          <w:rFonts w:cs="Times New Roman"/>
          <w:i/>
          <w:iCs/>
          <w:noProof/>
        </w:rPr>
        <w:t>Travel Behaviour and Society</w:t>
      </w:r>
      <w:r w:rsidRPr="00E72303">
        <w:rPr>
          <w:rFonts w:cs="Times New Roman"/>
          <w:noProof/>
        </w:rPr>
        <w:t xml:space="preserve">, </w:t>
      </w:r>
      <w:r w:rsidRPr="00E72303">
        <w:rPr>
          <w:rFonts w:cs="Times New Roman"/>
          <w:i/>
          <w:iCs/>
          <w:noProof/>
        </w:rPr>
        <w:t>31</w:t>
      </w:r>
      <w:r w:rsidRPr="00E72303">
        <w:rPr>
          <w:rFonts w:cs="Times New Roman"/>
          <w:noProof/>
        </w:rPr>
        <w:t>(December 2021), 363–373. https://doi.org/10.1016/j.tbs.2023.02.003</w:t>
      </w:r>
    </w:p>
    <w:p w14:paraId="0982018C"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Qian, L., &amp; Soopramanien, D. (2011). Heterogeneous consumer preferences for alternative fuel cars in China. </w:t>
      </w:r>
      <w:r w:rsidRPr="00E72303">
        <w:rPr>
          <w:rFonts w:cs="Times New Roman"/>
          <w:i/>
          <w:iCs/>
          <w:noProof/>
        </w:rPr>
        <w:t>Transportation Research Part D: Transport and Environment</w:t>
      </w:r>
      <w:r w:rsidRPr="00E72303">
        <w:rPr>
          <w:rFonts w:cs="Times New Roman"/>
          <w:noProof/>
        </w:rPr>
        <w:t xml:space="preserve">, </w:t>
      </w:r>
      <w:r w:rsidRPr="00E72303">
        <w:rPr>
          <w:rFonts w:cs="Times New Roman"/>
          <w:i/>
          <w:iCs/>
          <w:noProof/>
        </w:rPr>
        <w:t>16</w:t>
      </w:r>
      <w:r w:rsidRPr="00E72303">
        <w:rPr>
          <w:rFonts w:cs="Times New Roman"/>
          <w:noProof/>
        </w:rPr>
        <w:t>(8), 607–613. https://doi.org/10.1016/J.TRD.2011.08.005</w:t>
      </w:r>
    </w:p>
    <w:p w14:paraId="5B8201BE"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Raza, S., &amp; Masmoudi, M. (2020). Consumer Vehicle Purchase Decision-making during COVID-19. </w:t>
      </w:r>
      <w:r w:rsidRPr="00E72303">
        <w:rPr>
          <w:rFonts w:cs="Times New Roman"/>
          <w:i/>
          <w:iCs/>
          <w:noProof/>
        </w:rPr>
        <w:t>2020 International Conference on Decision Aid Sciences and Application, DASA 2020</w:t>
      </w:r>
      <w:r w:rsidRPr="00E72303">
        <w:rPr>
          <w:rFonts w:cs="Times New Roman"/>
          <w:noProof/>
        </w:rPr>
        <w:t>, 692–696. https://doi.org/10.1109/DASA51403.2020.9317187</w:t>
      </w:r>
    </w:p>
    <w:p w14:paraId="2589C478"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Ryu, D., Kim, C., &amp; Lee, S. (2020). Development of GHG Emission Factor for Passenger Vehicles by Fuel Type and Size Class Using Statistical Analysis Method. </w:t>
      </w:r>
      <w:r w:rsidRPr="00E72303">
        <w:rPr>
          <w:rFonts w:cs="Times New Roman"/>
          <w:i/>
          <w:iCs/>
          <w:noProof/>
        </w:rPr>
        <w:t>International Journal of Automotive Technology 2020 21:5</w:t>
      </w:r>
      <w:r w:rsidRPr="00E72303">
        <w:rPr>
          <w:rFonts w:cs="Times New Roman"/>
          <w:noProof/>
        </w:rPr>
        <w:t xml:space="preserve">, </w:t>
      </w:r>
      <w:r w:rsidRPr="00E72303">
        <w:rPr>
          <w:rFonts w:cs="Times New Roman"/>
          <w:i/>
          <w:iCs/>
          <w:noProof/>
        </w:rPr>
        <w:t>21</w:t>
      </w:r>
      <w:r w:rsidRPr="00E72303">
        <w:rPr>
          <w:rFonts w:cs="Times New Roman"/>
          <w:noProof/>
        </w:rPr>
        <w:t>(5), 1293–1302. https://doi.org/10.1007/S12239-018-0122-8</w:t>
      </w:r>
    </w:p>
    <w:p w14:paraId="3142FF65"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Sabouri, S., Tian, G., Ewing, R., Park, K., &amp; Greene, W. (2021). The built environment and vehicle ownership modeling: Evidence from 32 diverse regions in the U.S. </w:t>
      </w:r>
      <w:r w:rsidRPr="00E72303">
        <w:rPr>
          <w:rFonts w:cs="Times New Roman"/>
          <w:i/>
          <w:iCs/>
          <w:noProof/>
        </w:rPr>
        <w:t>Journal of Transport Geography</w:t>
      </w:r>
      <w:r w:rsidRPr="00E72303">
        <w:rPr>
          <w:rFonts w:cs="Times New Roman"/>
          <w:noProof/>
        </w:rPr>
        <w:t xml:space="preserve">, </w:t>
      </w:r>
      <w:r w:rsidRPr="00E72303">
        <w:rPr>
          <w:rFonts w:cs="Times New Roman"/>
          <w:i/>
          <w:iCs/>
          <w:noProof/>
        </w:rPr>
        <w:t>93</w:t>
      </w:r>
      <w:r w:rsidRPr="00E72303">
        <w:rPr>
          <w:rFonts w:cs="Times New Roman"/>
          <w:noProof/>
        </w:rPr>
        <w:t>, 103073. https://doi.org/10.1016/J.JTRANGEO.2021.103073</w:t>
      </w:r>
    </w:p>
    <w:p w14:paraId="724C8A53"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Sheldon, T. L., &amp; Dua, R. (2018). Gasoline savings from clean vehicle adoption. </w:t>
      </w:r>
      <w:r w:rsidRPr="00E72303">
        <w:rPr>
          <w:rFonts w:cs="Times New Roman"/>
          <w:i/>
          <w:iCs/>
          <w:noProof/>
        </w:rPr>
        <w:t>Energy Policy</w:t>
      </w:r>
      <w:r w:rsidRPr="00E72303">
        <w:rPr>
          <w:rFonts w:cs="Times New Roman"/>
          <w:noProof/>
        </w:rPr>
        <w:t xml:space="preserve">, </w:t>
      </w:r>
      <w:r w:rsidRPr="00E72303">
        <w:rPr>
          <w:rFonts w:cs="Times New Roman"/>
          <w:i/>
          <w:iCs/>
          <w:noProof/>
        </w:rPr>
        <w:t>120</w:t>
      </w:r>
      <w:r w:rsidRPr="00E72303">
        <w:rPr>
          <w:rFonts w:cs="Times New Roman"/>
          <w:noProof/>
        </w:rPr>
        <w:t>, 418–424. https://doi.org/10.1016/J.ENPOL.2018.05.057</w:t>
      </w:r>
    </w:p>
    <w:p w14:paraId="7D637AA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lastRenderedPageBreak/>
        <w:t xml:space="preserve">Sheldon, T. L., &amp; Dua, R. (2021). How responsive is Saudi new vehicle fleet fuel economy to fuel-and vehicle-price policy levers? </w:t>
      </w:r>
      <w:r w:rsidRPr="00E72303">
        <w:rPr>
          <w:rFonts w:cs="Times New Roman"/>
          <w:i/>
          <w:iCs/>
          <w:noProof/>
        </w:rPr>
        <w:t>Energy Economics</w:t>
      </w:r>
      <w:r w:rsidRPr="00E72303">
        <w:rPr>
          <w:rFonts w:cs="Times New Roman"/>
          <w:noProof/>
        </w:rPr>
        <w:t xml:space="preserve">, </w:t>
      </w:r>
      <w:r w:rsidRPr="00E72303">
        <w:rPr>
          <w:rFonts w:cs="Times New Roman"/>
          <w:i/>
          <w:iCs/>
          <w:noProof/>
        </w:rPr>
        <w:t>97</w:t>
      </w:r>
      <w:r w:rsidRPr="00E72303">
        <w:rPr>
          <w:rFonts w:cs="Times New Roman"/>
          <w:noProof/>
        </w:rPr>
        <w:t>. https://doi.org/10.1016/J.ENECO.2020.105026</w:t>
      </w:r>
    </w:p>
    <w:p w14:paraId="6C6627AC"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Singh, V., Singh, V., &amp; Vaibhav, S. (2020). A review and simple meta-analysis of factors influencing adoption of electric vehicles. </w:t>
      </w:r>
      <w:r w:rsidRPr="00E72303">
        <w:rPr>
          <w:rFonts w:cs="Times New Roman"/>
          <w:i/>
          <w:iCs/>
          <w:noProof/>
        </w:rPr>
        <w:t>Transportation Research Part D: Transport and Environment</w:t>
      </w:r>
      <w:r w:rsidRPr="00E72303">
        <w:rPr>
          <w:rFonts w:cs="Times New Roman"/>
          <w:noProof/>
        </w:rPr>
        <w:t xml:space="preserve">, </w:t>
      </w:r>
      <w:r w:rsidRPr="00E72303">
        <w:rPr>
          <w:rFonts w:cs="Times New Roman"/>
          <w:i/>
          <w:iCs/>
          <w:noProof/>
        </w:rPr>
        <w:t>86</w:t>
      </w:r>
      <w:r w:rsidRPr="00E72303">
        <w:rPr>
          <w:rFonts w:cs="Times New Roman"/>
          <w:noProof/>
        </w:rPr>
        <w:t>(August). https://doi.org/10.1016/j.trd.2020.102436</w:t>
      </w:r>
    </w:p>
    <w:p w14:paraId="260CCFD2"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Spissu, E., Pinjari, A. R., Pendyala, R. M., &amp; Bhat, C. R. (2009). A copula-based joint multinomial discrete-continuous model of vehicle type choice and miles of travel. </w:t>
      </w:r>
      <w:r w:rsidRPr="00E72303">
        <w:rPr>
          <w:rFonts w:cs="Times New Roman"/>
          <w:i/>
          <w:iCs/>
          <w:noProof/>
        </w:rPr>
        <w:t>Transportation</w:t>
      </w:r>
      <w:r w:rsidRPr="00E72303">
        <w:rPr>
          <w:rFonts w:cs="Times New Roman"/>
          <w:noProof/>
        </w:rPr>
        <w:t xml:space="preserve">, </w:t>
      </w:r>
      <w:r w:rsidRPr="00E72303">
        <w:rPr>
          <w:rFonts w:cs="Times New Roman"/>
          <w:i/>
          <w:iCs/>
          <w:noProof/>
        </w:rPr>
        <w:t>36</w:t>
      </w:r>
      <w:r w:rsidRPr="00E72303">
        <w:rPr>
          <w:rFonts w:cs="Times New Roman"/>
          <w:noProof/>
        </w:rPr>
        <w:t>(4), 403–422. https://doi.org/10.1007/S11116-009-9208-X/TABLES/2</w:t>
      </w:r>
    </w:p>
    <w:p w14:paraId="548D7923"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Stinson, M., Auld, J., &amp; Mohammadian, A. K. (2020). Light duty vehicle choice models examining alternative fuel technology preferences among commercial fleet owners. </w:t>
      </w:r>
      <w:r w:rsidRPr="00E72303">
        <w:rPr>
          <w:rFonts w:cs="Times New Roman"/>
          <w:i/>
          <w:iCs/>
          <w:noProof/>
        </w:rPr>
        <w:t>Transportation Research Procedia</w:t>
      </w:r>
      <w:r w:rsidRPr="00E72303">
        <w:rPr>
          <w:rFonts w:cs="Times New Roman"/>
          <w:noProof/>
        </w:rPr>
        <w:t xml:space="preserve">, </w:t>
      </w:r>
      <w:r w:rsidRPr="00E72303">
        <w:rPr>
          <w:rFonts w:cs="Times New Roman"/>
          <w:i/>
          <w:iCs/>
          <w:noProof/>
        </w:rPr>
        <w:t>46</w:t>
      </w:r>
      <w:r w:rsidRPr="00E72303">
        <w:rPr>
          <w:rFonts w:cs="Times New Roman"/>
          <w:noProof/>
        </w:rPr>
        <w:t>, 309–316. https://doi.org/10.1016/j.trpro.2020.03.195</w:t>
      </w:r>
    </w:p>
    <w:p w14:paraId="526D295A"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USEPA. (2022). </w:t>
      </w:r>
      <w:r w:rsidRPr="00E72303">
        <w:rPr>
          <w:rFonts w:cs="Times New Roman"/>
          <w:i/>
          <w:iCs/>
          <w:noProof/>
        </w:rPr>
        <w:t>Greenhouse Gas Emissions from a Typical Passenger Vehicle</w:t>
      </w:r>
      <w:r w:rsidRPr="00E72303">
        <w:rPr>
          <w:rFonts w:cs="Times New Roman"/>
          <w:noProof/>
        </w:rPr>
        <w:t>. https://www.epa.gov/greenvehicles/greenhouse-gas-emissions-typical-passenger-vehicle#typical-passenger</w:t>
      </w:r>
    </w:p>
    <w:p w14:paraId="40D84247"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van Huyssteen, N., &amp; Rudansky-Kloppers, S. (2024). Factors influencing consumers’ purchase decisions regarding personal motor vehicle insurance in South Africa. </w:t>
      </w:r>
      <w:r w:rsidRPr="00E72303">
        <w:rPr>
          <w:rFonts w:cs="Times New Roman"/>
          <w:i/>
          <w:iCs/>
          <w:noProof/>
        </w:rPr>
        <w:t>Cogent Business and Management</w:t>
      </w:r>
      <w:r w:rsidRPr="00E72303">
        <w:rPr>
          <w:rFonts w:cs="Times New Roman"/>
          <w:noProof/>
        </w:rPr>
        <w:t xml:space="preserve">, </w:t>
      </w:r>
      <w:r w:rsidRPr="00E72303">
        <w:rPr>
          <w:rFonts w:cs="Times New Roman"/>
          <w:i/>
          <w:iCs/>
          <w:noProof/>
        </w:rPr>
        <w:t>11</w:t>
      </w:r>
      <w:r w:rsidRPr="00E72303">
        <w:rPr>
          <w:rFonts w:cs="Times New Roman"/>
          <w:noProof/>
        </w:rPr>
        <w:t>(1), 1–21. https://doi.org/10.1080/23311975.2023.2293488</w:t>
      </w:r>
    </w:p>
    <w:p w14:paraId="43737CCD"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Xing, J., Leard, B., &amp; Li, S. (2021). What does an electric vehicle replace? </w:t>
      </w:r>
      <w:r w:rsidRPr="00E72303">
        <w:rPr>
          <w:rFonts w:cs="Times New Roman"/>
          <w:i/>
          <w:iCs/>
          <w:noProof/>
        </w:rPr>
        <w:t>Journal of Environmental Economics and Management</w:t>
      </w:r>
      <w:r w:rsidRPr="00E72303">
        <w:rPr>
          <w:rFonts w:cs="Times New Roman"/>
          <w:noProof/>
        </w:rPr>
        <w:t xml:space="preserve">, </w:t>
      </w:r>
      <w:r w:rsidRPr="00E72303">
        <w:rPr>
          <w:rFonts w:cs="Times New Roman"/>
          <w:i/>
          <w:iCs/>
          <w:noProof/>
        </w:rPr>
        <w:t>107</w:t>
      </w:r>
      <w:r w:rsidRPr="00E72303">
        <w:rPr>
          <w:rFonts w:cs="Times New Roman"/>
          <w:noProof/>
        </w:rPr>
        <w:t>, 102432. https://doi.org/10.1016/j.jeem.2021.102432</w:t>
      </w:r>
    </w:p>
    <w:p w14:paraId="4087AA9A"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Ye, J. M. and X. (2019). Modeling Household Vehicle Ownership in Emerging Economies. </w:t>
      </w:r>
      <w:r w:rsidRPr="00E72303">
        <w:rPr>
          <w:rFonts w:cs="Times New Roman"/>
          <w:i/>
          <w:iCs/>
          <w:noProof/>
        </w:rPr>
        <w:t>Journal of the Indian Institution of Science</w:t>
      </w:r>
      <w:r w:rsidRPr="00E72303">
        <w:rPr>
          <w:rFonts w:cs="Times New Roman"/>
          <w:noProof/>
        </w:rPr>
        <w:t xml:space="preserve">, </w:t>
      </w:r>
      <w:r w:rsidRPr="00E72303">
        <w:rPr>
          <w:rFonts w:cs="Times New Roman"/>
          <w:i/>
          <w:iCs/>
          <w:noProof/>
        </w:rPr>
        <w:t>94</w:t>
      </w:r>
      <w:r w:rsidRPr="00E72303">
        <w:rPr>
          <w:rFonts w:cs="Times New Roman"/>
          <w:noProof/>
        </w:rPr>
        <w:t>(4), 647–671.</w:t>
      </w:r>
    </w:p>
    <w:p w14:paraId="2FA89F87"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Zhao, C., Nielsen, T. A. S., Olafsson, A. S., Carstensen, T. A., &amp; Fertner, C. (2018). Cycling environmental perception in Beijing – A study of residents’ attitudes towards future cycling and car purchasing. </w:t>
      </w:r>
      <w:r w:rsidRPr="00E72303">
        <w:rPr>
          <w:rFonts w:cs="Times New Roman"/>
          <w:i/>
          <w:iCs/>
          <w:noProof/>
        </w:rPr>
        <w:t>Transport Policy</w:t>
      </w:r>
      <w:r w:rsidRPr="00E72303">
        <w:rPr>
          <w:rFonts w:cs="Times New Roman"/>
          <w:noProof/>
        </w:rPr>
        <w:t xml:space="preserve">, </w:t>
      </w:r>
      <w:r w:rsidRPr="00E72303">
        <w:rPr>
          <w:rFonts w:cs="Times New Roman"/>
          <w:i/>
          <w:iCs/>
          <w:noProof/>
        </w:rPr>
        <w:t>66</w:t>
      </w:r>
      <w:r w:rsidRPr="00E72303">
        <w:rPr>
          <w:rFonts w:cs="Times New Roman"/>
          <w:noProof/>
        </w:rPr>
        <w:t>, 96–106. https://doi.org/10.1016/J.TRANPOL.2018.02.004</w:t>
      </w:r>
    </w:p>
    <w:p w14:paraId="72FCBFC1" w14:textId="77777777" w:rsidR="00341A94" w:rsidRPr="00E72303" w:rsidRDefault="00341A94" w:rsidP="00341A94">
      <w:pPr>
        <w:widowControl w:val="0"/>
        <w:autoSpaceDE w:val="0"/>
        <w:autoSpaceDN w:val="0"/>
        <w:adjustRightInd w:val="0"/>
        <w:ind w:left="480" w:hanging="480"/>
        <w:rPr>
          <w:rFonts w:cs="Times New Roman"/>
          <w:noProof/>
        </w:rPr>
      </w:pPr>
      <w:r w:rsidRPr="00E72303">
        <w:rPr>
          <w:rFonts w:cs="Times New Roman"/>
          <w:noProof/>
        </w:rPr>
        <w:t xml:space="preserve">Zhou, F., Zheng, Z., Whitehead, J., Perrons, R. K., Washington, S., &amp; Page, L. (2020). Examining the impact of car-sharing on private vehicle ownership. </w:t>
      </w:r>
      <w:r w:rsidRPr="00E72303">
        <w:rPr>
          <w:rFonts w:cs="Times New Roman"/>
          <w:i/>
          <w:iCs/>
          <w:noProof/>
        </w:rPr>
        <w:t>Transportation Research Part A: Policy and Practice</w:t>
      </w:r>
      <w:r w:rsidRPr="00E72303">
        <w:rPr>
          <w:rFonts w:cs="Times New Roman"/>
          <w:noProof/>
        </w:rPr>
        <w:t xml:space="preserve">, </w:t>
      </w:r>
      <w:r w:rsidRPr="00E72303">
        <w:rPr>
          <w:rFonts w:cs="Times New Roman"/>
          <w:i/>
          <w:iCs/>
          <w:noProof/>
        </w:rPr>
        <w:t>138</w:t>
      </w:r>
      <w:r w:rsidRPr="00E72303">
        <w:rPr>
          <w:rFonts w:cs="Times New Roman"/>
          <w:noProof/>
        </w:rPr>
        <w:t>, 322–341. https://doi.org/10.1016/J.TRA.2020.06.003</w:t>
      </w:r>
    </w:p>
    <w:p w14:paraId="4C2BF63F" w14:textId="39385BF7" w:rsidR="00141504" w:rsidRPr="00E72303" w:rsidRDefault="00141504" w:rsidP="007B178E">
      <w:pPr>
        <w:pStyle w:val="1stParagraph"/>
        <w:rPr>
          <w:b/>
          <w:bCs/>
        </w:rPr>
      </w:pPr>
      <w:r w:rsidRPr="00E72303">
        <w:rPr>
          <w:b/>
          <w:bCs/>
        </w:rPr>
        <w:fldChar w:fldCharType="end"/>
      </w:r>
    </w:p>
    <w:sectPr w:rsidR="00141504" w:rsidRPr="00E72303" w:rsidSect="0033263B">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0F3C8" w14:textId="77777777" w:rsidR="00B7540E" w:rsidRDefault="00B7540E" w:rsidP="00FD6928">
      <w:r>
        <w:separator/>
      </w:r>
    </w:p>
  </w:endnote>
  <w:endnote w:type="continuationSeparator" w:id="0">
    <w:p w14:paraId="1E5AF1EA" w14:textId="77777777" w:rsidR="00B7540E" w:rsidRDefault="00B7540E" w:rsidP="00FD6928">
      <w:r>
        <w:continuationSeparator/>
      </w:r>
    </w:p>
  </w:endnote>
  <w:endnote w:type="continuationNotice" w:id="1">
    <w:p w14:paraId="5E276E36" w14:textId="77777777" w:rsidR="00B7540E" w:rsidRDefault="00B75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Bold">
    <w:altName w:val="Cambria"/>
    <w:panose1 w:val="00000000000000000000"/>
    <w:charset w:val="00"/>
    <w:family w:val="roman"/>
    <w:notTrueType/>
    <w:pitch w:val="default"/>
  </w:font>
  <w:font w:name="AdvNPSTim-B">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dvOT483a820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373687"/>
      <w:docPartObj>
        <w:docPartGallery w:val="Page Numbers (Bottom of Page)"/>
        <w:docPartUnique/>
      </w:docPartObj>
    </w:sdtPr>
    <w:sdtEndPr>
      <w:rPr>
        <w:noProof/>
      </w:rPr>
    </w:sdtEndPr>
    <w:sdtContent>
      <w:p w14:paraId="7B7CF771" w14:textId="3F57F491" w:rsidR="00FD6928" w:rsidRDefault="00FD69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03E158" w14:textId="77777777" w:rsidR="00FD6928" w:rsidRDefault="00FD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1F591" w14:textId="77777777" w:rsidR="00B7540E" w:rsidRDefault="00B7540E" w:rsidP="00FD6928">
      <w:r>
        <w:separator/>
      </w:r>
    </w:p>
  </w:footnote>
  <w:footnote w:type="continuationSeparator" w:id="0">
    <w:p w14:paraId="68892681" w14:textId="77777777" w:rsidR="00B7540E" w:rsidRDefault="00B7540E" w:rsidP="00FD6928">
      <w:r>
        <w:continuationSeparator/>
      </w:r>
    </w:p>
  </w:footnote>
  <w:footnote w:type="continuationNotice" w:id="1">
    <w:p w14:paraId="6F6E68C3" w14:textId="77777777" w:rsidR="00B7540E" w:rsidRDefault="00B7540E"/>
  </w:footnote>
  <w:footnote w:id="2">
    <w:p w14:paraId="0F0D59E3" w14:textId="103D9B45" w:rsidR="00EB12F9" w:rsidRDefault="00EB12F9">
      <w:pPr>
        <w:pStyle w:val="FootnoteText"/>
      </w:pPr>
      <w:r w:rsidRPr="00EB12F9">
        <w:rPr>
          <w:rStyle w:val="FootnoteReference"/>
        </w:rPr>
        <w:sym w:font="Symbol" w:char="F02A"/>
      </w:r>
      <w:r>
        <w:t xml:space="preserve"> </w:t>
      </w:r>
      <w:r w:rsidR="00496B9C" w:rsidRPr="00496B9C">
        <w:t>Corresponding Author</w:t>
      </w:r>
    </w:p>
  </w:footnote>
  <w:footnote w:id="3">
    <w:p w14:paraId="5800476A" w14:textId="5D49D561" w:rsidR="00FB1E2B" w:rsidRDefault="00FB1E2B" w:rsidP="000C7919">
      <w:pPr>
        <w:pStyle w:val="1stParagraph"/>
      </w:pPr>
      <w:r>
        <w:rPr>
          <w:rStyle w:val="FootnoteReference"/>
        </w:rPr>
        <w:footnoteRef/>
      </w:r>
      <w:r>
        <w:t xml:space="preserve"> </w:t>
      </w:r>
      <w:r w:rsidRPr="000C7919">
        <w:rPr>
          <w:sz w:val="20"/>
          <w:szCs w:val="20"/>
        </w:rPr>
        <w:t xml:space="preserve">The share of EVs in the 2017-18 </w:t>
      </w:r>
      <w:proofErr w:type="spellStart"/>
      <w:r w:rsidRPr="000C7919">
        <w:rPr>
          <w:sz w:val="20"/>
          <w:szCs w:val="20"/>
        </w:rPr>
        <w:t>MaritzCX</w:t>
      </w:r>
      <w:proofErr w:type="spellEnd"/>
      <w:r w:rsidRPr="000C7919">
        <w:rPr>
          <w:sz w:val="20"/>
          <w:szCs w:val="20"/>
        </w:rPr>
        <w:t xml:space="preserve"> data sample are small. Hence, we employed a non-gasoline characterization of our dependent variable. While the non-gasoline characterization includes multiple fuel types, we can employ the framework developed here to consider that non-gasoline market will primarily evolve into an EV market.</w:t>
      </w:r>
    </w:p>
  </w:footnote>
  <w:footnote w:id="4">
    <w:p w14:paraId="1AF0221B" w14:textId="3CCDFA1F" w:rsidR="008E0B94" w:rsidRPr="00231BF0" w:rsidRDefault="008E0B94" w:rsidP="00231BF0">
      <w:pPr>
        <w:pStyle w:val="FootnoteText"/>
        <w:ind w:firstLine="0"/>
        <w:rPr>
          <w:color w:val="C00000"/>
        </w:rPr>
      </w:pPr>
      <w:r w:rsidRPr="00BF302F">
        <w:rPr>
          <w:rStyle w:val="FootnoteReference"/>
        </w:rPr>
        <w:footnoteRef/>
      </w:r>
      <w:r w:rsidRPr="00BF302F">
        <w:t xml:space="preserve"> The reader would note that </w:t>
      </w:r>
      <w:r w:rsidR="001526C0" w:rsidRPr="00BF302F">
        <w:t xml:space="preserve">the NHTS data already identifies the households who purchased new vehicle(s). Thus, we do not strictly need </w:t>
      </w:r>
      <w:r w:rsidRPr="00BF302F">
        <w:t xml:space="preserve">the binary logit component </w:t>
      </w:r>
      <w:r w:rsidR="001526C0" w:rsidRPr="00BF302F">
        <w:t xml:space="preserve">for our analysis. However, </w:t>
      </w:r>
      <w:r w:rsidR="001C24D9" w:rsidRPr="00BF302F">
        <w:t>when the model is applied to other datasets</w:t>
      </w:r>
      <w:r w:rsidR="00E51AF6" w:rsidRPr="00BF302F">
        <w:t xml:space="preserve"> without an identifier for </w:t>
      </w:r>
      <w:r w:rsidR="00490DE3" w:rsidRPr="00BF302F">
        <w:t>new purchases</w:t>
      </w:r>
      <w:r w:rsidR="001C24D9" w:rsidRPr="00BF302F">
        <w:t xml:space="preserve">, having a </w:t>
      </w:r>
      <w:r w:rsidR="00E51AF6" w:rsidRPr="00BF302F">
        <w:t xml:space="preserve">purchase decision </w:t>
      </w:r>
      <w:r w:rsidR="00490DE3" w:rsidRPr="00BF302F">
        <w:t xml:space="preserve">model </w:t>
      </w:r>
      <w:r w:rsidR="00E51AF6" w:rsidRPr="00BF302F">
        <w:t xml:space="preserve">will be useful as a two-level analysis. Hence, we included this in our paper. </w:t>
      </w:r>
    </w:p>
  </w:footnote>
  <w:footnote w:id="5">
    <w:p w14:paraId="3F729A1D" w14:textId="5967D130" w:rsidR="007B178E" w:rsidRPr="00C16BF9" w:rsidRDefault="007B178E" w:rsidP="00673A3C">
      <w:r>
        <w:rPr>
          <w:rStyle w:val="FootnoteReference"/>
        </w:rPr>
        <w:footnoteRef/>
      </w:r>
      <w:r>
        <w:t xml:space="preserve"> </w:t>
      </w:r>
      <w:r w:rsidR="00673A3C" w:rsidRPr="00C16BF9">
        <w:rPr>
          <w:sz w:val="20"/>
          <w:szCs w:val="20"/>
        </w:rPr>
        <w:t>The reader would note that full datasets were not used in our analysis for two reasons</w:t>
      </w:r>
      <w:r w:rsidR="00673A3C" w:rsidRPr="00C16BF9">
        <w:rPr>
          <w:i/>
          <w:iCs/>
          <w:sz w:val="20"/>
          <w:szCs w:val="20"/>
        </w:rPr>
        <w:t>. First</w:t>
      </w:r>
      <w:r w:rsidR="00673A3C" w:rsidRPr="00C16BF9">
        <w:rPr>
          <w:sz w:val="20"/>
          <w:szCs w:val="20"/>
        </w:rPr>
        <w:t xml:space="preserve">, estimating models with large samples can potentially inflate the t-statistics resulting in too many variables being significant leading to overfitting. So, using sampled datasets allows us to arrive at specifications that are less prone to overfitting. </w:t>
      </w:r>
      <w:r w:rsidR="00673A3C" w:rsidRPr="00C16BF9">
        <w:rPr>
          <w:i/>
          <w:iCs/>
          <w:sz w:val="20"/>
          <w:szCs w:val="20"/>
        </w:rPr>
        <w:t>Second</w:t>
      </w:r>
      <w:r w:rsidR="00673A3C" w:rsidRPr="00C16BF9">
        <w:rPr>
          <w:sz w:val="20"/>
          <w:szCs w:val="20"/>
        </w:rPr>
        <w:t xml:space="preserve">, the computational burden of running models with full datasets is significant in our research exercise. As the reader is aware, we run models after fusing different numbers of records – 1, 5, 10, 15, 20, 25, 30 and 35. So, when we estimate a model with a 5000-sample size for </w:t>
      </w:r>
      <w:proofErr w:type="spellStart"/>
      <w:r w:rsidR="00673A3C" w:rsidRPr="00C16BF9">
        <w:rPr>
          <w:sz w:val="20"/>
          <w:szCs w:val="20"/>
        </w:rPr>
        <w:t>MaritzCX</w:t>
      </w:r>
      <w:proofErr w:type="spellEnd"/>
      <w:r w:rsidR="00673A3C" w:rsidRPr="00C16BF9">
        <w:rPr>
          <w:sz w:val="20"/>
          <w:szCs w:val="20"/>
        </w:rPr>
        <w:t xml:space="preserve"> data with 15 fusion records from NHTS dataset we are estimating models with 5000*15 records. Given the number of comparisons we do across </w:t>
      </w:r>
      <w:r w:rsidR="005E0697" w:rsidRPr="00C16BF9">
        <w:rPr>
          <w:sz w:val="20"/>
          <w:szCs w:val="20"/>
        </w:rPr>
        <w:t xml:space="preserve">variable </w:t>
      </w:r>
      <w:r w:rsidR="00673A3C" w:rsidRPr="00C16BF9">
        <w:rPr>
          <w:sz w:val="20"/>
          <w:szCs w:val="20"/>
        </w:rPr>
        <w:t>combinations and fusion sizes, the sampling approach offers a reasonable compromise.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7059E" w14:textId="5621E547" w:rsidR="0010499D" w:rsidRDefault="0010499D" w:rsidP="00914343">
    <w:pPr>
      <w:pStyle w:val="Header"/>
      <w:ind w:firstLine="0"/>
    </w:pPr>
    <w:r>
      <w:t>Jahan, Bhowmik, Borjigin, Lou,</w:t>
    </w:r>
    <w:r w:rsidR="000D076D">
      <w:t xml:space="preserve"> </w:t>
    </w:r>
    <w:r>
      <w:t>Ugw</w:t>
    </w:r>
    <w:r w:rsidR="00D60D07">
      <w:t>u, Niemeier, Eluru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7C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142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85AF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8534D5"/>
    <w:multiLevelType w:val="hybridMultilevel"/>
    <w:tmpl w:val="5DA4E424"/>
    <w:lvl w:ilvl="0" w:tplc="EB14F498">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3BBF60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C46E59"/>
    <w:multiLevelType w:val="hybridMultilevel"/>
    <w:tmpl w:val="41DC19AC"/>
    <w:lvl w:ilvl="0" w:tplc="258E0B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91C90"/>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6B082C"/>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0D4C97"/>
    <w:multiLevelType w:val="hybridMultilevel"/>
    <w:tmpl w:val="6B6216D8"/>
    <w:lvl w:ilvl="0" w:tplc="25C688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6455E"/>
    <w:multiLevelType w:val="hybridMultilevel"/>
    <w:tmpl w:val="D9C60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F6B95"/>
    <w:multiLevelType w:val="multilevel"/>
    <w:tmpl w:val="04090025"/>
    <w:lvl w:ilvl="0">
      <w:start w:val="1"/>
      <w:numFmt w:val="decimal"/>
      <w:pStyle w:val="Heading1"/>
      <w:lvlText w:val="%1"/>
      <w:lvlJc w:val="left"/>
      <w:pPr>
        <w:ind w:left="432" w:hanging="432"/>
      </w:pPr>
      <w:rPr>
        <w:rFonts w:hint="default"/>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16225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0A406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FE67D8"/>
    <w:multiLevelType w:val="hybridMultilevel"/>
    <w:tmpl w:val="ACBE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595233">
    <w:abstractNumId w:val="3"/>
  </w:num>
  <w:num w:numId="2" w16cid:durableId="761880111">
    <w:abstractNumId w:val="7"/>
  </w:num>
  <w:num w:numId="3" w16cid:durableId="41515560">
    <w:abstractNumId w:val="6"/>
  </w:num>
  <w:num w:numId="4" w16cid:durableId="2085911338">
    <w:abstractNumId w:val="0"/>
  </w:num>
  <w:num w:numId="5" w16cid:durableId="384331657">
    <w:abstractNumId w:val="8"/>
  </w:num>
  <w:num w:numId="6" w16cid:durableId="1694989448">
    <w:abstractNumId w:val="10"/>
  </w:num>
  <w:num w:numId="7" w16cid:durableId="2063939603">
    <w:abstractNumId w:val="9"/>
  </w:num>
  <w:num w:numId="8" w16cid:durableId="1175607640">
    <w:abstractNumId w:val="5"/>
  </w:num>
  <w:num w:numId="9" w16cid:durableId="871264716">
    <w:abstractNumId w:val="12"/>
  </w:num>
  <w:num w:numId="10" w16cid:durableId="1652758394">
    <w:abstractNumId w:val="1"/>
  </w:num>
  <w:num w:numId="11" w16cid:durableId="756748893">
    <w:abstractNumId w:val="4"/>
  </w:num>
  <w:num w:numId="12" w16cid:durableId="504326518">
    <w:abstractNumId w:val="2"/>
  </w:num>
  <w:num w:numId="13" w16cid:durableId="1061290973">
    <w:abstractNumId w:val="11"/>
  </w:num>
  <w:num w:numId="14" w16cid:durableId="584072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1B"/>
    <w:rsid w:val="00000355"/>
    <w:rsid w:val="000006D6"/>
    <w:rsid w:val="00000CE4"/>
    <w:rsid w:val="000012D9"/>
    <w:rsid w:val="00001C8E"/>
    <w:rsid w:val="00003321"/>
    <w:rsid w:val="00003F00"/>
    <w:rsid w:val="000040CA"/>
    <w:rsid w:val="0000683A"/>
    <w:rsid w:val="00006D3A"/>
    <w:rsid w:val="0000723A"/>
    <w:rsid w:val="00007833"/>
    <w:rsid w:val="00010FE8"/>
    <w:rsid w:val="00012857"/>
    <w:rsid w:val="000140DA"/>
    <w:rsid w:val="00015C31"/>
    <w:rsid w:val="000169BD"/>
    <w:rsid w:val="00016DD1"/>
    <w:rsid w:val="00020A48"/>
    <w:rsid w:val="0002103B"/>
    <w:rsid w:val="00022957"/>
    <w:rsid w:val="00022A68"/>
    <w:rsid w:val="00022B53"/>
    <w:rsid w:val="0002312E"/>
    <w:rsid w:val="000241BB"/>
    <w:rsid w:val="0002539F"/>
    <w:rsid w:val="00026338"/>
    <w:rsid w:val="00030B9A"/>
    <w:rsid w:val="00031866"/>
    <w:rsid w:val="0003194E"/>
    <w:rsid w:val="000328D2"/>
    <w:rsid w:val="0003477B"/>
    <w:rsid w:val="00034E28"/>
    <w:rsid w:val="00036587"/>
    <w:rsid w:val="00036AAE"/>
    <w:rsid w:val="0003723B"/>
    <w:rsid w:val="00037547"/>
    <w:rsid w:val="00037A7C"/>
    <w:rsid w:val="00040A96"/>
    <w:rsid w:val="0004139B"/>
    <w:rsid w:val="0004265F"/>
    <w:rsid w:val="00042AC5"/>
    <w:rsid w:val="00043940"/>
    <w:rsid w:val="000459B4"/>
    <w:rsid w:val="00045CFD"/>
    <w:rsid w:val="000466A2"/>
    <w:rsid w:val="00046B9F"/>
    <w:rsid w:val="00046CAD"/>
    <w:rsid w:val="00046F61"/>
    <w:rsid w:val="0004701A"/>
    <w:rsid w:val="00050421"/>
    <w:rsid w:val="00050A83"/>
    <w:rsid w:val="0005100D"/>
    <w:rsid w:val="00051A57"/>
    <w:rsid w:val="00051ACF"/>
    <w:rsid w:val="00052940"/>
    <w:rsid w:val="00053493"/>
    <w:rsid w:val="00053848"/>
    <w:rsid w:val="000538C5"/>
    <w:rsid w:val="000539C8"/>
    <w:rsid w:val="00053C93"/>
    <w:rsid w:val="000543F3"/>
    <w:rsid w:val="000561E6"/>
    <w:rsid w:val="00057162"/>
    <w:rsid w:val="00057687"/>
    <w:rsid w:val="00061669"/>
    <w:rsid w:val="0006184B"/>
    <w:rsid w:val="00062647"/>
    <w:rsid w:val="0006276D"/>
    <w:rsid w:val="00063E16"/>
    <w:rsid w:val="000655DD"/>
    <w:rsid w:val="00065718"/>
    <w:rsid w:val="00070F44"/>
    <w:rsid w:val="00071181"/>
    <w:rsid w:val="000717F4"/>
    <w:rsid w:val="00072687"/>
    <w:rsid w:val="00075A7D"/>
    <w:rsid w:val="000762C1"/>
    <w:rsid w:val="0008021B"/>
    <w:rsid w:val="000805BB"/>
    <w:rsid w:val="00083318"/>
    <w:rsid w:val="00083A2D"/>
    <w:rsid w:val="000854E3"/>
    <w:rsid w:val="00085961"/>
    <w:rsid w:val="00085A35"/>
    <w:rsid w:val="00087DBA"/>
    <w:rsid w:val="0009041E"/>
    <w:rsid w:val="000904CD"/>
    <w:rsid w:val="000905A6"/>
    <w:rsid w:val="0009070D"/>
    <w:rsid w:val="000907F8"/>
    <w:rsid w:val="00090D40"/>
    <w:rsid w:val="0009142F"/>
    <w:rsid w:val="00094492"/>
    <w:rsid w:val="00094E96"/>
    <w:rsid w:val="000955B9"/>
    <w:rsid w:val="000965C9"/>
    <w:rsid w:val="000A0561"/>
    <w:rsid w:val="000A1CF9"/>
    <w:rsid w:val="000A3EB1"/>
    <w:rsid w:val="000A44B0"/>
    <w:rsid w:val="000A5095"/>
    <w:rsid w:val="000A50B1"/>
    <w:rsid w:val="000A5AFD"/>
    <w:rsid w:val="000A61E6"/>
    <w:rsid w:val="000A67D1"/>
    <w:rsid w:val="000A687B"/>
    <w:rsid w:val="000B25BC"/>
    <w:rsid w:val="000B35FB"/>
    <w:rsid w:val="000B3870"/>
    <w:rsid w:val="000B48C3"/>
    <w:rsid w:val="000B626E"/>
    <w:rsid w:val="000B6AF8"/>
    <w:rsid w:val="000B7B68"/>
    <w:rsid w:val="000C0D4F"/>
    <w:rsid w:val="000C15E4"/>
    <w:rsid w:val="000C1F4F"/>
    <w:rsid w:val="000C27E3"/>
    <w:rsid w:val="000C458B"/>
    <w:rsid w:val="000C5C9C"/>
    <w:rsid w:val="000C6554"/>
    <w:rsid w:val="000C7919"/>
    <w:rsid w:val="000D00BC"/>
    <w:rsid w:val="000D076D"/>
    <w:rsid w:val="000D0E27"/>
    <w:rsid w:val="000D129E"/>
    <w:rsid w:val="000D28BA"/>
    <w:rsid w:val="000D2AF5"/>
    <w:rsid w:val="000D2CBB"/>
    <w:rsid w:val="000D6288"/>
    <w:rsid w:val="000D710B"/>
    <w:rsid w:val="000E058A"/>
    <w:rsid w:val="000E0DC5"/>
    <w:rsid w:val="000E1236"/>
    <w:rsid w:val="000E1CB1"/>
    <w:rsid w:val="000E1F7F"/>
    <w:rsid w:val="000E24AB"/>
    <w:rsid w:val="000E2778"/>
    <w:rsid w:val="000E5052"/>
    <w:rsid w:val="000E5800"/>
    <w:rsid w:val="000E5F8B"/>
    <w:rsid w:val="000E7347"/>
    <w:rsid w:val="000F0BED"/>
    <w:rsid w:val="000F15BB"/>
    <w:rsid w:val="000F1AD6"/>
    <w:rsid w:val="000F1C1F"/>
    <w:rsid w:val="000F294C"/>
    <w:rsid w:val="000F4A8A"/>
    <w:rsid w:val="000F5073"/>
    <w:rsid w:val="000F53A6"/>
    <w:rsid w:val="000F543B"/>
    <w:rsid w:val="000F5A9B"/>
    <w:rsid w:val="000F5E5C"/>
    <w:rsid w:val="000F5F8D"/>
    <w:rsid w:val="000F679A"/>
    <w:rsid w:val="000F74D9"/>
    <w:rsid w:val="00100DA6"/>
    <w:rsid w:val="00102931"/>
    <w:rsid w:val="001037A3"/>
    <w:rsid w:val="0010499D"/>
    <w:rsid w:val="00104B69"/>
    <w:rsid w:val="00105F8C"/>
    <w:rsid w:val="00107864"/>
    <w:rsid w:val="00107DD4"/>
    <w:rsid w:val="00110104"/>
    <w:rsid w:val="001106A2"/>
    <w:rsid w:val="00110F13"/>
    <w:rsid w:val="001117F5"/>
    <w:rsid w:val="00111C8D"/>
    <w:rsid w:val="001123AC"/>
    <w:rsid w:val="00112A4D"/>
    <w:rsid w:val="00112D28"/>
    <w:rsid w:val="00113224"/>
    <w:rsid w:val="001136FE"/>
    <w:rsid w:val="00114DC9"/>
    <w:rsid w:val="00116495"/>
    <w:rsid w:val="00117779"/>
    <w:rsid w:val="00117A25"/>
    <w:rsid w:val="001202FC"/>
    <w:rsid w:val="001208E6"/>
    <w:rsid w:val="00120A59"/>
    <w:rsid w:val="0012178C"/>
    <w:rsid w:val="00121A6C"/>
    <w:rsid w:val="00122B05"/>
    <w:rsid w:val="00122B67"/>
    <w:rsid w:val="00124335"/>
    <w:rsid w:val="00127EAF"/>
    <w:rsid w:val="00130122"/>
    <w:rsid w:val="001311AC"/>
    <w:rsid w:val="0013133E"/>
    <w:rsid w:val="00131D99"/>
    <w:rsid w:val="00132866"/>
    <w:rsid w:val="00132AED"/>
    <w:rsid w:val="00135FCD"/>
    <w:rsid w:val="0013697D"/>
    <w:rsid w:val="00136A8A"/>
    <w:rsid w:val="00137BFF"/>
    <w:rsid w:val="00140BE1"/>
    <w:rsid w:val="001413B9"/>
    <w:rsid w:val="001413BD"/>
    <w:rsid w:val="00141504"/>
    <w:rsid w:val="001416EA"/>
    <w:rsid w:val="00141D7F"/>
    <w:rsid w:val="00142445"/>
    <w:rsid w:val="00143668"/>
    <w:rsid w:val="00143E8A"/>
    <w:rsid w:val="001457A2"/>
    <w:rsid w:val="00145C25"/>
    <w:rsid w:val="00146618"/>
    <w:rsid w:val="001476B0"/>
    <w:rsid w:val="00150DA2"/>
    <w:rsid w:val="00151AD7"/>
    <w:rsid w:val="001526C0"/>
    <w:rsid w:val="0015362A"/>
    <w:rsid w:val="001547E7"/>
    <w:rsid w:val="00156482"/>
    <w:rsid w:val="001578A9"/>
    <w:rsid w:val="00160053"/>
    <w:rsid w:val="00162293"/>
    <w:rsid w:val="00162402"/>
    <w:rsid w:val="00162FAE"/>
    <w:rsid w:val="00163474"/>
    <w:rsid w:val="001636A7"/>
    <w:rsid w:val="00163DC9"/>
    <w:rsid w:val="00164666"/>
    <w:rsid w:val="00164DEA"/>
    <w:rsid w:val="00164EB4"/>
    <w:rsid w:val="00165551"/>
    <w:rsid w:val="00166D9C"/>
    <w:rsid w:val="00170BA1"/>
    <w:rsid w:val="00170E69"/>
    <w:rsid w:val="00171818"/>
    <w:rsid w:val="00172B16"/>
    <w:rsid w:val="00173556"/>
    <w:rsid w:val="0017360E"/>
    <w:rsid w:val="0017437C"/>
    <w:rsid w:val="001743B9"/>
    <w:rsid w:val="0017549B"/>
    <w:rsid w:val="0018037C"/>
    <w:rsid w:val="0018059F"/>
    <w:rsid w:val="00183816"/>
    <w:rsid w:val="00183A90"/>
    <w:rsid w:val="00185601"/>
    <w:rsid w:val="00186059"/>
    <w:rsid w:val="001864FB"/>
    <w:rsid w:val="00186CC3"/>
    <w:rsid w:val="00186FA1"/>
    <w:rsid w:val="0018762C"/>
    <w:rsid w:val="00187B15"/>
    <w:rsid w:val="00187B80"/>
    <w:rsid w:val="00190711"/>
    <w:rsid w:val="00191F8E"/>
    <w:rsid w:val="00194514"/>
    <w:rsid w:val="001946C0"/>
    <w:rsid w:val="0019586C"/>
    <w:rsid w:val="0019612C"/>
    <w:rsid w:val="001A1CE4"/>
    <w:rsid w:val="001A50F7"/>
    <w:rsid w:val="001A5D55"/>
    <w:rsid w:val="001A5E95"/>
    <w:rsid w:val="001A5F1A"/>
    <w:rsid w:val="001A5F5B"/>
    <w:rsid w:val="001A651D"/>
    <w:rsid w:val="001B0ACA"/>
    <w:rsid w:val="001B10C6"/>
    <w:rsid w:val="001B1485"/>
    <w:rsid w:val="001B1C4B"/>
    <w:rsid w:val="001B244C"/>
    <w:rsid w:val="001B25C2"/>
    <w:rsid w:val="001B28E2"/>
    <w:rsid w:val="001B35DF"/>
    <w:rsid w:val="001B5119"/>
    <w:rsid w:val="001B52D9"/>
    <w:rsid w:val="001B53D5"/>
    <w:rsid w:val="001B7351"/>
    <w:rsid w:val="001B74B9"/>
    <w:rsid w:val="001B77CD"/>
    <w:rsid w:val="001B7B26"/>
    <w:rsid w:val="001B7D97"/>
    <w:rsid w:val="001C05C8"/>
    <w:rsid w:val="001C0F21"/>
    <w:rsid w:val="001C1BAF"/>
    <w:rsid w:val="001C1D45"/>
    <w:rsid w:val="001C24D9"/>
    <w:rsid w:val="001C2903"/>
    <w:rsid w:val="001C4506"/>
    <w:rsid w:val="001C57C1"/>
    <w:rsid w:val="001C7C09"/>
    <w:rsid w:val="001C7D73"/>
    <w:rsid w:val="001D00F0"/>
    <w:rsid w:val="001D0176"/>
    <w:rsid w:val="001D065A"/>
    <w:rsid w:val="001D0E91"/>
    <w:rsid w:val="001D112E"/>
    <w:rsid w:val="001D14C5"/>
    <w:rsid w:val="001D1CE1"/>
    <w:rsid w:val="001D3336"/>
    <w:rsid w:val="001D379B"/>
    <w:rsid w:val="001D3A1E"/>
    <w:rsid w:val="001D3EEC"/>
    <w:rsid w:val="001D52CE"/>
    <w:rsid w:val="001D584D"/>
    <w:rsid w:val="001D5BBC"/>
    <w:rsid w:val="001D677F"/>
    <w:rsid w:val="001D6D85"/>
    <w:rsid w:val="001D7984"/>
    <w:rsid w:val="001E038D"/>
    <w:rsid w:val="001E089B"/>
    <w:rsid w:val="001E0D13"/>
    <w:rsid w:val="001E19E9"/>
    <w:rsid w:val="001E205E"/>
    <w:rsid w:val="001E25A2"/>
    <w:rsid w:val="001E2EAF"/>
    <w:rsid w:val="001E3CD7"/>
    <w:rsid w:val="001E462F"/>
    <w:rsid w:val="001E487A"/>
    <w:rsid w:val="001E4D32"/>
    <w:rsid w:val="001E5478"/>
    <w:rsid w:val="001F06D8"/>
    <w:rsid w:val="001F0D7F"/>
    <w:rsid w:val="001F2A1E"/>
    <w:rsid w:val="001F38DC"/>
    <w:rsid w:val="001F4206"/>
    <w:rsid w:val="001F42AB"/>
    <w:rsid w:val="001F43DC"/>
    <w:rsid w:val="001F657F"/>
    <w:rsid w:val="001F6F20"/>
    <w:rsid w:val="001F7A3F"/>
    <w:rsid w:val="00200873"/>
    <w:rsid w:val="00200CBF"/>
    <w:rsid w:val="00200F10"/>
    <w:rsid w:val="0020379F"/>
    <w:rsid w:val="00204D4A"/>
    <w:rsid w:val="00204E1B"/>
    <w:rsid w:val="00205166"/>
    <w:rsid w:val="00205B38"/>
    <w:rsid w:val="00205D8A"/>
    <w:rsid w:val="00206793"/>
    <w:rsid w:val="00211F23"/>
    <w:rsid w:val="00212E9C"/>
    <w:rsid w:val="00213221"/>
    <w:rsid w:val="0021327D"/>
    <w:rsid w:val="002137CC"/>
    <w:rsid w:val="0021528E"/>
    <w:rsid w:val="00215B1A"/>
    <w:rsid w:val="0021636D"/>
    <w:rsid w:val="002166B5"/>
    <w:rsid w:val="00217676"/>
    <w:rsid w:val="00220361"/>
    <w:rsid w:val="00221734"/>
    <w:rsid w:val="00223583"/>
    <w:rsid w:val="00231329"/>
    <w:rsid w:val="0023142B"/>
    <w:rsid w:val="0023160D"/>
    <w:rsid w:val="00231BF0"/>
    <w:rsid w:val="00232936"/>
    <w:rsid w:val="00233C85"/>
    <w:rsid w:val="0023606D"/>
    <w:rsid w:val="00236CA3"/>
    <w:rsid w:val="00237297"/>
    <w:rsid w:val="002406DC"/>
    <w:rsid w:val="00240B51"/>
    <w:rsid w:val="00242230"/>
    <w:rsid w:val="00242F5F"/>
    <w:rsid w:val="00243C41"/>
    <w:rsid w:val="00243D1B"/>
    <w:rsid w:val="00244251"/>
    <w:rsid w:val="00246733"/>
    <w:rsid w:val="00247C48"/>
    <w:rsid w:val="00247E75"/>
    <w:rsid w:val="0025027E"/>
    <w:rsid w:val="00250656"/>
    <w:rsid w:val="00250842"/>
    <w:rsid w:val="00250DB0"/>
    <w:rsid w:val="00251A37"/>
    <w:rsid w:val="00251F1E"/>
    <w:rsid w:val="00252318"/>
    <w:rsid w:val="00252C91"/>
    <w:rsid w:val="00254DB5"/>
    <w:rsid w:val="0025562D"/>
    <w:rsid w:val="00255EAB"/>
    <w:rsid w:val="00256466"/>
    <w:rsid w:val="00256532"/>
    <w:rsid w:val="0025659A"/>
    <w:rsid w:val="0025660E"/>
    <w:rsid w:val="00256769"/>
    <w:rsid w:val="0025681A"/>
    <w:rsid w:val="00257413"/>
    <w:rsid w:val="0026095F"/>
    <w:rsid w:val="00260A69"/>
    <w:rsid w:val="0026141C"/>
    <w:rsid w:val="002618F1"/>
    <w:rsid w:val="00261F2D"/>
    <w:rsid w:val="00262888"/>
    <w:rsid w:val="00262BC9"/>
    <w:rsid w:val="00262E31"/>
    <w:rsid w:val="0026370F"/>
    <w:rsid w:val="002637CD"/>
    <w:rsid w:val="00263E42"/>
    <w:rsid w:val="00264106"/>
    <w:rsid w:val="00264444"/>
    <w:rsid w:val="00264706"/>
    <w:rsid w:val="00264864"/>
    <w:rsid w:val="00265C4B"/>
    <w:rsid w:val="002660C8"/>
    <w:rsid w:val="00267A32"/>
    <w:rsid w:val="00270226"/>
    <w:rsid w:val="0027079E"/>
    <w:rsid w:val="00271146"/>
    <w:rsid w:val="00271C4B"/>
    <w:rsid w:val="00271FB8"/>
    <w:rsid w:val="00272634"/>
    <w:rsid w:val="0027306C"/>
    <w:rsid w:val="00273CDE"/>
    <w:rsid w:val="00275DA2"/>
    <w:rsid w:val="002761AE"/>
    <w:rsid w:val="00277229"/>
    <w:rsid w:val="00281398"/>
    <w:rsid w:val="00284CC5"/>
    <w:rsid w:val="00285080"/>
    <w:rsid w:val="002850F8"/>
    <w:rsid w:val="002853B8"/>
    <w:rsid w:val="002855B3"/>
    <w:rsid w:val="002866CF"/>
    <w:rsid w:val="00291596"/>
    <w:rsid w:val="002930E2"/>
    <w:rsid w:val="0029542B"/>
    <w:rsid w:val="0029564B"/>
    <w:rsid w:val="002A0E71"/>
    <w:rsid w:val="002A184E"/>
    <w:rsid w:val="002A18AC"/>
    <w:rsid w:val="002A1F6B"/>
    <w:rsid w:val="002A2C22"/>
    <w:rsid w:val="002A3737"/>
    <w:rsid w:val="002A3A06"/>
    <w:rsid w:val="002A48A9"/>
    <w:rsid w:val="002A5761"/>
    <w:rsid w:val="002A6090"/>
    <w:rsid w:val="002A6A7D"/>
    <w:rsid w:val="002A7151"/>
    <w:rsid w:val="002A7C0E"/>
    <w:rsid w:val="002A7C36"/>
    <w:rsid w:val="002B012D"/>
    <w:rsid w:val="002B0212"/>
    <w:rsid w:val="002B05B4"/>
    <w:rsid w:val="002B0EA6"/>
    <w:rsid w:val="002B17EE"/>
    <w:rsid w:val="002B1C02"/>
    <w:rsid w:val="002B23F8"/>
    <w:rsid w:val="002B3F12"/>
    <w:rsid w:val="002B46B9"/>
    <w:rsid w:val="002B4846"/>
    <w:rsid w:val="002B502C"/>
    <w:rsid w:val="002B56BE"/>
    <w:rsid w:val="002B6339"/>
    <w:rsid w:val="002B6A63"/>
    <w:rsid w:val="002B7592"/>
    <w:rsid w:val="002C0000"/>
    <w:rsid w:val="002C0DA5"/>
    <w:rsid w:val="002C2C70"/>
    <w:rsid w:val="002C3AE3"/>
    <w:rsid w:val="002D10F4"/>
    <w:rsid w:val="002D1577"/>
    <w:rsid w:val="002D1A80"/>
    <w:rsid w:val="002D2228"/>
    <w:rsid w:val="002D3388"/>
    <w:rsid w:val="002D39FF"/>
    <w:rsid w:val="002D4B02"/>
    <w:rsid w:val="002D5BE5"/>
    <w:rsid w:val="002D63F0"/>
    <w:rsid w:val="002D7358"/>
    <w:rsid w:val="002D7664"/>
    <w:rsid w:val="002D78FC"/>
    <w:rsid w:val="002D7EDD"/>
    <w:rsid w:val="002E0063"/>
    <w:rsid w:val="002E1B9B"/>
    <w:rsid w:val="002E261B"/>
    <w:rsid w:val="002E3027"/>
    <w:rsid w:val="002E31C9"/>
    <w:rsid w:val="002E53D5"/>
    <w:rsid w:val="002E57D3"/>
    <w:rsid w:val="002E6392"/>
    <w:rsid w:val="002E6F00"/>
    <w:rsid w:val="002E7737"/>
    <w:rsid w:val="002E7F35"/>
    <w:rsid w:val="002F0CE2"/>
    <w:rsid w:val="002F1634"/>
    <w:rsid w:val="002F3082"/>
    <w:rsid w:val="002F4F40"/>
    <w:rsid w:val="002F5711"/>
    <w:rsid w:val="002F6CEB"/>
    <w:rsid w:val="002F70DD"/>
    <w:rsid w:val="002F7560"/>
    <w:rsid w:val="00300003"/>
    <w:rsid w:val="003008B8"/>
    <w:rsid w:val="00302482"/>
    <w:rsid w:val="003032D9"/>
    <w:rsid w:val="003036B0"/>
    <w:rsid w:val="00304106"/>
    <w:rsid w:val="003043BC"/>
    <w:rsid w:val="003050DB"/>
    <w:rsid w:val="003056DF"/>
    <w:rsid w:val="00306677"/>
    <w:rsid w:val="00311B91"/>
    <w:rsid w:val="0031250C"/>
    <w:rsid w:val="0031348F"/>
    <w:rsid w:val="003134D4"/>
    <w:rsid w:val="003146AB"/>
    <w:rsid w:val="00317FF7"/>
    <w:rsid w:val="0032074F"/>
    <w:rsid w:val="0032082E"/>
    <w:rsid w:val="00321932"/>
    <w:rsid w:val="00322BAA"/>
    <w:rsid w:val="00324ACA"/>
    <w:rsid w:val="003259FD"/>
    <w:rsid w:val="003261A6"/>
    <w:rsid w:val="00326EED"/>
    <w:rsid w:val="0033263B"/>
    <w:rsid w:val="00332BD8"/>
    <w:rsid w:val="003344BE"/>
    <w:rsid w:val="003344F5"/>
    <w:rsid w:val="00334D99"/>
    <w:rsid w:val="00334F4A"/>
    <w:rsid w:val="00335473"/>
    <w:rsid w:val="00335C6E"/>
    <w:rsid w:val="00337E2A"/>
    <w:rsid w:val="0034043B"/>
    <w:rsid w:val="00340BA7"/>
    <w:rsid w:val="00341A94"/>
    <w:rsid w:val="00344487"/>
    <w:rsid w:val="003450D3"/>
    <w:rsid w:val="003506DE"/>
    <w:rsid w:val="00351118"/>
    <w:rsid w:val="00352C7F"/>
    <w:rsid w:val="00353C38"/>
    <w:rsid w:val="00353C8B"/>
    <w:rsid w:val="00354EA9"/>
    <w:rsid w:val="00355562"/>
    <w:rsid w:val="00355E23"/>
    <w:rsid w:val="00357E64"/>
    <w:rsid w:val="00360D2E"/>
    <w:rsid w:val="00361D5D"/>
    <w:rsid w:val="00363549"/>
    <w:rsid w:val="00365099"/>
    <w:rsid w:val="00366C5C"/>
    <w:rsid w:val="00367190"/>
    <w:rsid w:val="00367285"/>
    <w:rsid w:val="0036741E"/>
    <w:rsid w:val="00367A20"/>
    <w:rsid w:val="00367FFE"/>
    <w:rsid w:val="00370331"/>
    <w:rsid w:val="00370777"/>
    <w:rsid w:val="0037144C"/>
    <w:rsid w:val="003714D0"/>
    <w:rsid w:val="0037162F"/>
    <w:rsid w:val="003719A8"/>
    <w:rsid w:val="0037236A"/>
    <w:rsid w:val="003752AE"/>
    <w:rsid w:val="00375F01"/>
    <w:rsid w:val="0037731E"/>
    <w:rsid w:val="0037784F"/>
    <w:rsid w:val="00377CF5"/>
    <w:rsid w:val="0038443E"/>
    <w:rsid w:val="003862F8"/>
    <w:rsid w:val="00386E53"/>
    <w:rsid w:val="00386F54"/>
    <w:rsid w:val="003879AF"/>
    <w:rsid w:val="00391594"/>
    <w:rsid w:val="0039195D"/>
    <w:rsid w:val="00393A6C"/>
    <w:rsid w:val="003979EA"/>
    <w:rsid w:val="003A0888"/>
    <w:rsid w:val="003A0DB1"/>
    <w:rsid w:val="003A122B"/>
    <w:rsid w:val="003A1837"/>
    <w:rsid w:val="003A1C93"/>
    <w:rsid w:val="003A2E56"/>
    <w:rsid w:val="003A3E4C"/>
    <w:rsid w:val="003A5C17"/>
    <w:rsid w:val="003B0238"/>
    <w:rsid w:val="003B0CA1"/>
    <w:rsid w:val="003B0E5B"/>
    <w:rsid w:val="003B33AF"/>
    <w:rsid w:val="003B349D"/>
    <w:rsid w:val="003B3AAF"/>
    <w:rsid w:val="003B402D"/>
    <w:rsid w:val="003B408E"/>
    <w:rsid w:val="003B40D1"/>
    <w:rsid w:val="003B41F4"/>
    <w:rsid w:val="003B4CDB"/>
    <w:rsid w:val="003B59BB"/>
    <w:rsid w:val="003C02E3"/>
    <w:rsid w:val="003C110D"/>
    <w:rsid w:val="003C361D"/>
    <w:rsid w:val="003C3820"/>
    <w:rsid w:val="003C3FE7"/>
    <w:rsid w:val="003C5D91"/>
    <w:rsid w:val="003C6274"/>
    <w:rsid w:val="003C6479"/>
    <w:rsid w:val="003C68E0"/>
    <w:rsid w:val="003C6997"/>
    <w:rsid w:val="003D00BC"/>
    <w:rsid w:val="003D1123"/>
    <w:rsid w:val="003D203E"/>
    <w:rsid w:val="003D277F"/>
    <w:rsid w:val="003D2981"/>
    <w:rsid w:val="003D3253"/>
    <w:rsid w:val="003D32C3"/>
    <w:rsid w:val="003D3507"/>
    <w:rsid w:val="003D3CBF"/>
    <w:rsid w:val="003D5556"/>
    <w:rsid w:val="003D6790"/>
    <w:rsid w:val="003D6910"/>
    <w:rsid w:val="003D6DAB"/>
    <w:rsid w:val="003D6EC1"/>
    <w:rsid w:val="003D6F47"/>
    <w:rsid w:val="003D6FBC"/>
    <w:rsid w:val="003D74DE"/>
    <w:rsid w:val="003E28B4"/>
    <w:rsid w:val="003E2B0F"/>
    <w:rsid w:val="003E320F"/>
    <w:rsid w:val="003E3244"/>
    <w:rsid w:val="003E348E"/>
    <w:rsid w:val="003E51F4"/>
    <w:rsid w:val="003E6601"/>
    <w:rsid w:val="003E6605"/>
    <w:rsid w:val="003E6B7C"/>
    <w:rsid w:val="003E7AEE"/>
    <w:rsid w:val="003F000A"/>
    <w:rsid w:val="003F0817"/>
    <w:rsid w:val="003F08FB"/>
    <w:rsid w:val="003F1660"/>
    <w:rsid w:val="003F3062"/>
    <w:rsid w:val="003F3B0A"/>
    <w:rsid w:val="003F4092"/>
    <w:rsid w:val="003F5E93"/>
    <w:rsid w:val="003F606D"/>
    <w:rsid w:val="003F63F4"/>
    <w:rsid w:val="003F7888"/>
    <w:rsid w:val="003F7B5B"/>
    <w:rsid w:val="0040067C"/>
    <w:rsid w:val="00400932"/>
    <w:rsid w:val="00401F6C"/>
    <w:rsid w:val="00402482"/>
    <w:rsid w:val="0040423F"/>
    <w:rsid w:val="0040430A"/>
    <w:rsid w:val="004049FD"/>
    <w:rsid w:val="00404F86"/>
    <w:rsid w:val="00404FC2"/>
    <w:rsid w:val="00406189"/>
    <w:rsid w:val="004062BF"/>
    <w:rsid w:val="00407E3D"/>
    <w:rsid w:val="00410947"/>
    <w:rsid w:val="00410A37"/>
    <w:rsid w:val="00412028"/>
    <w:rsid w:val="00412064"/>
    <w:rsid w:val="00412AEB"/>
    <w:rsid w:val="00417567"/>
    <w:rsid w:val="00420B7A"/>
    <w:rsid w:val="004252C5"/>
    <w:rsid w:val="004252D4"/>
    <w:rsid w:val="004258FA"/>
    <w:rsid w:val="00425FFC"/>
    <w:rsid w:val="004262D8"/>
    <w:rsid w:val="004269EB"/>
    <w:rsid w:val="00426B79"/>
    <w:rsid w:val="00427518"/>
    <w:rsid w:val="00427D69"/>
    <w:rsid w:val="00431B1D"/>
    <w:rsid w:val="00432A8B"/>
    <w:rsid w:val="00432AFD"/>
    <w:rsid w:val="00432B74"/>
    <w:rsid w:val="00432B8D"/>
    <w:rsid w:val="00433759"/>
    <w:rsid w:val="0043594E"/>
    <w:rsid w:val="00436B0D"/>
    <w:rsid w:val="00437E77"/>
    <w:rsid w:val="004401E8"/>
    <w:rsid w:val="00440E3A"/>
    <w:rsid w:val="004417FB"/>
    <w:rsid w:val="004426AB"/>
    <w:rsid w:val="004429C9"/>
    <w:rsid w:val="00444291"/>
    <w:rsid w:val="00445ED6"/>
    <w:rsid w:val="00447F26"/>
    <w:rsid w:val="00451305"/>
    <w:rsid w:val="004518AF"/>
    <w:rsid w:val="004519F8"/>
    <w:rsid w:val="00451BA0"/>
    <w:rsid w:val="004523DA"/>
    <w:rsid w:val="004529AE"/>
    <w:rsid w:val="00454FE4"/>
    <w:rsid w:val="00455C87"/>
    <w:rsid w:val="00456C68"/>
    <w:rsid w:val="00457A14"/>
    <w:rsid w:val="00460A0A"/>
    <w:rsid w:val="00463439"/>
    <w:rsid w:val="00463D84"/>
    <w:rsid w:val="00464843"/>
    <w:rsid w:val="00465D67"/>
    <w:rsid w:val="004664DF"/>
    <w:rsid w:val="0047147B"/>
    <w:rsid w:val="00471846"/>
    <w:rsid w:val="00472ABB"/>
    <w:rsid w:val="0047406A"/>
    <w:rsid w:val="004749AC"/>
    <w:rsid w:val="00474A67"/>
    <w:rsid w:val="00476049"/>
    <w:rsid w:val="00477002"/>
    <w:rsid w:val="004777AF"/>
    <w:rsid w:val="00477C6B"/>
    <w:rsid w:val="00480FE3"/>
    <w:rsid w:val="004814B3"/>
    <w:rsid w:val="0048219B"/>
    <w:rsid w:val="004826A2"/>
    <w:rsid w:val="00482B9E"/>
    <w:rsid w:val="0048325A"/>
    <w:rsid w:val="00483D23"/>
    <w:rsid w:val="00484485"/>
    <w:rsid w:val="00485698"/>
    <w:rsid w:val="0048571C"/>
    <w:rsid w:val="00485EFC"/>
    <w:rsid w:val="004862DD"/>
    <w:rsid w:val="00486A53"/>
    <w:rsid w:val="004878B9"/>
    <w:rsid w:val="00490303"/>
    <w:rsid w:val="00490DE3"/>
    <w:rsid w:val="0049106E"/>
    <w:rsid w:val="00491F87"/>
    <w:rsid w:val="00492A24"/>
    <w:rsid w:val="00492AF0"/>
    <w:rsid w:val="00492AF1"/>
    <w:rsid w:val="00496159"/>
    <w:rsid w:val="004968B8"/>
    <w:rsid w:val="00496B9C"/>
    <w:rsid w:val="004979EB"/>
    <w:rsid w:val="00497B43"/>
    <w:rsid w:val="004A0375"/>
    <w:rsid w:val="004A0CFF"/>
    <w:rsid w:val="004A15F5"/>
    <w:rsid w:val="004A2226"/>
    <w:rsid w:val="004A3256"/>
    <w:rsid w:val="004A4102"/>
    <w:rsid w:val="004A6E4F"/>
    <w:rsid w:val="004A731F"/>
    <w:rsid w:val="004A7C9C"/>
    <w:rsid w:val="004B29AB"/>
    <w:rsid w:val="004B2D5D"/>
    <w:rsid w:val="004B318C"/>
    <w:rsid w:val="004B3FE6"/>
    <w:rsid w:val="004B6B93"/>
    <w:rsid w:val="004B6DC2"/>
    <w:rsid w:val="004C060E"/>
    <w:rsid w:val="004C07E5"/>
    <w:rsid w:val="004C1D15"/>
    <w:rsid w:val="004C3BC7"/>
    <w:rsid w:val="004C3BD8"/>
    <w:rsid w:val="004C59F9"/>
    <w:rsid w:val="004C6471"/>
    <w:rsid w:val="004D1C01"/>
    <w:rsid w:val="004D4C4A"/>
    <w:rsid w:val="004D5404"/>
    <w:rsid w:val="004D5C13"/>
    <w:rsid w:val="004D75DA"/>
    <w:rsid w:val="004D7725"/>
    <w:rsid w:val="004E0C7A"/>
    <w:rsid w:val="004E0C8D"/>
    <w:rsid w:val="004E44D0"/>
    <w:rsid w:val="004E481E"/>
    <w:rsid w:val="004E5EB9"/>
    <w:rsid w:val="004E6C5B"/>
    <w:rsid w:val="004E7C64"/>
    <w:rsid w:val="004E7D42"/>
    <w:rsid w:val="004E7DCC"/>
    <w:rsid w:val="004F1DDD"/>
    <w:rsid w:val="004F23C5"/>
    <w:rsid w:val="004F3140"/>
    <w:rsid w:val="004F4453"/>
    <w:rsid w:val="004F53AD"/>
    <w:rsid w:val="004F54FC"/>
    <w:rsid w:val="004F61CA"/>
    <w:rsid w:val="004F73FB"/>
    <w:rsid w:val="004F7D03"/>
    <w:rsid w:val="0050176C"/>
    <w:rsid w:val="00502877"/>
    <w:rsid w:val="00502DA8"/>
    <w:rsid w:val="005038B5"/>
    <w:rsid w:val="00506B7B"/>
    <w:rsid w:val="00506F2A"/>
    <w:rsid w:val="005072DB"/>
    <w:rsid w:val="005106FD"/>
    <w:rsid w:val="00511264"/>
    <w:rsid w:val="00511E4E"/>
    <w:rsid w:val="00511FAD"/>
    <w:rsid w:val="00512267"/>
    <w:rsid w:val="00513A04"/>
    <w:rsid w:val="00513F36"/>
    <w:rsid w:val="005145F2"/>
    <w:rsid w:val="00514A00"/>
    <w:rsid w:val="0051590D"/>
    <w:rsid w:val="00517C75"/>
    <w:rsid w:val="00521511"/>
    <w:rsid w:val="005225C0"/>
    <w:rsid w:val="00523925"/>
    <w:rsid w:val="00523C13"/>
    <w:rsid w:val="00525948"/>
    <w:rsid w:val="00525AD5"/>
    <w:rsid w:val="00526833"/>
    <w:rsid w:val="0052689E"/>
    <w:rsid w:val="00530C6A"/>
    <w:rsid w:val="00530E69"/>
    <w:rsid w:val="005313F7"/>
    <w:rsid w:val="00531522"/>
    <w:rsid w:val="0053195C"/>
    <w:rsid w:val="005321F8"/>
    <w:rsid w:val="005345B0"/>
    <w:rsid w:val="005346B2"/>
    <w:rsid w:val="00534B82"/>
    <w:rsid w:val="00534F40"/>
    <w:rsid w:val="0053514F"/>
    <w:rsid w:val="00536CC7"/>
    <w:rsid w:val="00537E4E"/>
    <w:rsid w:val="0054262A"/>
    <w:rsid w:val="00543FE3"/>
    <w:rsid w:val="005443C7"/>
    <w:rsid w:val="00544614"/>
    <w:rsid w:val="00544A11"/>
    <w:rsid w:val="00545579"/>
    <w:rsid w:val="00545ECC"/>
    <w:rsid w:val="00546030"/>
    <w:rsid w:val="0054653F"/>
    <w:rsid w:val="0054770A"/>
    <w:rsid w:val="00547A4C"/>
    <w:rsid w:val="005513FE"/>
    <w:rsid w:val="00551B78"/>
    <w:rsid w:val="00551E18"/>
    <w:rsid w:val="005527BE"/>
    <w:rsid w:val="005532A6"/>
    <w:rsid w:val="00553C2C"/>
    <w:rsid w:val="00555CFD"/>
    <w:rsid w:val="00556C77"/>
    <w:rsid w:val="00560614"/>
    <w:rsid w:val="00560D84"/>
    <w:rsid w:val="005621F7"/>
    <w:rsid w:val="00562596"/>
    <w:rsid w:val="00562D57"/>
    <w:rsid w:val="00564B39"/>
    <w:rsid w:val="00566B9F"/>
    <w:rsid w:val="00570A52"/>
    <w:rsid w:val="00572B7C"/>
    <w:rsid w:val="005747AA"/>
    <w:rsid w:val="00575589"/>
    <w:rsid w:val="00575CEA"/>
    <w:rsid w:val="00575FBA"/>
    <w:rsid w:val="00576152"/>
    <w:rsid w:val="00577884"/>
    <w:rsid w:val="00577A10"/>
    <w:rsid w:val="00580700"/>
    <w:rsid w:val="00580AC5"/>
    <w:rsid w:val="005823AB"/>
    <w:rsid w:val="00585954"/>
    <w:rsid w:val="00585C31"/>
    <w:rsid w:val="00587367"/>
    <w:rsid w:val="00590669"/>
    <w:rsid w:val="00590925"/>
    <w:rsid w:val="00591A82"/>
    <w:rsid w:val="00592D22"/>
    <w:rsid w:val="005941EE"/>
    <w:rsid w:val="005946A4"/>
    <w:rsid w:val="00596DAD"/>
    <w:rsid w:val="00597484"/>
    <w:rsid w:val="005A0120"/>
    <w:rsid w:val="005A2868"/>
    <w:rsid w:val="005A3A53"/>
    <w:rsid w:val="005A5069"/>
    <w:rsid w:val="005A5294"/>
    <w:rsid w:val="005A537C"/>
    <w:rsid w:val="005A5471"/>
    <w:rsid w:val="005A5C28"/>
    <w:rsid w:val="005A679F"/>
    <w:rsid w:val="005A6E51"/>
    <w:rsid w:val="005B1867"/>
    <w:rsid w:val="005B271F"/>
    <w:rsid w:val="005B283C"/>
    <w:rsid w:val="005B2CCE"/>
    <w:rsid w:val="005B3C32"/>
    <w:rsid w:val="005B74B3"/>
    <w:rsid w:val="005B782D"/>
    <w:rsid w:val="005B7C88"/>
    <w:rsid w:val="005C019C"/>
    <w:rsid w:val="005C04B4"/>
    <w:rsid w:val="005C1071"/>
    <w:rsid w:val="005C1231"/>
    <w:rsid w:val="005C491B"/>
    <w:rsid w:val="005C562D"/>
    <w:rsid w:val="005D002F"/>
    <w:rsid w:val="005D2BD0"/>
    <w:rsid w:val="005D5856"/>
    <w:rsid w:val="005D617D"/>
    <w:rsid w:val="005D61E5"/>
    <w:rsid w:val="005D66DD"/>
    <w:rsid w:val="005D6CC4"/>
    <w:rsid w:val="005D6D22"/>
    <w:rsid w:val="005D7538"/>
    <w:rsid w:val="005D7C2E"/>
    <w:rsid w:val="005E0697"/>
    <w:rsid w:val="005E0DBE"/>
    <w:rsid w:val="005E46D8"/>
    <w:rsid w:val="005E4F55"/>
    <w:rsid w:val="005E52A4"/>
    <w:rsid w:val="005E574B"/>
    <w:rsid w:val="005E605D"/>
    <w:rsid w:val="005E744A"/>
    <w:rsid w:val="005E783C"/>
    <w:rsid w:val="005F0791"/>
    <w:rsid w:val="005F0A26"/>
    <w:rsid w:val="005F1CA9"/>
    <w:rsid w:val="005F1ECF"/>
    <w:rsid w:val="005F4C9A"/>
    <w:rsid w:val="005F504D"/>
    <w:rsid w:val="005F541E"/>
    <w:rsid w:val="005F5565"/>
    <w:rsid w:val="005F662C"/>
    <w:rsid w:val="005F7055"/>
    <w:rsid w:val="005F746A"/>
    <w:rsid w:val="005F76AF"/>
    <w:rsid w:val="0060023C"/>
    <w:rsid w:val="00600FF4"/>
    <w:rsid w:val="00601914"/>
    <w:rsid w:val="00602517"/>
    <w:rsid w:val="006028EE"/>
    <w:rsid w:val="00602C7D"/>
    <w:rsid w:val="00602EFE"/>
    <w:rsid w:val="00603323"/>
    <w:rsid w:val="00603508"/>
    <w:rsid w:val="00603AD6"/>
    <w:rsid w:val="00606B07"/>
    <w:rsid w:val="00606B7B"/>
    <w:rsid w:val="00607260"/>
    <w:rsid w:val="00607FEB"/>
    <w:rsid w:val="00610BAC"/>
    <w:rsid w:val="0061158A"/>
    <w:rsid w:val="0061304C"/>
    <w:rsid w:val="006141C5"/>
    <w:rsid w:val="00614F13"/>
    <w:rsid w:val="006155B0"/>
    <w:rsid w:val="00616D8D"/>
    <w:rsid w:val="00617BF0"/>
    <w:rsid w:val="00620243"/>
    <w:rsid w:val="00620DBC"/>
    <w:rsid w:val="006227FD"/>
    <w:rsid w:val="00624390"/>
    <w:rsid w:val="00624476"/>
    <w:rsid w:val="00627A56"/>
    <w:rsid w:val="0063042E"/>
    <w:rsid w:val="006306ED"/>
    <w:rsid w:val="00630AF1"/>
    <w:rsid w:val="00631706"/>
    <w:rsid w:val="00632714"/>
    <w:rsid w:val="00632913"/>
    <w:rsid w:val="00632C15"/>
    <w:rsid w:val="00633366"/>
    <w:rsid w:val="00633AFA"/>
    <w:rsid w:val="006359E7"/>
    <w:rsid w:val="0063736B"/>
    <w:rsid w:val="00640002"/>
    <w:rsid w:val="0064001F"/>
    <w:rsid w:val="00641C60"/>
    <w:rsid w:val="00643E67"/>
    <w:rsid w:val="00644463"/>
    <w:rsid w:val="006450B7"/>
    <w:rsid w:val="00645F11"/>
    <w:rsid w:val="00646C35"/>
    <w:rsid w:val="00650086"/>
    <w:rsid w:val="006501BC"/>
    <w:rsid w:val="00651855"/>
    <w:rsid w:val="0065213E"/>
    <w:rsid w:val="006525D9"/>
    <w:rsid w:val="0065305D"/>
    <w:rsid w:val="00653277"/>
    <w:rsid w:val="0065777A"/>
    <w:rsid w:val="00662C26"/>
    <w:rsid w:val="00662D4E"/>
    <w:rsid w:val="00663446"/>
    <w:rsid w:val="00663566"/>
    <w:rsid w:val="006653A7"/>
    <w:rsid w:val="00666289"/>
    <w:rsid w:val="00666B22"/>
    <w:rsid w:val="00666DDE"/>
    <w:rsid w:val="00670F24"/>
    <w:rsid w:val="00672412"/>
    <w:rsid w:val="00672E8F"/>
    <w:rsid w:val="00673A3C"/>
    <w:rsid w:val="00673AD5"/>
    <w:rsid w:val="00673B1F"/>
    <w:rsid w:val="00674312"/>
    <w:rsid w:val="00674D6F"/>
    <w:rsid w:val="006832FC"/>
    <w:rsid w:val="006847E3"/>
    <w:rsid w:val="00684899"/>
    <w:rsid w:val="00684C1A"/>
    <w:rsid w:val="006854D5"/>
    <w:rsid w:val="00686673"/>
    <w:rsid w:val="00687ADA"/>
    <w:rsid w:val="00691CD0"/>
    <w:rsid w:val="00692A33"/>
    <w:rsid w:val="00692E8D"/>
    <w:rsid w:val="00692FE2"/>
    <w:rsid w:val="00694966"/>
    <w:rsid w:val="0069567A"/>
    <w:rsid w:val="00696279"/>
    <w:rsid w:val="006A073C"/>
    <w:rsid w:val="006A1622"/>
    <w:rsid w:val="006A24A1"/>
    <w:rsid w:val="006A4D6C"/>
    <w:rsid w:val="006A5E2A"/>
    <w:rsid w:val="006B0AFB"/>
    <w:rsid w:val="006B0F3B"/>
    <w:rsid w:val="006B120D"/>
    <w:rsid w:val="006B311B"/>
    <w:rsid w:val="006B4997"/>
    <w:rsid w:val="006B4FD9"/>
    <w:rsid w:val="006B4FFE"/>
    <w:rsid w:val="006B51F9"/>
    <w:rsid w:val="006C041C"/>
    <w:rsid w:val="006C15D7"/>
    <w:rsid w:val="006C3C00"/>
    <w:rsid w:val="006C58BB"/>
    <w:rsid w:val="006C68C3"/>
    <w:rsid w:val="006C7D16"/>
    <w:rsid w:val="006D0DB4"/>
    <w:rsid w:val="006D0EC3"/>
    <w:rsid w:val="006D1968"/>
    <w:rsid w:val="006D19AB"/>
    <w:rsid w:val="006D1CAD"/>
    <w:rsid w:val="006D1FBD"/>
    <w:rsid w:val="006D5930"/>
    <w:rsid w:val="006D7E50"/>
    <w:rsid w:val="006E0D0A"/>
    <w:rsid w:val="006E2475"/>
    <w:rsid w:val="006E2C17"/>
    <w:rsid w:val="006E2D7B"/>
    <w:rsid w:val="006E4637"/>
    <w:rsid w:val="006E4F03"/>
    <w:rsid w:val="006F1630"/>
    <w:rsid w:val="006F35EE"/>
    <w:rsid w:val="006F4697"/>
    <w:rsid w:val="006F596C"/>
    <w:rsid w:val="006F66CD"/>
    <w:rsid w:val="0070158E"/>
    <w:rsid w:val="0070254B"/>
    <w:rsid w:val="00704F02"/>
    <w:rsid w:val="00705145"/>
    <w:rsid w:val="00705199"/>
    <w:rsid w:val="00705FF6"/>
    <w:rsid w:val="0070610D"/>
    <w:rsid w:val="00706621"/>
    <w:rsid w:val="00706690"/>
    <w:rsid w:val="00707A42"/>
    <w:rsid w:val="0071156B"/>
    <w:rsid w:val="00711872"/>
    <w:rsid w:val="007125EB"/>
    <w:rsid w:val="00712EEA"/>
    <w:rsid w:val="0071401E"/>
    <w:rsid w:val="007166CB"/>
    <w:rsid w:val="0071714F"/>
    <w:rsid w:val="007172CE"/>
    <w:rsid w:val="00720CF6"/>
    <w:rsid w:val="00722195"/>
    <w:rsid w:val="00722547"/>
    <w:rsid w:val="0072308D"/>
    <w:rsid w:val="0072479C"/>
    <w:rsid w:val="007247B4"/>
    <w:rsid w:val="007312F9"/>
    <w:rsid w:val="00731DA6"/>
    <w:rsid w:val="00733225"/>
    <w:rsid w:val="00735533"/>
    <w:rsid w:val="007355F0"/>
    <w:rsid w:val="0074058A"/>
    <w:rsid w:val="00740666"/>
    <w:rsid w:val="00741A2A"/>
    <w:rsid w:val="00742770"/>
    <w:rsid w:val="00743069"/>
    <w:rsid w:val="00743106"/>
    <w:rsid w:val="00743B46"/>
    <w:rsid w:val="00743E27"/>
    <w:rsid w:val="00745BB3"/>
    <w:rsid w:val="00747B71"/>
    <w:rsid w:val="007502C7"/>
    <w:rsid w:val="00750308"/>
    <w:rsid w:val="007504D8"/>
    <w:rsid w:val="00750ABB"/>
    <w:rsid w:val="00752D80"/>
    <w:rsid w:val="0075362F"/>
    <w:rsid w:val="00753A93"/>
    <w:rsid w:val="0075405A"/>
    <w:rsid w:val="0075474E"/>
    <w:rsid w:val="00755881"/>
    <w:rsid w:val="007563A8"/>
    <w:rsid w:val="007567F9"/>
    <w:rsid w:val="00756915"/>
    <w:rsid w:val="007570DC"/>
    <w:rsid w:val="00761A60"/>
    <w:rsid w:val="00762250"/>
    <w:rsid w:val="0076282F"/>
    <w:rsid w:val="0076302A"/>
    <w:rsid w:val="00765256"/>
    <w:rsid w:val="0076552A"/>
    <w:rsid w:val="00765FB1"/>
    <w:rsid w:val="00771E28"/>
    <w:rsid w:val="0077338F"/>
    <w:rsid w:val="00773495"/>
    <w:rsid w:val="00773A21"/>
    <w:rsid w:val="00773C82"/>
    <w:rsid w:val="007768AB"/>
    <w:rsid w:val="00781D39"/>
    <w:rsid w:val="0078441C"/>
    <w:rsid w:val="00784F7E"/>
    <w:rsid w:val="00785CEC"/>
    <w:rsid w:val="007865F2"/>
    <w:rsid w:val="00786927"/>
    <w:rsid w:val="00786982"/>
    <w:rsid w:val="00786B52"/>
    <w:rsid w:val="007870AB"/>
    <w:rsid w:val="007909B8"/>
    <w:rsid w:val="007909F0"/>
    <w:rsid w:val="00790D4D"/>
    <w:rsid w:val="007922F5"/>
    <w:rsid w:val="0079410D"/>
    <w:rsid w:val="007947AE"/>
    <w:rsid w:val="00795A39"/>
    <w:rsid w:val="00795FDB"/>
    <w:rsid w:val="007A04C7"/>
    <w:rsid w:val="007A2201"/>
    <w:rsid w:val="007A2719"/>
    <w:rsid w:val="007A2B81"/>
    <w:rsid w:val="007A2E1E"/>
    <w:rsid w:val="007A3FAC"/>
    <w:rsid w:val="007A4844"/>
    <w:rsid w:val="007A5324"/>
    <w:rsid w:val="007A5F8A"/>
    <w:rsid w:val="007A72AB"/>
    <w:rsid w:val="007B14E6"/>
    <w:rsid w:val="007B178E"/>
    <w:rsid w:val="007B263A"/>
    <w:rsid w:val="007B2FC4"/>
    <w:rsid w:val="007B4679"/>
    <w:rsid w:val="007B5E60"/>
    <w:rsid w:val="007B6F79"/>
    <w:rsid w:val="007C0CA6"/>
    <w:rsid w:val="007C1128"/>
    <w:rsid w:val="007C1414"/>
    <w:rsid w:val="007C1AE1"/>
    <w:rsid w:val="007C28BC"/>
    <w:rsid w:val="007C2BFD"/>
    <w:rsid w:val="007C3A69"/>
    <w:rsid w:val="007C409F"/>
    <w:rsid w:val="007C432C"/>
    <w:rsid w:val="007C47B0"/>
    <w:rsid w:val="007C5D09"/>
    <w:rsid w:val="007C70A2"/>
    <w:rsid w:val="007D1B9D"/>
    <w:rsid w:val="007D38DC"/>
    <w:rsid w:val="007D3941"/>
    <w:rsid w:val="007D44CE"/>
    <w:rsid w:val="007D468C"/>
    <w:rsid w:val="007D4E51"/>
    <w:rsid w:val="007D6A50"/>
    <w:rsid w:val="007D7672"/>
    <w:rsid w:val="007D7A88"/>
    <w:rsid w:val="007E03BC"/>
    <w:rsid w:val="007E0A99"/>
    <w:rsid w:val="007E0CB5"/>
    <w:rsid w:val="007E1138"/>
    <w:rsid w:val="007E204D"/>
    <w:rsid w:val="007E2481"/>
    <w:rsid w:val="007E44A3"/>
    <w:rsid w:val="007E5A86"/>
    <w:rsid w:val="007E70B3"/>
    <w:rsid w:val="007F0022"/>
    <w:rsid w:val="007F1E33"/>
    <w:rsid w:val="007F209E"/>
    <w:rsid w:val="007F288D"/>
    <w:rsid w:val="007F62CC"/>
    <w:rsid w:val="007F7D57"/>
    <w:rsid w:val="008008B2"/>
    <w:rsid w:val="00801721"/>
    <w:rsid w:val="00801EDB"/>
    <w:rsid w:val="00804879"/>
    <w:rsid w:val="00804EDF"/>
    <w:rsid w:val="00807025"/>
    <w:rsid w:val="00810128"/>
    <w:rsid w:val="008120B7"/>
    <w:rsid w:val="008129BE"/>
    <w:rsid w:val="00812E42"/>
    <w:rsid w:val="008171E7"/>
    <w:rsid w:val="00817A1F"/>
    <w:rsid w:val="008201E0"/>
    <w:rsid w:val="008211B3"/>
    <w:rsid w:val="008214D9"/>
    <w:rsid w:val="0082206E"/>
    <w:rsid w:val="00825691"/>
    <w:rsid w:val="008261CB"/>
    <w:rsid w:val="00826517"/>
    <w:rsid w:val="008268B7"/>
    <w:rsid w:val="00827F8B"/>
    <w:rsid w:val="008300A4"/>
    <w:rsid w:val="00831871"/>
    <w:rsid w:val="00831E78"/>
    <w:rsid w:val="008329B4"/>
    <w:rsid w:val="008331DB"/>
    <w:rsid w:val="0083338F"/>
    <w:rsid w:val="00833B4F"/>
    <w:rsid w:val="00834401"/>
    <w:rsid w:val="0083578A"/>
    <w:rsid w:val="00835DE7"/>
    <w:rsid w:val="00836070"/>
    <w:rsid w:val="00836C75"/>
    <w:rsid w:val="00841F84"/>
    <w:rsid w:val="00843951"/>
    <w:rsid w:val="00844EDA"/>
    <w:rsid w:val="00844F0C"/>
    <w:rsid w:val="00845467"/>
    <w:rsid w:val="008458D9"/>
    <w:rsid w:val="008469CF"/>
    <w:rsid w:val="00847A6D"/>
    <w:rsid w:val="00847A85"/>
    <w:rsid w:val="00850121"/>
    <w:rsid w:val="00850C3B"/>
    <w:rsid w:val="00852012"/>
    <w:rsid w:val="00852473"/>
    <w:rsid w:val="00853561"/>
    <w:rsid w:val="00854D45"/>
    <w:rsid w:val="00855A00"/>
    <w:rsid w:val="008563D0"/>
    <w:rsid w:val="00856593"/>
    <w:rsid w:val="008565D5"/>
    <w:rsid w:val="00856A3A"/>
    <w:rsid w:val="008577C4"/>
    <w:rsid w:val="0086042C"/>
    <w:rsid w:val="008617E5"/>
    <w:rsid w:val="00862D1F"/>
    <w:rsid w:val="00864019"/>
    <w:rsid w:val="00865E5C"/>
    <w:rsid w:val="008667F1"/>
    <w:rsid w:val="00866E86"/>
    <w:rsid w:val="0086703F"/>
    <w:rsid w:val="00870A5D"/>
    <w:rsid w:val="00875068"/>
    <w:rsid w:val="00876560"/>
    <w:rsid w:val="008809DD"/>
    <w:rsid w:val="00884598"/>
    <w:rsid w:val="00885C81"/>
    <w:rsid w:val="00890320"/>
    <w:rsid w:val="008911DE"/>
    <w:rsid w:val="00893246"/>
    <w:rsid w:val="00893AB1"/>
    <w:rsid w:val="00894618"/>
    <w:rsid w:val="008946F5"/>
    <w:rsid w:val="00894D80"/>
    <w:rsid w:val="00895049"/>
    <w:rsid w:val="00896685"/>
    <w:rsid w:val="0089695F"/>
    <w:rsid w:val="008972D6"/>
    <w:rsid w:val="0089751D"/>
    <w:rsid w:val="008A096B"/>
    <w:rsid w:val="008A1AC8"/>
    <w:rsid w:val="008A34BD"/>
    <w:rsid w:val="008A45A1"/>
    <w:rsid w:val="008A4D01"/>
    <w:rsid w:val="008A54E9"/>
    <w:rsid w:val="008A5CDC"/>
    <w:rsid w:val="008A7118"/>
    <w:rsid w:val="008B0202"/>
    <w:rsid w:val="008B025E"/>
    <w:rsid w:val="008B3281"/>
    <w:rsid w:val="008B3C98"/>
    <w:rsid w:val="008B4344"/>
    <w:rsid w:val="008B4825"/>
    <w:rsid w:val="008B4E27"/>
    <w:rsid w:val="008B59ED"/>
    <w:rsid w:val="008B7757"/>
    <w:rsid w:val="008C3467"/>
    <w:rsid w:val="008C3506"/>
    <w:rsid w:val="008C37E9"/>
    <w:rsid w:val="008C3B2E"/>
    <w:rsid w:val="008C3E49"/>
    <w:rsid w:val="008C4D0E"/>
    <w:rsid w:val="008C4E07"/>
    <w:rsid w:val="008C7022"/>
    <w:rsid w:val="008C713F"/>
    <w:rsid w:val="008C7793"/>
    <w:rsid w:val="008C7BBC"/>
    <w:rsid w:val="008D1F14"/>
    <w:rsid w:val="008D1F6F"/>
    <w:rsid w:val="008D2E4B"/>
    <w:rsid w:val="008D3FCD"/>
    <w:rsid w:val="008D5874"/>
    <w:rsid w:val="008D6EC6"/>
    <w:rsid w:val="008D7B1F"/>
    <w:rsid w:val="008D7EFC"/>
    <w:rsid w:val="008E01F2"/>
    <w:rsid w:val="008E0B94"/>
    <w:rsid w:val="008E0E6F"/>
    <w:rsid w:val="008E2394"/>
    <w:rsid w:val="008E2D05"/>
    <w:rsid w:val="008E386A"/>
    <w:rsid w:val="008E6D86"/>
    <w:rsid w:val="008F0019"/>
    <w:rsid w:val="008F02D6"/>
    <w:rsid w:val="008F1023"/>
    <w:rsid w:val="008F413A"/>
    <w:rsid w:val="008F4321"/>
    <w:rsid w:val="008F4430"/>
    <w:rsid w:val="008F4698"/>
    <w:rsid w:val="008F4B00"/>
    <w:rsid w:val="008F4EDE"/>
    <w:rsid w:val="008F78D3"/>
    <w:rsid w:val="00900A40"/>
    <w:rsid w:val="00901AB6"/>
    <w:rsid w:val="00901BF1"/>
    <w:rsid w:val="009020CB"/>
    <w:rsid w:val="00902832"/>
    <w:rsid w:val="009028FB"/>
    <w:rsid w:val="00903772"/>
    <w:rsid w:val="00903E0B"/>
    <w:rsid w:val="00912CFB"/>
    <w:rsid w:val="00913BC2"/>
    <w:rsid w:val="00914193"/>
    <w:rsid w:val="009141EB"/>
    <w:rsid w:val="00914343"/>
    <w:rsid w:val="009152E4"/>
    <w:rsid w:val="0091540D"/>
    <w:rsid w:val="00917EC5"/>
    <w:rsid w:val="0092102D"/>
    <w:rsid w:val="00921F53"/>
    <w:rsid w:val="00922227"/>
    <w:rsid w:val="00922968"/>
    <w:rsid w:val="009229CE"/>
    <w:rsid w:val="00922B54"/>
    <w:rsid w:val="00923698"/>
    <w:rsid w:val="00924CD5"/>
    <w:rsid w:val="00925F2B"/>
    <w:rsid w:val="00925F97"/>
    <w:rsid w:val="00926359"/>
    <w:rsid w:val="00930926"/>
    <w:rsid w:val="00931AF3"/>
    <w:rsid w:val="0093261B"/>
    <w:rsid w:val="00933B7C"/>
    <w:rsid w:val="00934986"/>
    <w:rsid w:val="0093652A"/>
    <w:rsid w:val="009366ED"/>
    <w:rsid w:val="00941E2A"/>
    <w:rsid w:val="00941F35"/>
    <w:rsid w:val="009449D4"/>
    <w:rsid w:val="009453D8"/>
    <w:rsid w:val="009458D6"/>
    <w:rsid w:val="009466D8"/>
    <w:rsid w:val="00946C27"/>
    <w:rsid w:val="00947332"/>
    <w:rsid w:val="00947954"/>
    <w:rsid w:val="00947E53"/>
    <w:rsid w:val="00950B0A"/>
    <w:rsid w:val="00951508"/>
    <w:rsid w:val="009517FB"/>
    <w:rsid w:val="0095248E"/>
    <w:rsid w:val="009535C4"/>
    <w:rsid w:val="0095363B"/>
    <w:rsid w:val="00954CDA"/>
    <w:rsid w:val="00956052"/>
    <w:rsid w:val="009561B1"/>
    <w:rsid w:val="009575C8"/>
    <w:rsid w:val="009575E6"/>
    <w:rsid w:val="00961E99"/>
    <w:rsid w:val="00964DD8"/>
    <w:rsid w:val="00966BC2"/>
    <w:rsid w:val="00966FA9"/>
    <w:rsid w:val="00970668"/>
    <w:rsid w:val="00970EB8"/>
    <w:rsid w:val="009712C0"/>
    <w:rsid w:val="0097135C"/>
    <w:rsid w:val="00971B04"/>
    <w:rsid w:val="00974139"/>
    <w:rsid w:val="009747EC"/>
    <w:rsid w:val="0097512F"/>
    <w:rsid w:val="009753E1"/>
    <w:rsid w:val="0097566B"/>
    <w:rsid w:val="009759FA"/>
    <w:rsid w:val="00975E6A"/>
    <w:rsid w:val="00976BB5"/>
    <w:rsid w:val="009800FB"/>
    <w:rsid w:val="009802F0"/>
    <w:rsid w:val="00980CDB"/>
    <w:rsid w:val="00980FFD"/>
    <w:rsid w:val="00982A12"/>
    <w:rsid w:val="00982D2E"/>
    <w:rsid w:val="0098363D"/>
    <w:rsid w:val="00983A3D"/>
    <w:rsid w:val="00983BF9"/>
    <w:rsid w:val="00983F8A"/>
    <w:rsid w:val="00986771"/>
    <w:rsid w:val="009918F2"/>
    <w:rsid w:val="00991D8F"/>
    <w:rsid w:val="00993617"/>
    <w:rsid w:val="009952CA"/>
    <w:rsid w:val="00996984"/>
    <w:rsid w:val="00996A73"/>
    <w:rsid w:val="009976A7"/>
    <w:rsid w:val="0099792F"/>
    <w:rsid w:val="00997C6F"/>
    <w:rsid w:val="009A10F0"/>
    <w:rsid w:val="009A1AD1"/>
    <w:rsid w:val="009A21BE"/>
    <w:rsid w:val="009A2C22"/>
    <w:rsid w:val="009A2EEE"/>
    <w:rsid w:val="009A3373"/>
    <w:rsid w:val="009A3A83"/>
    <w:rsid w:val="009A54A6"/>
    <w:rsid w:val="009A58F4"/>
    <w:rsid w:val="009A5ADB"/>
    <w:rsid w:val="009A5E74"/>
    <w:rsid w:val="009A5E8D"/>
    <w:rsid w:val="009A6466"/>
    <w:rsid w:val="009A6E8C"/>
    <w:rsid w:val="009A77A9"/>
    <w:rsid w:val="009B065D"/>
    <w:rsid w:val="009B173C"/>
    <w:rsid w:val="009B1C10"/>
    <w:rsid w:val="009B1EEC"/>
    <w:rsid w:val="009B1F90"/>
    <w:rsid w:val="009B210E"/>
    <w:rsid w:val="009B2382"/>
    <w:rsid w:val="009B2F91"/>
    <w:rsid w:val="009B4B7B"/>
    <w:rsid w:val="009B6BA5"/>
    <w:rsid w:val="009B77F7"/>
    <w:rsid w:val="009B7CD5"/>
    <w:rsid w:val="009C1087"/>
    <w:rsid w:val="009C1BD1"/>
    <w:rsid w:val="009C33CE"/>
    <w:rsid w:val="009C3947"/>
    <w:rsid w:val="009C5B73"/>
    <w:rsid w:val="009C7AB9"/>
    <w:rsid w:val="009D099B"/>
    <w:rsid w:val="009D0EF7"/>
    <w:rsid w:val="009D1DAA"/>
    <w:rsid w:val="009D3542"/>
    <w:rsid w:val="009D46A8"/>
    <w:rsid w:val="009D74AF"/>
    <w:rsid w:val="009D7DA9"/>
    <w:rsid w:val="009D7EEE"/>
    <w:rsid w:val="009E07C6"/>
    <w:rsid w:val="009E11AE"/>
    <w:rsid w:val="009E1D33"/>
    <w:rsid w:val="009E20C3"/>
    <w:rsid w:val="009E2B2A"/>
    <w:rsid w:val="009E5D04"/>
    <w:rsid w:val="009E5EA0"/>
    <w:rsid w:val="009E6120"/>
    <w:rsid w:val="009E6519"/>
    <w:rsid w:val="009E6636"/>
    <w:rsid w:val="009E7699"/>
    <w:rsid w:val="009E7FCF"/>
    <w:rsid w:val="009F077A"/>
    <w:rsid w:val="009F0EC0"/>
    <w:rsid w:val="009F10A8"/>
    <w:rsid w:val="009F1773"/>
    <w:rsid w:val="009F3048"/>
    <w:rsid w:val="009F3A2C"/>
    <w:rsid w:val="009F4168"/>
    <w:rsid w:val="009F42EA"/>
    <w:rsid w:val="009F5D7A"/>
    <w:rsid w:val="009F6703"/>
    <w:rsid w:val="009F69C9"/>
    <w:rsid w:val="009F6A5A"/>
    <w:rsid w:val="009F7E10"/>
    <w:rsid w:val="00A00127"/>
    <w:rsid w:val="00A00F86"/>
    <w:rsid w:val="00A010B3"/>
    <w:rsid w:val="00A0301A"/>
    <w:rsid w:val="00A03A51"/>
    <w:rsid w:val="00A04FAB"/>
    <w:rsid w:val="00A05003"/>
    <w:rsid w:val="00A050D3"/>
    <w:rsid w:val="00A10B7F"/>
    <w:rsid w:val="00A11292"/>
    <w:rsid w:val="00A112C0"/>
    <w:rsid w:val="00A1228E"/>
    <w:rsid w:val="00A12487"/>
    <w:rsid w:val="00A1271D"/>
    <w:rsid w:val="00A13837"/>
    <w:rsid w:val="00A14073"/>
    <w:rsid w:val="00A15B33"/>
    <w:rsid w:val="00A1605F"/>
    <w:rsid w:val="00A1621C"/>
    <w:rsid w:val="00A1649C"/>
    <w:rsid w:val="00A17026"/>
    <w:rsid w:val="00A17117"/>
    <w:rsid w:val="00A20099"/>
    <w:rsid w:val="00A202B5"/>
    <w:rsid w:val="00A208AA"/>
    <w:rsid w:val="00A20BB3"/>
    <w:rsid w:val="00A20FC4"/>
    <w:rsid w:val="00A210AD"/>
    <w:rsid w:val="00A21B36"/>
    <w:rsid w:val="00A24282"/>
    <w:rsid w:val="00A2459A"/>
    <w:rsid w:val="00A258F1"/>
    <w:rsid w:val="00A259C0"/>
    <w:rsid w:val="00A2635D"/>
    <w:rsid w:val="00A2649F"/>
    <w:rsid w:val="00A26F0E"/>
    <w:rsid w:val="00A270E1"/>
    <w:rsid w:val="00A2789B"/>
    <w:rsid w:val="00A31830"/>
    <w:rsid w:val="00A319D6"/>
    <w:rsid w:val="00A31B0B"/>
    <w:rsid w:val="00A33D26"/>
    <w:rsid w:val="00A34B31"/>
    <w:rsid w:val="00A3534A"/>
    <w:rsid w:val="00A35651"/>
    <w:rsid w:val="00A36DC1"/>
    <w:rsid w:val="00A37C67"/>
    <w:rsid w:val="00A404B4"/>
    <w:rsid w:val="00A40994"/>
    <w:rsid w:val="00A40AB6"/>
    <w:rsid w:val="00A40EB2"/>
    <w:rsid w:val="00A41D4C"/>
    <w:rsid w:val="00A42043"/>
    <w:rsid w:val="00A42558"/>
    <w:rsid w:val="00A435C5"/>
    <w:rsid w:val="00A43DC9"/>
    <w:rsid w:val="00A44665"/>
    <w:rsid w:val="00A45672"/>
    <w:rsid w:val="00A45C39"/>
    <w:rsid w:val="00A46C90"/>
    <w:rsid w:val="00A47AB0"/>
    <w:rsid w:val="00A50803"/>
    <w:rsid w:val="00A50BD5"/>
    <w:rsid w:val="00A50F63"/>
    <w:rsid w:val="00A5541F"/>
    <w:rsid w:val="00A5580E"/>
    <w:rsid w:val="00A56618"/>
    <w:rsid w:val="00A56627"/>
    <w:rsid w:val="00A56B72"/>
    <w:rsid w:val="00A57814"/>
    <w:rsid w:val="00A57D35"/>
    <w:rsid w:val="00A60A78"/>
    <w:rsid w:val="00A613D7"/>
    <w:rsid w:val="00A613F7"/>
    <w:rsid w:val="00A61B48"/>
    <w:rsid w:val="00A62FDD"/>
    <w:rsid w:val="00A63701"/>
    <w:rsid w:val="00A65092"/>
    <w:rsid w:val="00A66CAA"/>
    <w:rsid w:val="00A672BB"/>
    <w:rsid w:val="00A70789"/>
    <w:rsid w:val="00A70B26"/>
    <w:rsid w:val="00A70CBE"/>
    <w:rsid w:val="00A71D3E"/>
    <w:rsid w:val="00A72E77"/>
    <w:rsid w:val="00A73666"/>
    <w:rsid w:val="00A737A3"/>
    <w:rsid w:val="00A73963"/>
    <w:rsid w:val="00A74DA8"/>
    <w:rsid w:val="00A75462"/>
    <w:rsid w:val="00A75B30"/>
    <w:rsid w:val="00A75FA7"/>
    <w:rsid w:val="00A762D1"/>
    <w:rsid w:val="00A76900"/>
    <w:rsid w:val="00A76DCF"/>
    <w:rsid w:val="00A77CEE"/>
    <w:rsid w:val="00A77FB4"/>
    <w:rsid w:val="00A80636"/>
    <w:rsid w:val="00A81B09"/>
    <w:rsid w:val="00A8270B"/>
    <w:rsid w:val="00A82D8E"/>
    <w:rsid w:val="00A847A2"/>
    <w:rsid w:val="00A870D8"/>
    <w:rsid w:val="00A87BED"/>
    <w:rsid w:val="00A909E4"/>
    <w:rsid w:val="00A90B93"/>
    <w:rsid w:val="00A90DA3"/>
    <w:rsid w:val="00A92BCD"/>
    <w:rsid w:val="00A92F97"/>
    <w:rsid w:val="00A960E6"/>
    <w:rsid w:val="00A97472"/>
    <w:rsid w:val="00A975AB"/>
    <w:rsid w:val="00AA04F9"/>
    <w:rsid w:val="00AA0CB1"/>
    <w:rsid w:val="00AA0F41"/>
    <w:rsid w:val="00AA11E6"/>
    <w:rsid w:val="00AA2119"/>
    <w:rsid w:val="00AA2183"/>
    <w:rsid w:val="00AA2420"/>
    <w:rsid w:val="00AA2538"/>
    <w:rsid w:val="00AA44FB"/>
    <w:rsid w:val="00AA46F8"/>
    <w:rsid w:val="00AA649B"/>
    <w:rsid w:val="00AA69FB"/>
    <w:rsid w:val="00AA6A3E"/>
    <w:rsid w:val="00AA76AD"/>
    <w:rsid w:val="00AA7CB3"/>
    <w:rsid w:val="00AB062A"/>
    <w:rsid w:val="00AB148A"/>
    <w:rsid w:val="00AB2197"/>
    <w:rsid w:val="00AB2277"/>
    <w:rsid w:val="00AB2F14"/>
    <w:rsid w:val="00AB2F20"/>
    <w:rsid w:val="00AB2FE4"/>
    <w:rsid w:val="00AB34BE"/>
    <w:rsid w:val="00AB4153"/>
    <w:rsid w:val="00AB4DFF"/>
    <w:rsid w:val="00AB53B6"/>
    <w:rsid w:val="00AB6F00"/>
    <w:rsid w:val="00AB70FE"/>
    <w:rsid w:val="00AC105C"/>
    <w:rsid w:val="00AC1F8F"/>
    <w:rsid w:val="00AC268C"/>
    <w:rsid w:val="00AC2C54"/>
    <w:rsid w:val="00AC38A3"/>
    <w:rsid w:val="00AC3E88"/>
    <w:rsid w:val="00AC3FA7"/>
    <w:rsid w:val="00AC4248"/>
    <w:rsid w:val="00AC4427"/>
    <w:rsid w:val="00AC53A4"/>
    <w:rsid w:val="00AC5991"/>
    <w:rsid w:val="00AC729A"/>
    <w:rsid w:val="00AD06AD"/>
    <w:rsid w:val="00AD314D"/>
    <w:rsid w:val="00AD37C6"/>
    <w:rsid w:val="00AD4672"/>
    <w:rsid w:val="00AD50A5"/>
    <w:rsid w:val="00AD57E6"/>
    <w:rsid w:val="00AD6033"/>
    <w:rsid w:val="00AD76DF"/>
    <w:rsid w:val="00AE0115"/>
    <w:rsid w:val="00AE0518"/>
    <w:rsid w:val="00AE0633"/>
    <w:rsid w:val="00AE2176"/>
    <w:rsid w:val="00AE3372"/>
    <w:rsid w:val="00AE4322"/>
    <w:rsid w:val="00AE4F36"/>
    <w:rsid w:val="00AE5694"/>
    <w:rsid w:val="00AE5FAB"/>
    <w:rsid w:val="00AE69FF"/>
    <w:rsid w:val="00AE7765"/>
    <w:rsid w:val="00AF148C"/>
    <w:rsid w:val="00AF1623"/>
    <w:rsid w:val="00AF1647"/>
    <w:rsid w:val="00AF1672"/>
    <w:rsid w:val="00AF212A"/>
    <w:rsid w:val="00AF2177"/>
    <w:rsid w:val="00AF34D7"/>
    <w:rsid w:val="00AF3D11"/>
    <w:rsid w:val="00AF4D62"/>
    <w:rsid w:val="00AF7137"/>
    <w:rsid w:val="00AF77B1"/>
    <w:rsid w:val="00B01BA5"/>
    <w:rsid w:val="00B0317D"/>
    <w:rsid w:val="00B032BF"/>
    <w:rsid w:val="00B03AAF"/>
    <w:rsid w:val="00B050E5"/>
    <w:rsid w:val="00B05388"/>
    <w:rsid w:val="00B066A4"/>
    <w:rsid w:val="00B07CB6"/>
    <w:rsid w:val="00B11099"/>
    <w:rsid w:val="00B1189E"/>
    <w:rsid w:val="00B11965"/>
    <w:rsid w:val="00B129D1"/>
    <w:rsid w:val="00B1403A"/>
    <w:rsid w:val="00B15D01"/>
    <w:rsid w:val="00B1602D"/>
    <w:rsid w:val="00B168AA"/>
    <w:rsid w:val="00B16FC4"/>
    <w:rsid w:val="00B204C7"/>
    <w:rsid w:val="00B21398"/>
    <w:rsid w:val="00B213C8"/>
    <w:rsid w:val="00B21B89"/>
    <w:rsid w:val="00B22B66"/>
    <w:rsid w:val="00B22C61"/>
    <w:rsid w:val="00B234B0"/>
    <w:rsid w:val="00B23C20"/>
    <w:rsid w:val="00B246A6"/>
    <w:rsid w:val="00B24D8A"/>
    <w:rsid w:val="00B25654"/>
    <w:rsid w:val="00B273E6"/>
    <w:rsid w:val="00B27BDE"/>
    <w:rsid w:val="00B30DB3"/>
    <w:rsid w:val="00B31B45"/>
    <w:rsid w:val="00B31C72"/>
    <w:rsid w:val="00B33339"/>
    <w:rsid w:val="00B33EC4"/>
    <w:rsid w:val="00B33F07"/>
    <w:rsid w:val="00B33FEC"/>
    <w:rsid w:val="00B34A67"/>
    <w:rsid w:val="00B34C33"/>
    <w:rsid w:val="00B35032"/>
    <w:rsid w:val="00B3573E"/>
    <w:rsid w:val="00B36092"/>
    <w:rsid w:val="00B36E41"/>
    <w:rsid w:val="00B37137"/>
    <w:rsid w:val="00B418A7"/>
    <w:rsid w:val="00B41B0E"/>
    <w:rsid w:val="00B427A2"/>
    <w:rsid w:val="00B42D0F"/>
    <w:rsid w:val="00B435DE"/>
    <w:rsid w:val="00B45AD7"/>
    <w:rsid w:val="00B45E87"/>
    <w:rsid w:val="00B4718D"/>
    <w:rsid w:val="00B47AE9"/>
    <w:rsid w:val="00B47CB4"/>
    <w:rsid w:val="00B50B1D"/>
    <w:rsid w:val="00B52509"/>
    <w:rsid w:val="00B5507D"/>
    <w:rsid w:val="00B55471"/>
    <w:rsid w:val="00B558F1"/>
    <w:rsid w:val="00B56001"/>
    <w:rsid w:val="00B56454"/>
    <w:rsid w:val="00B568A7"/>
    <w:rsid w:val="00B60DD0"/>
    <w:rsid w:val="00B62610"/>
    <w:rsid w:val="00B628B1"/>
    <w:rsid w:val="00B62AEB"/>
    <w:rsid w:val="00B63F24"/>
    <w:rsid w:val="00B64DE6"/>
    <w:rsid w:val="00B6545E"/>
    <w:rsid w:val="00B662E8"/>
    <w:rsid w:val="00B675A0"/>
    <w:rsid w:val="00B70639"/>
    <w:rsid w:val="00B7121C"/>
    <w:rsid w:val="00B71335"/>
    <w:rsid w:val="00B7161F"/>
    <w:rsid w:val="00B736A4"/>
    <w:rsid w:val="00B73DDD"/>
    <w:rsid w:val="00B74383"/>
    <w:rsid w:val="00B74B11"/>
    <w:rsid w:val="00B74D54"/>
    <w:rsid w:val="00B74F25"/>
    <w:rsid w:val="00B7540E"/>
    <w:rsid w:val="00B7574F"/>
    <w:rsid w:val="00B75B26"/>
    <w:rsid w:val="00B7647A"/>
    <w:rsid w:val="00B7737F"/>
    <w:rsid w:val="00B7784F"/>
    <w:rsid w:val="00B8235B"/>
    <w:rsid w:val="00B82F33"/>
    <w:rsid w:val="00B82FAF"/>
    <w:rsid w:val="00B832FB"/>
    <w:rsid w:val="00B8409D"/>
    <w:rsid w:val="00B848BC"/>
    <w:rsid w:val="00B864CE"/>
    <w:rsid w:val="00B870FD"/>
    <w:rsid w:val="00B87BB9"/>
    <w:rsid w:val="00B90300"/>
    <w:rsid w:val="00B91031"/>
    <w:rsid w:val="00B91098"/>
    <w:rsid w:val="00B91E88"/>
    <w:rsid w:val="00B92232"/>
    <w:rsid w:val="00B92F7F"/>
    <w:rsid w:val="00B92FD5"/>
    <w:rsid w:val="00B96899"/>
    <w:rsid w:val="00B971BD"/>
    <w:rsid w:val="00B97835"/>
    <w:rsid w:val="00BA0678"/>
    <w:rsid w:val="00BA0702"/>
    <w:rsid w:val="00BA08C1"/>
    <w:rsid w:val="00BA1139"/>
    <w:rsid w:val="00BA2BD3"/>
    <w:rsid w:val="00BA40A2"/>
    <w:rsid w:val="00BA4B9A"/>
    <w:rsid w:val="00BA4D26"/>
    <w:rsid w:val="00BA552D"/>
    <w:rsid w:val="00BA5B71"/>
    <w:rsid w:val="00BA6890"/>
    <w:rsid w:val="00BA6FD0"/>
    <w:rsid w:val="00BA7B32"/>
    <w:rsid w:val="00BB0130"/>
    <w:rsid w:val="00BB01D2"/>
    <w:rsid w:val="00BB150D"/>
    <w:rsid w:val="00BB196B"/>
    <w:rsid w:val="00BB1D3A"/>
    <w:rsid w:val="00BB3191"/>
    <w:rsid w:val="00BB33F0"/>
    <w:rsid w:val="00BB39A0"/>
    <w:rsid w:val="00BB46D7"/>
    <w:rsid w:val="00BB7AD3"/>
    <w:rsid w:val="00BB7C07"/>
    <w:rsid w:val="00BC017C"/>
    <w:rsid w:val="00BC075B"/>
    <w:rsid w:val="00BC08EE"/>
    <w:rsid w:val="00BC0D9F"/>
    <w:rsid w:val="00BC17D8"/>
    <w:rsid w:val="00BC2985"/>
    <w:rsid w:val="00BC2999"/>
    <w:rsid w:val="00BC6F84"/>
    <w:rsid w:val="00BD1C02"/>
    <w:rsid w:val="00BD4904"/>
    <w:rsid w:val="00BD62D3"/>
    <w:rsid w:val="00BD6A0F"/>
    <w:rsid w:val="00BD77D9"/>
    <w:rsid w:val="00BE0FCF"/>
    <w:rsid w:val="00BE1567"/>
    <w:rsid w:val="00BE2EBC"/>
    <w:rsid w:val="00BE585F"/>
    <w:rsid w:val="00BE5C77"/>
    <w:rsid w:val="00BE73DC"/>
    <w:rsid w:val="00BE7BE3"/>
    <w:rsid w:val="00BE7CEB"/>
    <w:rsid w:val="00BF0A8C"/>
    <w:rsid w:val="00BF0DBF"/>
    <w:rsid w:val="00BF1EBB"/>
    <w:rsid w:val="00BF2EB1"/>
    <w:rsid w:val="00BF302F"/>
    <w:rsid w:val="00BF3FB0"/>
    <w:rsid w:val="00BF536C"/>
    <w:rsid w:val="00BF71B5"/>
    <w:rsid w:val="00C0077A"/>
    <w:rsid w:val="00C00EF4"/>
    <w:rsid w:val="00C01D2F"/>
    <w:rsid w:val="00C02FD7"/>
    <w:rsid w:val="00C034B2"/>
    <w:rsid w:val="00C034F0"/>
    <w:rsid w:val="00C03F1E"/>
    <w:rsid w:val="00C04042"/>
    <w:rsid w:val="00C049F8"/>
    <w:rsid w:val="00C04C4C"/>
    <w:rsid w:val="00C05CC1"/>
    <w:rsid w:val="00C06D98"/>
    <w:rsid w:val="00C073EF"/>
    <w:rsid w:val="00C13221"/>
    <w:rsid w:val="00C144E8"/>
    <w:rsid w:val="00C14A15"/>
    <w:rsid w:val="00C167A9"/>
    <w:rsid w:val="00C16BF9"/>
    <w:rsid w:val="00C17964"/>
    <w:rsid w:val="00C17C9C"/>
    <w:rsid w:val="00C17E31"/>
    <w:rsid w:val="00C20885"/>
    <w:rsid w:val="00C2380B"/>
    <w:rsid w:val="00C23880"/>
    <w:rsid w:val="00C23C4F"/>
    <w:rsid w:val="00C23F7C"/>
    <w:rsid w:val="00C2440C"/>
    <w:rsid w:val="00C246AE"/>
    <w:rsid w:val="00C2513B"/>
    <w:rsid w:val="00C254C6"/>
    <w:rsid w:val="00C2669D"/>
    <w:rsid w:val="00C2720F"/>
    <w:rsid w:val="00C27C83"/>
    <w:rsid w:val="00C27ED1"/>
    <w:rsid w:val="00C3066E"/>
    <w:rsid w:val="00C306CD"/>
    <w:rsid w:val="00C312B3"/>
    <w:rsid w:val="00C31686"/>
    <w:rsid w:val="00C36633"/>
    <w:rsid w:val="00C400F8"/>
    <w:rsid w:val="00C404B1"/>
    <w:rsid w:val="00C40698"/>
    <w:rsid w:val="00C40EDF"/>
    <w:rsid w:val="00C411EE"/>
    <w:rsid w:val="00C41ABD"/>
    <w:rsid w:val="00C43305"/>
    <w:rsid w:val="00C43C41"/>
    <w:rsid w:val="00C44869"/>
    <w:rsid w:val="00C45735"/>
    <w:rsid w:val="00C45C0C"/>
    <w:rsid w:val="00C45FF7"/>
    <w:rsid w:val="00C47993"/>
    <w:rsid w:val="00C47A86"/>
    <w:rsid w:val="00C503E2"/>
    <w:rsid w:val="00C525DB"/>
    <w:rsid w:val="00C53CF9"/>
    <w:rsid w:val="00C549C3"/>
    <w:rsid w:val="00C55A14"/>
    <w:rsid w:val="00C56E55"/>
    <w:rsid w:val="00C57A0C"/>
    <w:rsid w:val="00C60470"/>
    <w:rsid w:val="00C60729"/>
    <w:rsid w:val="00C62BE9"/>
    <w:rsid w:val="00C62D32"/>
    <w:rsid w:val="00C635C0"/>
    <w:rsid w:val="00C63A0E"/>
    <w:rsid w:val="00C64D4B"/>
    <w:rsid w:val="00C65079"/>
    <w:rsid w:val="00C654F5"/>
    <w:rsid w:val="00C71787"/>
    <w:rsid w:val="00C72162"/>
    <w:rsid w:val="00C726EC"/>
    <w:rsid w:val="00C72D3F"/>
    <w:rsid w:val="00C7443E"/>
    <w:rsid w:val="00C74951"/>
    <w:rsid w:val="00C752DE"/>
    <w:rsid w:val="00C7689F"/>
    <w:rsid w:val="00C777D7"/>
    <w:rsid w:val="00C8165A"/>
    <w:rsid w:val="00C81C23"/>
    <w:rsid w:val="00C83506"/>
    <w:rsid w:val="00C84311"/>
    <w:rsid w:val="00C84CB4"/>
    <w:rsid w:val="00C84ED6"/>
    <w:rsid w:val="00C8555F"/>
    <w:rsid w:val="00C85A45"/>
    <w:rsid w:val="00C872A0"/>
    <w:rsid w:val="00C90607"/>
    <w:rsid w:val="00C90F97"/>
    <w:rsid w:val="00C90FB1"/>
    <w:rsid w:val="00C91985"/>
    <w:rsid w:val="00C92BE4"/>
    <w:rsid w:val="00C92E8C"/>
    <w:rsid w:val="00C93748"/>
    <w:rsid w:val="00C95474"/>
    <w:rsid w:val="00C968B5"/>
    <w:rsid w:val="00C96BF6"/>
    <w:rsid w:val="00C971CD"/>
    <w:rsid w:val="00C9726C"/>
    <w:rsid w:val="00C9736B"/>
    <w:rsid w:val="00C97B33"/>
    <w:rsid w:val="00CA03CF"/>
    <w:rsid w:val="00CA08AA"/>
    <w:rsid w:val="00CA17F0"/>
    <w:rsid w:val="00CA2195"/>
    <w:rsid w:val="00CA227D"/>
    <w:rsid w:val="00CA2DD8"/>
    <w:rsid w:val="00CA2F23"/>
    <w:rsid w:val="00CA2F99"/>
    <w:rsid w:val="00CA3A1F"/>
    <w:rsid w:val="00CA3DDE"/>
    <w:rsid w:val="00CA7349"/>
    <w:rsid w:val="00CB057C"/>
    <w:rsid w:val="00CB1A1B"/>
    <w:rsid w:val="00CB1B6C"/>
    <w:rsid w:val="00CB2044"/>
    <w:rsid w:val="00CB22C6"/>
    <w:rsid w:val="00CB2AF0"/>
    <w:rsid w:val="00CB2EC6"/>
    <w:rsid w:val="00CB4A16"/>
    <w:rsid w:val="00CB5169"/>
    <w:rsid w:val="00CB5FE4"/>
    <w:rsid w:val="00CB6AB5"/>
    <w:rsid w:val="00CB6F70"/>
    <w:rsid w:val="00CB70C9"/>
    <w:rsid w:val="00CC0588"/>
    <w:rsid w:val="00CC116F"/>
    <w:rsid w:val="00CC2148"/>
    <w:rsid w:val="00CC3631"/>
    <w:rsid w:val="00CC3BC2"/>
    <w:rsid w:val="00CC5EA0"/>
    <w:rsid w:val="00CC69DA"/>
    <w:rsid w:val="00CC7808"/>
    <w:rsid w:val="00CC785A"/>
    <w:rsid w:val="00CD0989"/>
    <w:rsid w:val="00CD0A3C"/>
    <w:rsid w:val="00CD254E"/>
    <w:rsid w:val="00CD28FE"/>
    <w:rsid w:val="00CD44FD"/>
    <w:rsid w:val="00CD517E"/>
    <w:rsid w:val="00CD58F4"/>
    <w:rsid w:val="00CD71E8"/>
    <w:rsid w:val="00CE222D"/>
    <w:rsid w:val="00CE2BD8"/>
    <w:rsid w:val="00CE2D0B"/>
    <w:rsid w:val="00CE3380"/>
    <w:rsid w:val="00CE3926"/>
    <w:rsid w:val="00CE5155"/>
    <w:rsid w:val="00CE58AD"/>
    <w:rsid w:val="00CE6343"/>
    <w:rsid w:val="00CE7521"/>
    <w:rsid w:val="00CF07B8"/>
    <w:rsid w:val="00CF2081"/>
    <w:rsid w:val="00CF2907"/>
    <w:rsid w:val="00CF3017"/>
    <w:rsid w:val="00CF3A63"/>
    <w:rsid w:val="00CF537E"/>
    <w:rsid w:val="00CF71C3"/>
    <w:rsid w:val="00D0008C"/>
    <w:rsid w:val="00D002CE"/>
    <w:rsid w:val="00D00434"/>
    <w:rsid w:val="00D00C82"/>
    <w:rsid w:val="00D0125B"/>
    <w:rsid w:val="00D024DE"/>
    <w:rsid w:val="00D02DB3"/>
    <w:rsid w:val="00D030FE"/>
    <w:rsid w:val="00D033D7"/>
    <w:rsid w:val="00D040AF"/>
    <w:rsid w:val="00D04F31"/>
    <w:rsid w:val="00D05055"/>
    <w:rsid w:val="00D05E4C"/>
    <w:rsid w:val="00D06B20"/>
    <w:rsid w:val="00D07D1D"/>
    <w:rsid w:val="00D10AB3"/>
    <w:rsid w:val="00D10BD3"/>
    <w:rsid w:val="00D10F95"/>
    <w:rsid w:val="00D11FF0"/>
    <w:rsid w:val="00D147E2"/>
    <w:rsid w:val="00D15DCF"/>
    <w:rsid w:val="00D15F75"/>
    <w:rsid w:val="00D165C8"/>
    <w:rsid w:val="00D17A72"/>
    <w:rsid w:val="00D211EC"/>
    <w:rsid w:val="00D21EFA"/>
    <w:rsid w:val="00D23EEB"/>
    <w:rsid w:val="00D2407C"/>
    <w:rsid w:val="00D249A3"/>
    <w:rsid w:val="00D25A9B"/>
    <w:rsid w:val="00D2616A"/>
    <w:rsid w:val="00D2743F"/>
    <w:rsid w:val="00D27ECC"/>
    <w:rsid w:val="00D3075B"/>
    <w:rsid w:val="00D30BAA"/>
    <w:rsid w:val="00D31E6E"/>
    <w:rsid w:val="00D33F08"/>
    <w:rsid w:val="00D34B34"/>
    <w:rsid w:val="00D3526E"/>
    <w:rsid w:val="00D35DDF"/>
    <w:rsid w:val="00D362C9"/>
    <w:rsid w:val="00D36B1A"/>
    <w:rsid w:val="00D37A6F"/>
    <w:rsid w:val="00D37E2F"/>
    <w:rsid w:val="00D40190"/>
    <w:rsid w:val="00D425F1"/>
    <w:rsid w:val="00D42936"/>
    <w:rsid w:val="00D43468"/>
    <w:rsid w:val="00D44765"/>
    <w:rsid w:val="00D451FB"/>
    <w:rsid w:val="00D45938"/>
    <w:rsid w:val="00D45FC2"/>
    <w:rsid w:val="00D46C8B"/>
    <w:rsid w:val="00D470EB"/>
    <w:rsid w:val="00D50B71"/>
    <w:rsid w:val="00D50C41"/>
    <w:rsid w:val="00D50D28"/>
    <w:rsid w:val="00D51FD8"/>
    <w:rsid w:val="00D526BD"/>
    <w:rsid w:val="00D53B47"/>
    <w:rsid w:val="00D53F82"/>
    <w:rsid w:val="00D564FB"/>
    <w:rsid w:val="00D56F9D"/>
    <w:rsid w:val="00D57410"/>
    <w:rsid w:val="00D57F4C"/>
    <w:rsid w:val="00D603FC"/>
    <w:rsid w:val="00D60692"/>
    <w:rsid w:val="00D60D07"/>
    <w:rsid w:val="00D6207C"/>
    <w:rsid w:val="00D636D6"/>
    <w:rsid w:val="00D642A0"/>
    <w:rsid w:val="00D650B7"/>
    <w:rsid w:val="00D653C3"/>
    <w:rsid w:val="00D65C77"/>
    <w:rsid w:val="00D66041"/>
    <w:rsid w:val="00D6667D"/>
    <w:rsid w:val="00D667E6"/>
    <w:rsid w:val="00D6701E"/>
    <w:rsid w:val="00D67232"/>
    <w:rsid w:val="00D7158A"/>
    <w:rsid w:val="00D72505"/>
    <w:rsid w:val="00D736AC"/>
    <w:rsid w:val="00D74B3E"/>
    <w:rsid w:val="00D7525D"/>
    <w:rsid w:val="00D7588A"/>
    <w:rsid w:val="00D759FD"/>
    <w:rsid w:val="00D7656E"/>
    <w:rsid w:val="00D769D4"/>
    <w:rsid w:val="00D8008F"/>
    <w:rsid w:val="00D80A18"/>
    <w:rsid w:val="00D81789"/>
    <w:rsid w:val="00D818BA"/>
    <w:rsid w:val="00D82D60"/>
    <w:rsid w:val="00D847A6"/>
    <w:rsid w:val="00D84D1E"/>
    <w:rsid w:val="00D86195"/>
    <w:rsid w:val="00D87C60"/>
    <w:rsid w:val="00D92007"/>
    <w:rsid w:val="00D9270B"/>
    <w:rsid w:val="00D92D09"/>
    <w:rsid w:val="00D93946"/>
    <w:rsid w:val="00D93A34"/>
    <w:rsid w:val="00D93C8B"/>
    <w:rsid w:val="00D949EE"/>
    <w:rsid w:val="00D94C01"/>
    <w:rsid w:val="00D94DDA"/>
    <w:rsid w:val="00D9511D"/>
    <w:rsid w:val="00D95DE8"/>
    <w:rsid w:val="00D96129"/>
    <w:rsid w:val="00D97615"/>
    <w:rsid w:val="00D979E8"/>
    <w:rsid w:val="00D97A7E"/>
    <w:rsid w:val="00DA069E"/>
    <w:rsid w:val="00DA071D"/>
    <w:rsid w:val="00DA0A1E"/>
    <w:rsid w:val="00DA0CB9"/>
    <w:rsid w:val="00DA0FD4"/>
    <w:rsid w:val="00DA12C6"/>
    <w:rsid w:val="00DA1E58"/>
    <w:rsid w:val="00DA1F46"/>
    <w:rsid w:val="00DA2490"/>
    <w:rsid w:val="00DA2F8F"/>
    <w:rsid w:val="00DA32AE"/>
    <w:rsid w:val="00DA3452"/>
    <w:rsid w:val="00DA3624"/>
    <w:rsid w:val="00DA3E46"/>
    <w:rsid w:val="00DA4526"/>
    <w:rsid w:val="00DA462C"/>
    <w:rsid w:val="00DA471F"/>
    <w:rsid w:val="00DA5FF9"/>
    <w:rsid w:val="00DA7676"/>
    <w:rsid w:val="00DA7906"/>
    <w:rsid w:val="00DA79D2"/>
    <w:rsid w:val="00DA7BBC"/>
    <w:rsid w:val="00DA7EF1"/>
    <w:rsid w:val="00DB028A"/>
    <w:rsid w:val="00DB0876"/>
    <w:rsid w:val="00DB1390"/>
    <w:rsid w:val="00DB1EBC"/>
    <w:rsid w:val="00DB3AFB"/>
    <w:rsid w:val="00DB45FB"/>
    <w:rsid w:val="00DB5568"/>
    <w:rsid w:val="00DB5A15"/>
    <w:rsid w:val="00DB61E9"/>
    <w:rsid w:val="00DB63A7"/>
    <w:rsid w:val="00DB741D"/>
    <w:rsid w:val="00DC1107"/>
    <w:rsid w:val="00DC1444"/>
    <w:rsid w:val="00DC185F"/>
    <w:rsid w:val="00DC281C"/>
    <w:rsid w:val="00DC3B7A"/>
    <w:rsid w:val="00DC49A6"/>
    <w:rsid w:val="00DC5460"/>
    <w:rsid w:val="00DC5A7F"/>
    <w:rsid w:val="00DC5CE9"/>
    <w:rsid w:val="00DC793E"/>
    <w:rsid w:val="00DC7CC5"/>
    <w:rsid w:val="00DC7E8C"/>
    <w:rsid w:val="00DD0D2B"/>
    <w:rsid w:val="00DD1F45"/>
    <w:rsid w:val="00DD284D"/>
    <w:rsid w:val="00DD29F4"/>
    <w:rsid w:val="00DD38F6"/>
    <w:rsid w:val="00DD4A1F"/>
    <w:rsid w:val="00DD4C18"/>
    <w:rsid w:val="00DD4F8E"/>
    <w:rsid w:val="00DD4FD9"/>
    <w:rsid w:val="00DD5DCE"/>
    <w:rsid w:val="00DD6118"/>
    <w:rsid w:val="00DD6B51"/>
    <w:rsid w:val="00DE1974"/>
    <w:rsid w:val="00DE1B4D"/>
    <w:rsid w:val="00DE1EF7"/>
    <w:rsid w:val="00DE2A09"/>
    <w:rsid w:val="00DE3594"/>
    <w:rsid w:val="00DE52A6"/>
    <w:rsid w:val="00DE6DE1"/>
    <w:rsid w:val="00DE7DAF"/>
    <w:rsid w:val="00DF0831"/>
    <w:rsid w:val="00DF1B49"/>
    <w:rsid w:val="00DF3A10"/>
    <w:rsid w:val="00DF5D67"/>
    <w:rsid w:val="00E00B31"/>
    <w:rsid w:val="00E012BC"/>
    <w:rsid w:val="00E01D0B"/>
    <w:rsid w:val="00E020E5"/>
    <w:rsid w:val="00E022C7"/>
    <w:rsid w:val="00E02D47"/>
    <w:rsid w:val="00E0608D"/>
    <w:rsid w:val="00E065E9"/>
    <w:rsid w:val="00E070EC"/>
    <w:rsid w:val="00E117AA"/>
    <w:rsid w:val="00E11995"/>
    <w:rsid w:val="00E123EC"/>
    <w:rsid w:val="00E12629"/>
    <w:rsid w:val="00E139A4"/>
    <w:rsid w:val="00E14BE4"/>
    <w:rsid w:val="00E16D6E"/>
    <w:rsid w:val="00E171EA"/>
    <w:rsid w:val="00E2004A"/>
    <w:rsid w:val="00E20943"/>
    <w:rsid w:val="00E20D80"/>
    <w:rsid w:val="00E21A3D"/>
    <w:rsid w:val="00E21FA0"/>
    <w:rsid w:val="00E22011"/>
    <w:rsid w:val="00E22B2F"/>
    <w:rsid w:val="00E2714A"/>
    <w:rsid w:val="00E2793B"/>
    <w:rsid w:val="00E309EC"/>
    <w:rsid w:val="00E32A9B"/>
    <w:rsid w:val="00E33951"/>
    <w:rsid w:val="00E365B9"/>
    <w:rsid w:val="00E3684C"/>
    <w:rsid w:val="00E37C0D"/>
    <w:rsid w:val="00E40E45"/>
    <w:rsid w:val="00E4178D"/>
    <w:rsid w:val="00E4202D"/>
    <w:rsid w:val="00E4302E"/>
    <w:rsid w:val="00E4728E"/>
    <w:rsid w:val="00E513C0"/>
    <w:rsid w:val="00E514AD"/>
    <w:rsid w:val="00E51A89"/>
    <w:rsid w:val="00E51AF6"/>
    <w:rsid w:val="00E51D42"/>
    <w:rsid w:val="00E5217C"/>
    <w:rsid w:val="00E52536"/>
    <w:rsid w:val="00E52D56"/>
    <w:rsid w:val="00E531C8"/>
    <w:rsid w:val="00E54673"/>
    <w:rsid w:val="00E55421"/>
    <w:rsid w:val="00E55806"/>
    <w:rsid w:val="00E55B98"/>
    <w:rsid w:val="00E56458"/>
    <w:rsid w:val="00E56AA3"/>
    <w:rsid w:val="00E56F08"/>
    <w:rsid w:val="00E60DE9"/>
    <w:rsid w:val="00E61587"/>
    <w:rsid w:val="00E6215E"/>
    <w:rsid w:val="00E629AF"/>
    <w:rsid w:val="00E648A2"/>
    <w:rsid w:val="00E653C1"/>
    <w:rsid w:val="00E660A4"/>
    <w:rsid w:val="00E66C23"/>
    <w:rsid w:val="00E66FB1"/>
    <w:rsid w:val="00E67449"/>
    <w:rsid w:val="00E6755C"/>
    <w:rsid w:val="00E67ADB"/>
    <w:rsid w:val="00E67BE5"/>
    <w:rsid w:val="00E72303"/>
    <w:rsid w:val="00E73913"/>
    <w:rsid w:val="00E73C1C"/>
    <w:rsid w:val="00E75C07"/>
    <w:rsid w:val="00E764D3"/>
    <w:rsid w:val="00E772B7"/>
    <w:rsid w:val="00E77590"/>
    <w:rsid w:val="00E80512"/>
    <w:rsid w:val="00E809B7"/>
    <w:rsid w:val="00E8198E"/>
    <w:rsid w:val="00E81DCE"/>
    <w:rsid w:val="00E82342"/>
    <w:rsid w:val="00E83005"/>
    <w:rsid w:val="00E832CA"/>
    <w:rsid w:val="00E832E2"/>
    <w:rsid w:val="00E8541A"/>
    <w:rsid w:val="00E85EA0"/>
    <w:rsid w:val="00E907A5"/>
    <w:rsid w:val="00E90DEE"/>
    <w:rsid w:val="00E936B9"/>
    <w:rsid w:val="00E94AD5"/>
    <w:rsid w:val="00E95DD8"/>
    <w:rsid w:val="00EA0784"/>
    <w:rsid w:val="00EA10F2"/>
    <w:rsid w:val="00EA19B3"/>
    <w:rsid w:val="00EA1A72"/>
    <w:rsid w:val="00EA2303"/>
    <w:rsid w:val="00EA469D"/>
    <w:rsid w:val="00EA4C1F"/>
    <w:rsid w:val="00EA56AB"/>
    <w:rsid w:val="00EA5C25"/>
    <w:rsid w:val="00EA7470"/>
    <w:rsid w:val="00EB110E"/>
    <w:rsid w:val="00EB12F9"/>
    <w:rsid w:val="00EB17DD"/>
    <w:rsid w:val="00EB303E"/>
    <w:rsid w:val="00EB46E5"/>
    <w:rsid w:val="00EB4768"/>
    <w:rsid w:val="00EB4E48"/>
    <w:rsid w:val="00EB5B88"/>
    <w:rsid w:val="00EB606A"/>
    <w:rsid w:val="00EB7D1D"/>
    <w:rsid w:val="00EC0424"/>
    <w:rsid w:val="00EC0C5F"/>
    <w:rsid w:val="00EC26FF"/>
    <w:rsid w:val="00EC3EED"/>
    <w:rsid w:val="00EC4AB6"/>
    <w:rsid w:val="00EC5AC0"/>
    <w:rsid w:val="00EC66FF"/>
    <w:rsid w:val="00EC711A"/>
    <w:rsid w:val="00EC73C4"/>
    <w:rsid w:val="00EC79A4"/>
    <w:rsid w:val="00EC7A9C"/>
    <w:rsid w:val="00ED00A3"/>
    <w:rsid w:val="00ED1795"/>
    <w:rsid w:val="00ED2D70"/>
    <w:rsid w:val="00ED37C3"/>
    <w:rsid w:val="00ED3B52"/>
    <w:rsid w:val="00ED3B55"/>
    <w:rsid w:val="00ED3DC6"/>
    <w:rsid w:val="00ED7391"/>
    <w:rsid w:val="00EE0DC1"/>
    <w:rsid w:val="00EE2A28"/>
    <w:rsid w:val="00EE3647"/>
    <w:rsid w:val="00EE446A"/>
    <w:rsid w:val="00EE56CE"/>
    <w:rsid w:val="00EE5B51"/>
    <w:rsid w:val="00EE6DEF"/>
    <w:rsid w:val="00EE7234"/>
    <w:rsid w:val="00EF00E1"/>
    <w:rsid w:val="00EF04B9"/>
    <w:rsid w:val="00EF1371"/>
    <w:rsid w:val="00EF1CF4"/>
    <w:rsid w:val="00EF3EA0"/>
    <w:rsid w:val="00EF4A5E"/>
    <w:rsid w:val="00EF4D63"/>
    <w:rsid w:val="00EF4E39"/>
    <w:rsid w:val="00EF5498"/>
    <w:rsid w:val="00EF6A80"/>
    <w:rsid w:val="00F00DAB"/>
    <w:rsid w:val="00F02452"/>
    <w:rsid w:val="00F02D64"/>
    <w:rsid w:val="00F04912"/>
    <w:rsid w:val="00F073DA"/>
    <w:rsid w:val="00F07A0C"/>
    <w:rsid w:val="00F10ED2"/>
    <w:rsid w:val="00F11775"/>
    <w:rsid w:val="00F12285"/>
    <w:rsid w:val="00F12EAD"/>
    <w:rsid w:val="00F14805"/>
    <w:rsid w:val="00F15B03"/>
    <w:rsid w:val="00F1615A"/>
    <w:rsid w:val="00F1624C"/>
    <w:rsid w:val="00F162E5"/>
    <w:rsid w:val="00F178CC"/>
    <w:rsid w:val="00F1799B"/>
    <w:rsid w:val="00F17DE1"/>
    <w:rsid w:val="00F20A62"/>
    <w:rsid w:val="00F21B74"/>
    <w:rsid w:val="00F220DB"/>
    <w:rsid w:val="00F2274D"/>
    <w:rsid w:val="00F2293C"/>
    <w:rsid w:val="00F2467C"/>
    <w:rsid w:val="00F25E78"/>
    <w:rsid w:val="00F26C14"/>
    <w:rsid w:val="00F27557"/>
    <w:rsid w:val="00F27840"/>
    <w:rsid w:val="00F278C1"/>
    <w:rsid w:val="00F303BF"/>
    <w:rsid w:val="00F3169A"/>
    <w:rsid w:val="00F31BF5"/>
    <w:rsid w:val="00F3252F"/>
    <w:rsid w:val="00F32789"/>
    <w:rsid w:val="00F3366B"/>
    <w:rsid w:val="00F33FB0"/>
    <w:rsid w:val="00F35207"/>
    <w:rsid w:val="00F37C13"/>
    <w:rsid w:val="00F41614"/>
    <w:rsid w:val="00F4194D"/>
    <w:rsid w:val="00F421F4"/>
    <w:rsid w:val="00F445A5"/>
    <w:rsid w:val="00F46063"/>
    <w:rsid w:val="00F461C8"/>
    <w:rsid w:val="00F50950"/>
    <w:rsid w:val="00F50AE9"/>
    <w:rsid w:val="00F51E7A"/>
    <w:rsid w:val="00F525FD"/>
    <w:rsid w:val="00F5342C"/>
    <w:rsid w:val="00F53B67"/>
    <w:rsid w:val="00F53D98"/>
    <w:rsid w:val="00F53FBC"/>
    <w:rsid w:val="00F54A31"/>
    <w:rsid w:val="00F558AF"/>
    <w:rsid w:val="00F57136"/>
    <w:rsid w:val="00F57A74"/>
    <w:rsid w:val="00F57EB4"/>
    <w:rsid w:val="00F60043"/>
    <w:rsid w:val="00F601E5"/>
    <w:rsid w:val="00F612A5"/>
    <w:rsid w:val="00F6141A"/>
    <w:rsid w:val="00F6159D"/>
    <w:rsid w:val="00F6228A"/>
    <w:rsid w:val="00F65FFF"/>
    <w:rsid w:val="00F6614A"/>
    <w:rsid w:val="00F66B24"/>
    <w:rsid w:val="00F6736A"/>
    <w:rsid w:val="00F675DF"/>
    <w:rsid w:val="00F70627"/>
    <w:rsid w:val="00F7199B"/>
    <w:rsid w:val="00F71C7C"/>
    <w:rsid w:val="00F71F0B"/>
    <w:rsid w:val="00F733C7"/>
    <w:rsid w:val="00F74362"/>
    <w:rsid w:val="00F7461A"/>
    <w:rsid w:val="00F74AA9"/>
    <w:rsid w:val="00F74C49"/>
    <w:rsid w:val="00F76591"/>
    <w:rsid w:val="00F765FE"/>
    <w:rsid w:val="00F77BCB"/>
    <w:rsid w:val="00F8043D"/>
    <w:rsid w:val="00F8115A"/>
    <w:rsid w:val="00F81197"/>
    <w:rsid w:val="00F82BD4"/>
    <w:rsid w:val="00F839E6"/>
    <w:rsid w:val="00F84FBC"/>
    <w:rsid w:val="00F8504A"/>
    <w:rsid w:val="00F86310"/>
    <w:rsid w:val="00F870D2"/>
    <w:rsid w:val="00F87160"/>
    <w:rsid w:val="00F871CC"/>
    <w:rsid w:val="00F906E3"/>
    <w:rsid w:val="00F90CE2"/>
    <w:rsid w:val="00F92695"/>
    <w:rsid w:val="00F93231"/>
    <w:rsid w:val="00F93A76"/>
    <w:rsid w:val="00F94865"/>
    <w:rsid w:val="00F96BD8"/>
    <w:rsid w:val="00F97080"/>
    <w:rsid w:val="00FA02E1"/>
    <w:rsid w:val="00FA1097"/>
    <w:rsid w:val="00FA144C"/>
    <w:rsid w:val="00FA1D5F"/>
    <w:rsid w:val="00FA343C"/>
    <w:rsid w:val="00FA4949"/>
    <w:rsid w:val="00FA5063"/>
    <w:rsid w:val="00FA51C6"/>
    <w:rsid w:val="00FA6978"/>
    <w:rsid w:val="00FA6BC1"/>
    <w:rsid w:val="00FA76ED"/>
    <w:rsid w:val="00FA7E4C"/>
    <w:rsid w:val="00FB1E2B"/>
    <w:rsid w:val="00FB338C"/>
    <w:rsid w:val="00FB33ED"/>
    <w:rsid w:val="00FB35F8"/>
    <w:rsid w:val="00FB3ED8"/>
    <w:rsid w:val="00FB445B"/>
    <w:rsid w:val="00FB577B"/>
    <w:rsid w:val="00FB6B29"/>
    <w:rsid w:val="00FB6B49"/>
    <w:rsid w:val="00FB71DE"/>
    <w:rsid w:val="00FB7D84"/>
    <w:rsid w:val="00FC04EE"/>
    <w:rsid w:val="00FC079C"/>
    <w:rsid w:val="00FC0F86"/>
    <w:rsid w:val="00FC1F46"/>
    <w:rsid w:val="00FC34F5"/>
    <w:rsid w:val="00FC5114"/>
    <w:rsid w:val="00FC69F3"/>
    <w:rsid w:val="00FC6B5E"/>
    <w:rsid w:val="00FC6EE2"/>
    <w:rsid w:val="00FC7DA9"/>
    <w:rsid w:val="00FD0983"/>
    <w:rsid w:val="00FD146D"/>
    <w:rsid w:val="00FD1F30"/>
    <w:rsid w:val="00FD2E95"/>
    <w:rsid w:val="00FD37BF"/>
    <w:rsid w:val="00FD3BB8"/>
    <w:rsid w:val="00FD4379"/>
    <w:rsid w:val="00FD5451"/>
    <w:rsid w:val="00FD620A"/>
    <w:rsid w:val="00FD650E"/>
    <w:rsid w:val="00FD6928"/>
    <w:rsid w:val="00FD6E4C"/>
    <w:rsid w:val="00FE0508"/>
    <w:rsid w:val="00FE0995"/>
    <w:rsid w:val="00FE27E8"/>
    <w:rsid w:val="00FE3084"/>
    <w:rsid w:val="00FE30D8"/>
    <w:rsid w:val="00FE38FC"/>
    <w:rsid w:val="00FE5837"/>
    <w:rsid w:val="00FE6F11"/>
    <w:rsid w:val="00FE7323"/>
    <w:rsid w:val="00FF0415"/>
    <w:rsid w:val="00FF32F1"/>
    <w:rsid w:val="00FF4674"/>
    <w:rsid w:val="00FF4D5E"/>
    <w:rsid w:val="00FF5938"/>
    <w:rsid w:val="00FF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1C9E3"/>
  <w15:chartTrackingRefBased/>
  <w15:docId w15:val="{0E58C974-1454-46DD-AE85-EF10D1B6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3C"/>
    <w:pPr>
      <w:spacing w:after="0" w:line="240" w:lineRule="auto"/>
      <w:ind w:firstLine="720"/>
      <w:jc w:val="both"/>
    </w:pPr>
    <w:rPr>
      <w:rFonts w:ascii="Times New Roman" w:hAnsi="Times New Roman"/>
      <w:sz w:val="24"/>
    </w:rPr>
  </w:style>
  <w:style w:type="paragraph" w:styleId="Heading1">
    <w:name w:val="heading 1"/>
    <w:basedOn w:val="Normal"/>
    <w:next w:val="BlockText"/>
    <w:link w:val="Heading1Char"/>
    <w:uiPriority w:val="9"/>
    <w:qFormat/>
    <w:rsid w:val="00F3252F"/>
    <w:pPr>
      <w:keepNext/>
      <w:keepLines/>
      <w:numPr>
        <w:numId w:val="6"/>
      </w:numPr>
      <w:outlineLvl w:val="0"/>
    </w:pPr>
    <w:rPr>
      <w:rFonts w:eastAsiaTheme="majorEastAsia" w:cstheme="majorBidi"/>
      <w:b/>
      <w:caps/>
      <w:color w:val="000000" w:themeColor="text1"/>
      <w:szCs w:val="32"/>
    </w:rPr>
  </w:style>
  <w:style w:type="paragraph" w:styleId="Heading2">
    <w:name w:val="heading 2"/>
    <w:basedOn w:val="Normal"/>
    <w:next w:val="Normal"/>
    <w:link w:val="Heading2Char"/>
    <w:uiPriority w:val="9"/>
    <w:unhideWhenUsed/>
    <w:qFormat/>
    <w:rsid w:val="00DA0A1E"/>
    <w:pPr>
      <w:keepNext/>
      <w:keepLines/>
      <w:numPr>
        <w:ilvl w:val="1"/>
        <w:numId w:val="6"/>
      </w:numP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971BD"/>
    <w:pPr>
      <w:keepNext/>
      <w:keepLines/>
      <w:numPr>
        <w:ilvl w:val="2"/>
        <w:numId w:val="6"/>
      </w:numPr>
      <w:ind w:left="576" w:hanging="576"/>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rsid w:val="00E67BE5"/>
    <w:pPr>
      <w:keepNext/>
      <w:keepLines/>
      <w:numPr>
        <w:ilvl w:val="3"/>
        <w:numId w:val="6"/>
      </w:numPr>
      <w:ind w:left="576" w:hanging="576"/>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2D7358"/>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7358"/>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7358"/>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735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735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7699"/>
    <w:rPr>
      <w:sz w:val="16"/>
      <w:szCs w:val="16"/>
    </w:rPr>
  </w:style>
  <w:style w:type="paragraph" w:styleId="CommentText">
    <w:name w:val="annotation text"/>
    <w:basedOn w:val="Normal"/>
    <w:link w:val="CommentTextChar"/>
    <w:uiPriority w:val="99"/>
    <w:unhideWhenUsed/>
    <w:rsid w:val="009E7699"/>
    <w:rPr>
      <w:sz w:val="20"/>
      <w:szCs w:val="20"/>
    </w:rPr>
  </w:style>
  <w:style w:type="character" w:customStyle="1" w:styleId="CommentTextChar">
    <w:name w:val="Comment Text Char"/>
    <w:basedOn w:val="DefaultParagraphFont"/>
    <w:link w:val="CommentText"/>
    <w:uiPriority w:val="99"/>
    <w:rsid w:val="009E7699"/>
    <w:rPr>
      <w:sz w:val="20"/>
      <w:szCs w:val="20"/>
    </w:rPr>
  </w:style>
  <w:style w:type="paragraph" w:styleId="CommentSubject">
    <w:name w:val="annotation subject"/>
    <w:basedOn w:val="CommentText"/>
    <w:next w:val="CommentText"/>
    <w:link w:val="CommentSubjectChar"/>
    <w:uiPriority w:val="99"/>
    <w:semiHidden/>
    <w:unhideWhenUsed/>
    <w:rsid w:val="009E7699"/>
    <w:rPr>
      <w:b/>
      <w:bCs/>
    </w:rPr>
  </w:style>
  <w:style w:type="character" w:customStyle="1" w:styleId="CommentSubjectChar">
    <w:name w:val="Comment Subject Char"/>
    <w:basedOn w:val="CommentTextChar"/>
    <w:link w:val="CommentSubject"/>
    <w:uiPriority w:val="99"/>
    <w:semiHidden/>
    <w:rsid w:val="009E7699"/>
    <w:rPr>
      <w:b/>
      <w:bCs/>
      <w:sz w:val="20"/>
      <w:szCs w:val="20"/>
    </w:rPr>
  </w:style>
  <w:style w:type="character" w:customStyle="1" w:styleId="Heading1Char">
    <w:name w:val="Heading 1 Char"/>
    <w:basedOn w:val="DefaultParagraphFont"/>
    <w:link w:val="Heading1"/>
    <w:uiPriority w:val="9"/>
    <w:rsid w:val="00F3252F"/>
    <w:rPr>
      <w:rFonts w:ascii="Times New Roman" w:eastAsiaTheme="majorEastAsia" w:hAnsi="Times New Roman" w:cstheme="majorBidi"/>
      <w:b/>
      <w:caps/>
      <w:color w:val="000000" w:themeColor="text1"/>
      <w:sz w:val="24"/>
      <w:szCs w:val="32"/>
    </w:rPr>
  </w:style>
  <w:style w:type="character" w:customStyle="1" w:styleId="Heading2Char">
    <w:name w:val="Heading 2 Char"/>
    <w:basedOn w:val="DefaultParagraphFont"/>
    <w:link w:val="Heading2"/>
    <w:uiPriority w:val="9"/>
    <w:rsid w:val="00DA0A1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971BD"/>
    <w:rPr>
      <w:rFonts w:ascii="Times New Roman" w:eastAsiaTheme="majorEastAsia" w:hAnsi="Times New Roman" w:cstheme="majorBidi"/>
      <w:b/>
      <w:i/>
      <w:color w:val="000000" w:themeColor="text1"/>
      <w:sz w:val="24"/>
      <w:szCs w:val="24"/>
    </w:rPr>
  </w:style>
  <w:style w:type="character" w:customStyle="1" w:styleId="Heading4Char">
    <w:name w:val="Heading 4 Char"/>
    <w:basedOn w:val="DefaultParagraphFont"/>
    <w:link w:val="Heading4"/>
    <w:uiPriority w:val="9"/>
    <w:rsid w:val="00E67BE5"/>
    <w:rPr>
      <w:rFonts w:ascii="Times New Roman" w:eastAsiaTheme="majorEastAsia" w:hAnsi="Times New Roman" w:cstheme="majorBidi"/>
      <w:b/>
      <w:i/>
      <w:iCs/>
      <w:color w:val="000000" w:themeColor="text1"/>
      <w:sz w:val="24"/>
    </w:rPr>
  </w:style>
  <w:style w:type="character" w:styleId="PlaceholderText">
    <w:name w:val="Placeholder Text"/>
    <w:basedOn w:val="DefaultParagraphFont"/>
    <w:uiPriority w:val="99"/>
    <w:semiHidden/>
    <w:rsid w:val="009B2382"/>
    <w:rPr>
      <w:color w:val="808080"/>
    </w:rPr>
  </w:style>
  <w:style w:type="paragraph" w:styleId="BlockText">
    <w:name w:val="Block Text"/>
    <w:basedOn w:val="Normal"/>
    <w:uiPriority w:val="99"/>
    <w:semiHidden/>
    <w:unhideWhenUsed/>
    <w:rsid w:val="00FE583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table" w:customStyle="1" w:styleId="TableGrid2">
    <w:name w:val="Table Grid2"/>
    <w:basedOn w:val="TableNormal"/>
    <w:next w:val="TableGrid"/>
    <w:uiPriority w:val="59"/>
    <w:rsid w:val="00852473"/>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E5F8B"/>
    <w:rPr>
      <w:color w:val="0563C1" w:themeColor="hyperlink"/>
      <w:u w:val="single"/>
    </w:rPr>
  </w:style>
  <w:style w:type="paragraph" w:styleId="ListParagraph">
    <w:name w:val="List Paragraph"/>
    <w:basedOn w:val="Normal"/>
    <w:uiPriority w:val="34"/>
    <w:qFormat/>
    <w:rsid w:val="00F3169A"/>
    <w:pPr>
      <w:spacing w:after="240"/>
      <w:contextualSpacing/>
    </w:pPr>
  </w:style>
  <w:style w:type="character" w:styleId="FollowedHyperlink">
    <w:name w:val="FollowedHyperlink"/>
    <w:basedOn w:val="DefaultParagraphFont"/>
    <w:uiPriority w:val="99"/>
    <w:semiHidden/>
    <w:unhideWhenUsed/>
    <w:rsid w:val="00F93A76"/>
    <w:rPr>
      <w:color w:val="954F72" w:themeColor="followedHyperlink"/>
      <w:u w:val="single"/>
    </w:rPr>
  </w:style>
  <w:style w:type="character" w:customStyle="1" w:styleId="Heading5Char">
    <w:name w:val="Heading 5 Char"/>
    <w:basedOn w:val="DefaultParagraphFont"/>
    <w:link w:val="Heading5"/>
    <w:uiPriority w:val="9"/>
    <w:semiHidden/>
    <w:rsid w:val="002D735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2D735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2D735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D73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7358"/>
    <w:rPr>
      <w:rFonts w:asciiTheme="majorHAnsi" w:eastAsiaTheme="majorEastAsia" w:hAnsiTheme="majorHAnsi" w:cstheme="majorBidi"/>
      <w:i/>
      <w:iCs/>
      <w:color w:val="272727" w:themeColor="text1" w:themeTint="D8"/>
      <w:sz w:val="21"/>
      <w:szCs w:val="21"/>
    </w:rPr>
  </w:style>
  <w:style w:type="paragraph" w:customStyle="1" w:styleId="Equation">
    <w:name w:val="Equation"/>
    <w:basedOn w:val="Normal"/>
    <w:qFormat/>
    <w:rsid w:val="00B92F7F"/>
    <w:pPr>
      <w:tabs>
        <w:tab w:val="right" w:pos="8640"/>
      </w:tabs>
      <w:spacing w:after="160" w:line="259" w:lineRule="auto"/>
      <w:ind w:left="720"/>
      <w:jc w:val="left"/>
    </w:pPr>
    <w:rPr>
      <w:rFonts w:asciiTheme="minorHAnsi" w:hAnsiTheme="minorHAnsi"/>
      <w:sz w:val="22"/>
      <w:lang w:val="en-AU"/>
    </w:rPr>
  </w:style>
  <w:style w:type="table" w:customStyle="1" w:styleId="TableGrid1">
    <w:name w:val="Table Grid1"/>
    <w:basedOn w:val="TableNormal"/>
    <w:next w:val="TableGrid"/>
    <w:uiPriority w:val="59"/>
    <w:rsid w:val="00A14073"/>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7E2481"/>
  </w:style>
  <w:style w:type="paragraph" w:styleId="Header">
    <w:name w:val="header"/>
    <w:basedOn w:val="Normal"/>
    <w:link w:val="HeaderChar"/>
    <w:uiPriority w:val="99"/>
    <w:unhideWhenUsed/>
    <w:rsid w:val="00FD6928"/>
    <w:pPr>
      <w:tabs>
        <w:tab w:val="center" w:pos="4680"/>
        <w:tab w:val="right" w:pos="9360"/>
      </w:tabs>
    </w:pPr>
  </w:style>
  <w:style w:type="character" w:customStyle="1" w:styleId="HeaderChar">
    <w:name w:val="Header Char"/>
    <w:basedOn w:val="DefaultParagraphFont"/>
    <w:link w:val="Header"/>
    <w:uiPriority w:val="99"/>
    <w:rsid w:val="00FD6928"/>
    <w:rPr>
      <w:rFonts w:ascii="Times New Roman" w:hAnsi="Times New Roman"/>
      <w:sz w:val="24"/>
    </w:rPr>
  </w:style>
  <w:style w:type="paragraph" w:styleId="Footer">
    <w:name w:val="footer"/>
    <w:basedOn w:val="Normal"/>
    <w:link w:val="FooterChar"/>
    <w:uiPriority w:val="99"/>
    <w:unhideWhenUsed/>
    <w:rsid w:val="00FD6928"/>
    <w:pPr>
      <w:tabs>
        <w:tab w:val="center" w:pos="4680"/>
        <w:tab w:val="right" w:pos="9360"/>
      </w:tabs>
    </w:pPr>
  </w:style>
  <w:style w:type="character" w:customStyle="1" w:styleId="FooterChar">
    <w:name w:val="Footer Char"/>
    <w:basedOn w:val="DefaultParagraphFont"/>
    <w:link w:val="Footer"/>
    <w:uiPriority w:val="99"/>
    <w:rsid w:val="00FD6928"/>
    <w:rPr>
      <w:rFonts w:ascii="Times New Roman" w:hAnsi="Times New Roman"/>
      <w:sz w:val="24"/>
    </w:rPr>
  </w:style>
  <w:style w:type="character" w:customStyle="1" w:styleId="html-italic">
    <w:name w:val="html-italic"/>
    <w:basedOn w:val="DefaultParagraphFont"/>
    <w:rsid w:val="00471846"/>
  </w:style>
  <w:style w:type="paragraph" w:styleId="Revision">
    <w:name w:val="Revision"/>
    <w:hidden/>
    <w:uiPriority w:val="99"/>
    <w:semiHidden/>
    <w:rsid w:val="006C041C"/>
    <w:pPr>
      <w:spacing w:after="0" w:line="240" w:lineRule="auto"/>
    </w:pPr>
    <w:rPr>
      <w:rFonts w:ascii="Times New Roman" w:hAnsi="Times New Roman"/>
      <w:sz w:val="24"/>
    </w:rPr>
  </w:style>
  <w:style w:type="paragraph" w:styleId="NoSpacing">
    <w:name w:val="No Spacing"/>
    <w:uiPriority w:val="1"/>
    <w:qFormat/>
    <w:rsid w:val="00D2407C"/>
    <w:pPr>
      <w:spacing w:after="0" w:line="240" w:lineRule="auto"/>
    </w:pPr>
    <w:rPr>
      <w:rFonts w:ascii="Times New Roman" w:hAnsi="Times New Roman"/>
      <w:sz w:val="18"/>
    </w:rPr>
  </w:style>
  <w:style w:type="paragraph" w:styleId="FootnoteText">
    <w:name w:val="footnote text"/>
    <w:basedOn w:val="Normal"/>
    <w:link w:val="FootnoteTextChar"/>
    <w:uiPriority w:val="99"/>
    <w:semiHidden/>
    <w:unhideWhenUsed/>
    <w:rsid w:val="00D2407C"/>
    <w:rPr>
      <w:sz w:val="20"/>
      <w:szCs w:val="20"/>
    </w:rPr>
  </w:style>
  <w:style w:type="character" w:customStyle="1" w:styleId="FootnoteTextChar">
    <w:name w:val="Footnote Text Char"/>
    <w:basedOn w:val="DefaultParagraphFont"/>
    <w:link w:val="FootnoteText"/>
    <w:uiPriority w:val="99"/>
    <w:semiHidden/>
    <w:rsid w:val="00D2407C"/>
    <w:rPr>
      <w:rFonts w:ascii="Times New Roman" w:hAnsi="Times New Roman"/>
      <w:sz w:val="20"/>
      <w:szCs w:val="20"/>
    </w:rPr>
  </w:style>
  <w:style w:type="character" w:styleId="FootnoteReference">
    <w:name w:val="footnote reference"/>
    <w:basedOn w:val="DefaultParagraphFont"/>
    <w:uiPriority w:val="99"/>
    <w:semiHidden/>
    <w:unhideWhenUsed/>
    <w:rsid w:val="00D2407C"/>
    <w:rPr>
      <w:vertAlign w:val="superscript"/>
    </w:rPr>
  </w:style>
  <w:style w:type="character" w:styleId="UnresolvedMention">
    <w:name w:val="Unresolved Mention"/>
    <w:basedOn w:val="DefaultParagraphFont"/>
    <w:uiPriority w:val="99"/>
    <w:semiHidden/>
    <w:unhideWhenUsed/>
    <w:rsid w:val="00E21FA0"/>
    <w:rPr>
      <w:color w:val="605E5C"/>
      <w:shd w:val="clear" w:color="auto" w:fill="E1DFDD"/>
    </w:rPr>
  </w:style>
  <w:style w:type="paragraph" w:customStyle="1" w:styleId="1stParagraph">
    <w:name w:val="1st Paragraph"/>
    <w:basedOn w:val="Normal"/>
    <w:link w:val="1stParagraphChar"/>
    <w:qFormat/>
    <w:rsid w:val="007B178E"/>
    <w:pPr>
      <w:ind w:firstLine="0"/>
    </w:pPr>
  </w:style>
  <w:style w:type="paragraph" w:customStyle="1" w:styleId="FigureCaption">
    <w:name w:val="Figure Caption"/>
    <w:basedOn w:val="1stParagraph"/>
    <w:link w:val="FigureCaptionChar"/>
    <w:qFormat/>
    <w:rsid w:val="007E03BC"/>
    <w:pPr>
      <w:jc w:val="center"/>
    </w:pPr>
    <w:rPr>
      <w:b/>
      <w:bCs/>
    </w:rPr>
  </w:style>
  <w:style w:type="character" w:customStyle="1" w:styleId="1stParagraphChar">
    <w:name w:val="1st Paragraph Char"/>
    <w:basedOn w:val="DefaultParagraphFont"/>
    <w:link w:val="1stParagraph"/>
    <w:rsid w:val="007B178E"/>
    <w:rPr>
      <w:rFonts w:ascii="Times New Roman" w:hAnsi="Times New Roman"/>
      <w:sz w:val="24"/>
    </w:rPr>
  </w:style>
  <w:style w:type="paragraph" w:customStyle="1" w:styleId="Figure">
    <w:name w:val="Figure"/>
    <w:basedOn w:val="Normal"/>
    <w:link w:val="FigureChar"/>
    <w:qFormat/>
    <w:rsid w:val="007E03BC"/>
    <w:pPr>
      <w:ind w:firstLine="0"/>
      <w:jc w:val="center"/>
    </w:pPr>
    <w:rPr>
      <w:noProof/>
    </w:rPr>
  </w:style>
  <w:style w:type="character" w:customStyle="1" w:styleId="FigureCaptionChar">
    <w:name w:val="Figure Caption Char"/>
    <w:basedOn w:val="1stParagraphChar"/>
    <w:link w:val="FigureCaption"/>
    <w:rsid w:val="007E03BC"/>
    <w:rPr>
      <w:rFonts w:ascii="Times New Roman" w:hAnsi="Times New Roman"/>
      <w:b/>
      <w:bCs/>
      <w:sz w:val="24"/>
    </w:rPr>
  </w:style>
  <w:style w:type="paragraph" w:customStyle="1" w:styleId="TableCaption">
    <w:name w:val="Table Caption"/>
    <w:basedOn w:val="1stParagraph"/>
    <w:link w:val="TableCaptionChar"/>
    <w:qFormat/>
    <w:rsid w:val="00C23C4F"/>
    <w:pPr>
      <w:jc w:val="left"/>
    </w:pPr>
    <w:rPr>
      <w:b/>
      <w:bCs/>
    </w:rPr>
  </w:style>
  <w:style w:type="character" w:customStyle="1" w:styleId="FigureChar">
    <w:name w:val="Figure Char"/>
    <w:basedOn w:val="DefaultParagraphFont"/>
    <w:link w:val="Figure"/>
    <w:rsid w:val="007E03BC"/>
    <w:rPr>
      <w:rFonts w:ascii="Times New Roman" w:hAnsi="Times New Roman"/>
      <w:noProof/>
      <w:sz w:val="24"/>
    </w:rPr>
  </w:style>
  <w:style w:type="character" w:customStyle="1" w:styleId="TableCaptionChar">
    <w:name w:val="Table Caption Char"/>
    <w:basedOn w:val="1stParagraphChar"/>
    <w:link w:val="TableCaption"/>
    <w:rsid w:val="00C23C4F"/>
    <w:rPr>
      <w:rFonts w:ascii="Times New Roman" w:hAnsi="Times New Roman"/>
      <w:b/>
      <w:bCs/>
      <w:sz w:val="24"/>
    </w:rPr>
  </w:style>
  <w:style w:type="paragraph" w:styleId="EndnoteText">
    <w:name w:val="endnote text"/>
    <w:basedOn w:val="Normal"/>
    <w:link w:val="EndnoteTextChar"/>
    <w:uiPriority w:val="99"/>
    <w:semiHidden/>
    <w:unhideWhenUsed/>
    <w:rsid w:val="00EB12F9"/>
    <w:rPr>
      <w:sz w:val="20"/>
      <w:szCs w:val="20"/>
    </w:rPr>
  </w:style>
  <w:style w:type="character" w:customStyle="1" w:styleId="EndnoteTextChar">
    <w:name w:val="Endnote Text Char"/>
    <w:basedOn w:val="DefaultParagraphFont"/>
    <w:link w:val="EndnoteText"/>
    <w:uiPriority w:val="99"/>
    <w:semiHidden/>
    <w:rsid w:val="00EB12F9"/>
    <w:rPr>
      <w:rFonts w:ascii="Times New Roman" w:hAnsi="Times New Roman"/>
      <w:sz w:val="20"/>
      <w:szCs w:val="20"/>
    </w:rPr>
  </w:style>
  <w:style w:type="character" w:styleId="EndnoteReference">
    <w:name w:val="endnote reference"/>
    <w:basedOn w:val="DefaultParagraphFont"/>
    <w:uiPriority w:val="99"/>
    <w:semiHidden/>
    <w:unhideWhenUsed/>
    <w:rsid w:val="00EB12F9"/>
    <w:rPr>
      <w:vertAlign w:val="superscript"/>
    </w:rPr>
  </w:style>
  <w:style w:type="character" w:customStyle="1" w:styleId="fontstyle01">
    <w:name w:val="fontstyle01"/>
    <w:basedOn w:val="DefaultParagraphFont"/>
    <w:rsid w:val="00A72E77"/>
    <w:rPr>
      <w:rFonts w:ascii="Garamond-Bold" w:hAnsi="Garamond-Bold" w:hint="default"/>
      <w:b/>
      <w:bCs/>
      <w:i w:val="0"/>
      <w:iCs w:val="0"/>
      <w:color w:val="000000"/>
      <w:sz w:val="26"/>
      <w:szCs w:val="26"/>
    </w:rPr>
  </w:style>
  <w:style w:type="character" w:customStyle="1" w:styleId="fontstyle21">
    <w:name w:val="fontstyle21"/>
    <w:basedOn w:val="DefaultParagraphFont"/>
    <w:rsid w:val="008E2394"/>
    <w:rPr>
      <w:rFonts w:ascii="AdvNPSTim-B" w:hAnsi="AdvNPSTim-B" w:hint="default"/>
      <w:b w:val="0"/>
      <w:bCs w:val="0"/>
      <w:i w:val="0"/>
      <w:iCs w:val="0"/>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58920">
      <w:bodyDiv w:val="1"/>
      <w:marLeft w:val="0"/>
      <w:marRight w:val="0"/>
      <w:marTop w:val="0"/>
      <w:marBottom w:val="0"/>
      <w:divBdr>
        <w:top w:val="none" w:sz="0" w:space="0" w:color="auto"/>
        <w:left w:val="none" w:sz="0" w:space="0" w:color="auto"/>
        <w:bottom w:val="none" w:sz="0" w:space="0" w:color="auto"/>
        <w:right w:val="none" w:sz="0" w:space="0" w:color="auto"/>
      </w:divBdr>
    </w:div>
    <w:div w:id="208885339">
      <w:bodyDiv w:val="1"/>
      <w:marLeft w:val="0"/>
      <w:marRight w:val="0"/>
      <w:marTop w:val="0"/>
      <w:marBottom w:val="0"/>
      <w:divBdr>
        <w:top w:val="none" w:sz="0" w:space="0" w:color="auto"/>
        <w:left w:val="none" w:sz="0" w:space="0" w:color="auto"/>
        <w:bottom w:val="none" w:sz="0" w:space="0" w:color="auto"/>
        <w:right w:val="none" w:sz="0" w:space="0" w:color="auto"/>
      </w:divBdr>
    </w:div>
    <w:div w:id="252009684">
      <w:bodyDiv w:val="1"/>
      <w:marLeft w:val="0"/>
      <w:marRight w:val="0"/>
      <w:marTop w:val="0"/>
      <w:marBottom w:val="0"/>
      <w:divBdr>
        <w:top w:val="none" w:sz="0" w:space="0" w:color="auto"/>
        <w:left w:val="none" w:sz="0" w:space="0" w:color="auto"/>
        <w:bottom w:val="none" w:sz="0" w:space="0" w:color="auto"/>
        <w:right w:val="none" w:sz="0" w:space="0" w:color="auto"/>
      </w:divBdr>
    </w:div>
    <w:div w:id="695736955">
      <w:bodyDiv w:val="1"/>
      <w:marLeft w:val="0"/>
      <w:marRight w:val="0"/>
      <w:marTop w:val="0"/>
      <w:marBottom w:val="0"/>
      <w:divBdr>
        <w:top w:val="none" w:sz="0" w:space="0" w:color="auto"/>
        <w:left w:val="none" w:sz="0" w:space="0" w:color="auto"/>
        <w:bottom w:val="none" w:sz="0" w:space="0" w:color="auto"/>
        <w:right w:val="none" w:sz="0" w:space="0" w:color="auto"/>
      </w:divBdr>
    </w:div>
    <w:div w:id="728194106">
      <w:bodyDiv w:val="1"/>
      <w:marLeft w:val="0"/>
      <w:marRight w:val="0"/>
      <w:marTop w:val="0"/>
      <w:marBottom w:val="0"/>
      <w:divBdr>
        <w:top w:val="none" w:sz="0" w:space="0" w:color="auto"/>
        <w:left w:val="none" w:sz="0" w:space="0" w:color="auto"/>
        <w:bottom w:val="none" w:sz="0" w:space="0" w:color="auto"/>
        <w:right w:val="none" w:sz="0" w:space="0" w:color="auto"/>
      </w:divBdr>
    </w:div>
    <w:div w:id="769131485">
      <w:bodyDiv w:val="1"/>
      <w:marLeft w:val="0"/>
      <w:marRight w:val="0"/>
      <w:marTop w:val="0"/>
      <w:marBottom w:val="0"/>
      <w:divBdr>
        <w:top w:val="none" w:sz="0" w:space="0" w:color="auto"/>
        <w:left w:val="none" w:sz="0" w:space="0" w:color="auto"/>
        <w:bottom w:val="none" w:sz="0" w:space="0" w:color="auto"/>
        <w:right w:val="none" w:sz="0" w:space="0" w:color="auto"/>
      </w:divBdr>
    </w:div>
    <w:div w:id="804276468">
      <w:bodyDiv w:val="1"/>
      <w:marLeft w:val="0"/>
      <w:marRight w:val="0"/>
      <w:marTop w:val="0"/>
      <w:marBottom w:val="0"/>
      <w:divBdr>
        <w:top w:val="none" w:sz="0" w:space="0" w:color="auto"/>
        <w:left w:val="none" w:sz="0" w:space="0" w:color="auto"/>
        <w:bottom w:val="none" w:sz="0" w:space="0" w:color="auto"/>
        <w:right w:val="none" w:sz="0" w:space="0" w:color="auto"/>
      </w:divBdr>
    </w:div>
    <w:div w:id="857767318">
      <w:bodyDiv w:val="1"/>
      <w:marLeft w:val="0"/>
      <w:marRight w:val="0"/>
      <w:marTop w:val="0"/>
      <w:marBottom w:val="0"/>
      <w:divBdr>
        <w:top w:val="none" w:sz="0" w:space="0" w:color="auto"/>
        <w:left w:val="none" w:sz="0" w:space="0" w:color="auto"/>
        <w:bottom w:val="none" w:sz="0" w:space="0" w:color="auto"/>
        <w:right w:val="none" w:sz="0" w:space="0" w:color="auto"/>
      </w:divBdr>
    </w:div>
    <w:div w:id="919146201">
      <w:bodyDiv w:val="1"/>
      <w:marLeft w:val="0"/>
      <w:marRight w:val="0"/>
      <w:marTop w:val="0"/>
      <w:marBottom w:val="0"/>
      <w:divBdr>
        <w:top w:val="none" w:sz="0" w:space="0" w:color="auto"/>
        <w:left w:val="none" w:sz="0" w:space="0" w:color="auto"/>
        <w:bottom w:val="none" w:sz="0" w:space="0" w:color="auto"/>
        <w:right w:val="none" w:sz="0" w:space="0" w:color="auto"/>
      </w:divBdr>
      <w:divsChild>
        <w:div w:id="78453290">
          <w:marLeft w:val="0"/>
          <w:marRight w:val="0"/>
          <w:marTop w:val="0"/>
          <w:marBottom w:val="0"/>
          <w:divBdr>
            <w:top w:val="none" w:sz="0" w:space="0" w:color="auto"/>
            <w:left w:val="none" w:sz="0" w:space="0" w:color="auto"/>
            <w:bottom w:val="none" w:sz="0" w:space="0" w:color="auto"/>
            <w:right w:val="none" w:sz="0" w:space="0" w:color="auto"/>
          </w:divBdr>
        </w:div>
        <w:div w:id="648025226">
          <w:marLeft w:val="0"/>
          <w:marRight w:val="0"/>
          <w:marTop w:val="0"/>
          <w:marBottom w:val="0"/>
          <w:divBdr>
            <w:top w:val="none" w:sz="0" w:space="0" w:color="auto"/>
            <w:left w:val="none" w:sz="0" w:space="0" w:color="auto"/>
            <w:bottom w:val="none" w:sz="0" w:space="0" w:color="auto"/>
            <w:right w:val="none" w:sz="0" w:space="0" w:color="auto"/>
          </w:divBdr>
        </w:div>
        <w:div w:id="1029406358">
          <w:marLeft w:val="0"/>
          <w:marRight w:val="0"/>
          <w:marTop w:val="0"/>
          <w:marBottom w:val="0"/>
          <w:divBdr>
            <w:top w:val="none" w:sz="0" w:space="0" w:color="auto"/>
            <w:left w:val="none" w:sz="0" w:space="0" w:color="auto"/>
            <w:bottom w:val="none" w:sz="0" w:space="0" w:color="auto"/>
            <w:right w:val="none" w:sz="0" w:space="0" w:color="auto"/>
          </w:divBdr>
        </w:div>
        <w:div w:id="1264920010">
          <w:marLeft w:val="0"/>
          <w:marRight w:val="0"/>
          <w:marTop w:val="0"/>
          <w:marBottom w:val="0"/>
          <w:divBdr>
            <w:top w:val="none" w:sz="0" w:space="0" w:color="auto"/>
            <w:left w:val="none" w:sz="0" w:space="0" w:color="auto"/>
            <w:bottom w:val="none" w:sz="0" w:space="0" w:color="auto"/>
            <w:right w:val="none" w:sz="0" w:space="0" w:color="auto"/>
          </w:divBdr>
        </w:div>
        <w:div w:id="1348942433">
          <w:marLeft w:val="0"/>
          <w:marRight w:val="0"/>
          <w:marTop w:val="0"/>
          <w:marBottom w:val="0"/>
          <w:divBdr>
            <w:top w:val="none" w:sz="0" w:space="0" w:color="auto"/>
            <w:left w:val="none" w:sz="0" w:space="0" w:color="auto"/>
            <w:bottom w:val="none" w:sz="0" w:space="0" w:color="auto"/>
            <w:right w:val="none" w:sz="0" w:space="0" w:color="auto"/>
          </w:divBdr>
        </w:div>
        <w:div w:id="1732121466">
          <w:marLeft w:val="0"/>
          <w:marRight w:val="0"/>
          <w:marTop w:val="0"/>
          <w:marBottom w:val="0"/>
          <w:divBdr>
            <w:top w:val="none" w:sz="0" w:space="0" w:color="auto"/>
            <w:left w:val="none" w:sz="0" w:space="0" w:color="auto"/>
            <w:bottom w:val="none" w:sz="0" w:space="0" w:color="auto"/>
            <w:right w:val="none" w:sz="0" w:space="0" w:color="auto"/>
          </w:divBdr>
        </w:div>
        <w:div w:id="1971669413">
          <w:marLeft w:val="0"/>
          <w:marRight w:val="0"/>
          <w:marTop w:val="0"/>
          <w:marBottom w:val="0"/>
          <w:divBdr>
            <w:top w:val="none" w:sz="0" w:space="0" w:color="auto"/>
            <w:left w:val="none" w:sz="0" w:space="0" w:color="auto"/>
            <w:bottom w:val="none" w:sz="0" w:space="0" w:color="auto"/>
            <w:right w:val="none" w:sz="0" w:space="0" w:color="auto"/>
          </w:divBdr>
        </w:div>
        <w:div w:id="2122265433">
          <w:marLeft w:val="0"/>
          <w:marRight w:val="0"/>
          <w:marTop w:val="0"/>
          <w:marBottom w:val="0"/>
          <w:divBdr>
            <w:top w:val="none" w:sz="0" w:space="0" w:color="auto"/>
            <w:left w:val="none" w:sz="0" w:space="0" w:color="auto"/>
            <w:bottom w:val="none" w:sz="0" w:space="0" w:color="auto"/>
            <w:right w:val="none" w:sz="0" w:space="0" w:color="auto"/>
          </w:divBdr>
        </w:div>
      </w:divsChild>
    </w:div>
    <w:div w:id="1516457362">
      <w:bodyDiv w:val="1"/>
      <w:marLeft w:val="0"/>
      <w:marRight w:val="0"/>
      <w:marTop w:val="0"/>
      <w:marBottom w:val="0"/>
      <w:divBdr>
        <w:top w:val="none" w:sz="0" w:space="0" w:color="auto"/>
        <w:left w:val="none" w:sz="0" w:space="0" w:color="auto"/>
        <w:bottom w:val="none" w:sz="0" w:space="0" w:color="auto"/>
        <w:right w:val="none" w:sz="0" w:space="0" w:color="auto"/>
      </w:divBdr>
    </w:div>
    <w:div w:id="1866483912">
      <w:bodyDiv w:val="1"/>
      <w:marLeft w:val="0"/>
      <w:marRight w:val="0"/>
      <w:marTop w:val="0"/>
      <w:marBottom w:val="0"/>
      <w:divBdr>
        <w:top w:val="none" w:sz="0" w:space="0" w:color="auto"/>
        <w:left w:val="none" w:sz="0" w:space="0" w:color="auto"/>
        <w:bottom w:val="none" w:sz="0" w:space="0" w:color="auto"/>
        <w:right w:val="none" w:sz="0" w:space="0" w:color="auto"/>
      </w:divBdr>
    </w:div>
    <w:div w:id="1941523035">
      <w:bodyDiv w:val="1"/>
      <w:marLeft w:val="0"/>
      <w:marRight w:val="0"/>
      <w:marTop w:val="0"/>
      <w:marBottom w:val="0"/>
      <w:divBdr>
        <w:top w:val="none" w:sz="0" w:space="0" w:color="auto"/>
        <w:left w:val="none" w:sz="0" w:space="0" w:color="auto"/>
        <w:bottom w:val="none" w:sz="0" w:space="0" w:color="auto"/>
        <w:right w:val="none" w:sz="0" w:space="0" w:color="auto"/>
      </w:divBdr>
    </w:div>
    <w:div w:id="21389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u@umd.edu" TargetMode="External"/><Relationship Id="rId13" Type="http://schemas.openxmlformats.org/officeDocument/2006/relationships/image" Target="media/image3.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yperlink" Target="mailto:linn@umd.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B:\EV%20Paper\Revised%20Descriptice%20Statistics_%20EV%20paper0526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EV%20Paper\Prediction%20Files\0.Prediction%20Resul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Identifying common variables across MaritzCX and NHTS Data</a:t>
            </a:r>
          </a:p>
        </c:rich>
      </c:tx>
      <c:layout>
        <c:manualLayout>
          <c:xMode val="edge"/>
          <c:yMode val="edge"/>
          <c:x val="0.11699228133567703"/>
          <c:y val="2.337013956293763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MaritzCX Data</c:v>
          </c:tx>
          <c:spPr>
            <a:solidFill>
              <a:schemeClr val="accent1"/>
            </a:solidFill>
            <a:ln>
              <a:noFill/>
            </a:ln>
            <a:effectLst/>
          </c:spPr>
          <c:invertIfNegative val="0"/>
          <c:cat>
            <c:strRef>
              <c:f>Sheet4!$D$9:$D$43</c:f>
              <c:strCache>
                <c:ptCount val="35"/>
                <c:pt idx="0">
                  <c:v>2-door car</c:v>
                </c:pt>
                <c:pt idx="1">
                  <c:v>4-door car</c:v>
                </c:pt>
                <c:pt idx="2">
                  <c:v>Toyota</c:v>
                </c:pt>
                <c:pt idx="3">
                  <c:v>Chevrolet</c:v>
                </c:pt>
                <c:pt idx="4">
                  <c:v>Subaru</c:v>
                </c:pt>
                <c:pt idx="5">
                  <c:v>Ford</c:v>
                </c:pt>
                <c:pt idx="6">
                  <c:v>Honda</c:v>
                </c:pt>
                <c:pt idx="7">
                  <c:v>GMC</c:v>
                </c:pt>
                <c:pt idx="8">
                  <c:v>Jeep</c:v>
                </c:pt>
                <c:pt idx="9">
                  <c:v>Other brand</c:v>
                </c:pt>
                <c:pt idx="10">
                  <c:v>Urban</c:v>
                </c:pt>
                <c:pt idx="11">
                  <c:v>Rural</c:v>
                </c:pt>
                <c:pt idx="12">
                  <c:v>Less than 17 years old</c:v>
                </c:pt>
                <c:pt idx="13">
                  <c:v>17 to 35 years old</c:v>
                </c:pt>
                <c:pt idx="14">
                  <c:v>36 to 50 years old</c:v>
                </c:pt>
                <c:pt idx="15">
                  <c:v>51 to 65 years old</c:v>
                </c:pt>
                <c:pt idx="16">
                  <c:v>More than 65 years old</c:v>
                </c:pt>
                <c:pt idx="17">
                  <c:v>Low-income household</c:v>
                </c:pt>
                <c:pt idx="18">
                  <c:v>Medium income household</c:v>
                </c:pt>
                <c:pt idx="19">
                  <c:v>High income household</c:v>
                </c:pt>
                <c:pt idx="20">
                  <c:v>HH Income: less than $35K</c:v>
                </c:pt>
                <c:pt idx="21">
                  <c:v>HH Income: $35K - $50K</c:v>
                </c:pt>
                <c:pt idx="22">
                  <c:v>HH Income: $50K - $75K</c:v>
                </c:pt>
                <c:pt idx="23">
                  <c:v>HH Income: $75K - $100K</c:v>
                </c:pt>
                <c:pt idx="24">
                  <c:v>HH Income: $100K - $125K</c:v>
                </c:pt>
                <c:pt idx="25">
                  <c:v>HH Income: $125K - $150K</c:v>
                </c:pt>
                <c:pt idx="26">
                  <c:v>HH Income: $150K - $200K</c:v>
                </c:pt>
                <c:pt idx="27">
                  <c:v>HH Income: more than $200K</c:v>
                </c:pt>
                <c:pt idx="28">
                  <c:v>Low density area</c:v>
                </c:pt>
                <c:pt idx="29">
                  <c:v>Medium density area</c:v>
                </c:pt>
                <c:pt idx="30">
                  <c:v>High density area</c:v>
                </c:pt>
                <c:pt idx="31">
                  <c:v>Proportion of male</c:v>
                </c:pt>
                <c:pt idx="32">
                  <c:v>Proportion of female</c:v>
                </c:pt>
                <c:pt idx="33">
                  <c:v>Owned house</c:v>
                </c:pt>
                <c:pt idx="34">
                  <c:v>Rented house</c:v>
                </c:pt>
              </c:strCache>
            </c:strRef>
          </c:cat>
          <c:val>
            <c:numRef>
              <c:f>Sheet4!$E$9:$E$43</c:f>
              <c:numCache>
                <c:formatCode>0.00</c:formatCode>
                <c:ptCount val="35"/>
                <c:pt idx="0">
                  <c:v>8.0399999999999999E-2</c:v>
                </c:pt>
                <c:pt idx="1">
                  <c:v>0.91959999999999997</c:v>
                </c:pt>
                <c:pt idx="2">
                  <c:v>0.1124</c:v>
                </c:pt>
                <c:pt idx="3">
                  <c:v>8.5199999999999998E-2</c:v>
                </c:pt>
                <c:pt idx="4">
                  <c:v>8.2600000000000007E-2</c:v>
                </c:pt>
                <c:pt idx="5">
                  <c:v>9.1999999999999998E-2</c:v>
                </c:pt>
                <c:pt idx="6">
                  <c:v>5.7000000000000002E-2</c:v>
                </c:pt>
                <c:pt idx="7">
                  <c:v>4.5999999999999999E-2</c:v>
                </c:pt>
                <c:pt idx="8">
                  <c:v>5.2200000000000003E-2</c:v>
                </c:pt>
                <c:pt idx="9">
                  <c:v>0.47260000000000002</c:v>
                </c:pt>
                <c:pt idx="10">
                  <c:v>0.86219999999999997</c:v>
                </c:pt>
                <c:pt idx="11">
                  <c:v>0.14000000000000001</c:v>
                </c:pt>
                <c:pt idx="12">
                  <c:v>0.01</c:v>
                </c:pt>
                <c:pt idx="13">
                  <c:v>0.1096</c:v>
                </c:pt>
                <c:pt idx="14">
                  <c:v>0.21820000000000001</c:v>
                </c:pt>
                <c:pt idx="15">
                  <c:v>0.3634</c:v>
                </c:pt>
                <c:pt idx="16">
                  <c:v>0.30859999999999999</c:v>
                </c:pt>
                <c:pt idx="17">
                  <c:v>0.115</c:v>
                </c:pt>
                <c:pt idx="18">
                  <c:v>0.29559999999999997</c:v>
                </c:pt>
                <c:pt idx="19">
                  <c:v>0.58940000000000003</c:v>
                </c:pt>
                <c:pt idx="20">
                  <c:v>3.7655365865454371E-2</c:v>
                </c:pt>
                <c:pt idx="21">
                  <c:v>8.620206026019249E-2</c:v>
                </c:pt>
                <c:pt idx="22">
                  <c:v>0.14265125501765247</c:v>
                </c:pt>
                <c:pt idx="23">
                  <c:v>0.14838709677419354</c:v>
                </c:pt>
                <c:pt idx="24">
                  <c:v>0.11357547032935145</c:v>
                </c:pt>
                <c:pt idx="25">
                  <c:v>0.13498089664844998</c:v>
                </c:pt>
                <c:pt idx="26">
                  <c:v>0.10494752623688156</c:v>
                </c:pt>
                <c:pt idx="27">
                  <c:v>0.23160032886782417</c:v>
                </c:pt>
              </c:numCache>
            </c:numRef>
          </c:val>
          <c:extLst>
            <c:ext xmlns:c16="http://schemas.microsoft.com/office/drawing/2014/chart" uri="{C3380CC4-5D6E-409C-BE32-E72D297353CC}">
              <c16:uniqueId val="{00000000-8666-4A65-B86C-E768EFA92F76}"/>
            </c:ext>
          </c:extLst>
        </c:ser>
        <c:ser>
          <c:idx val="1"/>
          <c:order val="1"/>
          <c:tx>
            <c:v>NHTS Data</c:v>
          </c:tx>
          <c:spPr>
            <a:solidFill>
              <a:schemeClr val="accent2"/>
            </a:solidFill>
            <a:ln>
              <a:noFill/>
            </a:ln>
            <a:effectLst/>
          </c:spPr>
          <c:invertIfNegative val="0"/>
          <c:cat>
            <c:strRef>
              <c:f>Sheet4!$D$9:$D$43</c:f>
              <c:strCache>
                <c:ptCount val="35"/>
                <c:pt idx="0">
                  <c:v>2-door car</c:v>
                </c:pt>
                <c:pt idx="1">
                  <c:v>4-door car</c:v>
                </c:pt>
                <c:pt idx="2">
                  <c:v>Toyota</c:v>
                </c:pt>
                <c:pt idx="3">
                  <c:v>Chevrolet</c:v>
                </c:pt>
                <c:pt idx="4">
                  <c:v>Subaru</c:v>
                </c:pt>
                <c:pt idx="5">
                  <c:v>Ford</c:v>
                </c:pt>
                <c:pt idx="6">
                  <c:v>Honda</c:v>
                </c:pt>
                <c:pt idx="7">
                  <c:v>GMC</c:v>
                </c:pt>
                <c:pt idx="8">
                  <c:v>Jeep</c:v>
                </c:pt>
                <c:pt idx="9">
                  <c:v>Other brand</c:v>
                </c:pt>
                <c:pt idx="10">
                  <c:v>Urban</c:v>
                </c:pt>
                <c:pt idx="11">
                  <c:v>Rural</c:v>
                </c:pt>
                <c:pt idx="12">
                  <c:v>Less than 17 years old</c:v>
                </c:pt>
                <c:pt idx="13">
                  <c:v>17 to 35 years old</c:v>
                </c:pt>
                <c:pt idx="14">
                  <c:v>36 to 50 years old</c:v>
                </c:pt>
                <c:pt idx="15">
                  <c:v>51 to 65 years old</c:v>
                </c:pt>
                <c:pt idx="16">
                  <c:v>More than 65 years old</c:v>
                </c:pt>
                <c:pt idx="17">
                  <c:v>Low-income household</c:v>
                </c:pt>
                <c:pt idx="18">
                  <c:v>Medium income household</c:v>
                </c:pt>
                <c:pt idx="19">
                  <c:v>High income household</c:v>
                </c:pt>
                <c:pt idx="20">
                  <c:v>HH Income: less than $35K</c:v>
                </c:pt>
                <c:pt idx="21">
                  <c:v>HH Income: $35K - $50K</c:v>
                </c:pt>
                <c:pt idx="22">
                  <c:v>HH Income: $50K - $75K</c:v>
                </c:pt>
                <c:pt idx="23">
                  <c:v>HH Income: $75K - $100K</c:v>
                </c:pt>
                <c:pt idx="24">
                  <c:v>HH Income: $100K - $125K</c:v>
                </c:pt>
                <c:pt idx="25">
                  <c:v>HH Income: $125K - $150K</c:v>
                </c:pt>
                <c:pt idx="26">
                  <c:v>HH Income: $150K - $200K</c:v>
                </c:pt>
                <c:pt idx="27">
                  <c:v>HH Income: more than $200K</c:v>
                </c:pt>
                <c:pt idx="28">
                  <c:v>Low density area</c:v>
                </c:pt>
                <c:pt idx="29">
                  <c:v>Medium density area</c:v>
                </c:pt>
                <c:pt idx="30">
                  <c:v>High density area</c:v>
                </c:pt>
                <c:pt idx="31">
                  <c:v>Proportion of male</c:v>
                </c:pt>
                <c:pt idx="32">
                  <c:v>Proportion of female</c:v>
                </c:pt>
                <c:pt idx="33">
                  <c:v>Owned house</c:v>
                </c:pt>
                <c:pt idx="34">
                  <c:v>Rented house</c:v>
                </c:pt>
              </c:strCache>
            </c:strRef>
          </c:cat>
          <c:val>
            <c:numRef>
              <c:f>Sheet4!$F$9:$F$43</c:f>
              <c:numCache>
                <c:formatCode>General</c:formatCode>
                <c:ptCount val="35"/>
                <c:pt idx="10" formatCode="0.00">
                  <c:v>0.76040696669999996</c:v>
                </c:pt>
                <c:pt idx="11" formatCode="0.00">
                  <c:v>0.23959303330000001</c:v>
                </c:pt>
                <c:pt idx="12" formatCode="0.00">
                  <c:v>9.5299999999999996E-2</c:v>
                </c:pt>
                <c:pt idx="13" formatCode="0.00">
                  <c:v>0.12239999999999999</c:v>
                </c:pt>
                <c:pt idx="14" formatCode="0.00">
                  <c:v>0.21529999999999999</c:v>
                </c:pt>
                <c:pt idx="15" formatCode="0.00">
                  <c:v>0.32440000000000002</c:v>
                </c:pt>
                <c:pt idx="16" formatCode="0.00">
                  <c:v>0.24260000000000001</c:v>
                </c:pt>
                <c:pt idx="17" formatCode="0.00">
                  <c:v>0.18340000000000001</c:v>
                </c:pt>
                <c:pt idx="18" formatCode="0.00">
                  <c:v>0.3281</c:v>
                </c:pt>
                <c:pt idx="19" formatCode="0.00">
                  <c:v>0.48849999999999999</c:v>
                </c:pt>
                <c:pt idx="20">
                  <c:v>9.8900000000000002E-2</c:v>
                </c:pt>
                <c:pt idx="21">
                  <c:v>8.4599999999999995E-2</c:v>
                </c:pt>
                <c:pt idx="22">
                  <c:v>0.1656</c:v>
                </c:pt>
                <c:pt idx="23">
                  <c:v>0.16250000000000001</c:v>
                </c:pt>
                <c:pt idx="24">
                  <c:v>0.15540000000000001</c:v>
                </c:pt>
                <c:pt idx="25">
                  <c:v>9.7100000000000006E-2</c:v>
                </c:pt>
                <c:pt idx="26">
                  <c:v>0.1055</c:v>
                </c:pt>
                <c:pt idx="27">
                  <c:v>0.1305</c:v>
                </c:pt>
                <c:pt idx="28" formatCode="0.00">
                  <c:v>0.32002069319999998</c:v>
                </c:pt>
                <c:pt idx="29" formatCode="0.00">
                  <c:v>0.43666149339999999</c:v>
                </c:pt>
                <c:pt idx="30" formatCode="0.00">
                  <c:v>0.2433178134</c:v>
                </c:pt>
                <c:pt idx="31" formatCode="0.00">
                  <c:v>0.4867390929</c:v>
                </c:pt>
                <c:pt idx="32" formatCode="0.00">
                  <c:v>0.51326090710000005</c:v>
                </c:pt>
                <c:pt idx="33" formatCode="0.00">
                  <c:v>0.86818416970000001</c:v>
                </c:pt>
                <c:pt idx="34" formatCode="0.00">
                  <c:v>0.13181583029999999</c:v>
                </c:pt>
              </c:numCache>
            </c:numRef>
          </c:val>
          <c:extLst>
            <c:ext xmlns:c16="http://schemas.microsoft.com/office/drawing/2014/chart" uri="{C3380CC4-5D6E-409C-BE32-E72D297353CC}">
              <c16:uniqueId val="{00000001-8666-4A65-B86C-E768EFA92F76}"/>
            </c:ext>
          </c:extLst>
        </c:ser>
        <c:dLbls>
          <c:showLegendKey val="0"/>
          <c:showVal val="0"/>
          <c:showCatName val="0"/>
          <c:showSerName val="0"/>
          <c:showPercent val="0"/>
          <c:showBubbleSize val="0"/>
        </c:dLbls>
        <c:gapWidth val="182"/>
        <c:axId val="1564057215"/>
        <c:axId val="1564054815"/>
      </c:barChart>
      <c:catAx>
        <c:axId val="15640572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64054815"/>
        <c:crosses val="autoZero"/>
        <c:auto val="1"/>
        <c:lblAlgn val="ctr"/>
        <c:lblOffset val="100"/>
        <c:noMultiLvlLbl val="0"/>
      </c:catAx>
      <c:valAx>
        <c:axId val="156405481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64057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Census region</a:t>
            </a:r>
            <a:r>
              <a:rPr lang="en-US" baseline="0">
                <a:solidFill>
                  <a:sysClr val="windowText" lastClr="000000"/>
                </a:solidFill>
                <a:latin typeface="Times New Roman" panose="02020603050405020304" pitchFamily="18" charset="0"/>
                <a:cs typeface="Times New Roman" panose="02020603050405020304" pitchFamily="18" charset="0"/>
              </a:rPr>
              <a:t> wise model evaluation</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'LL Improvement Census Tract'!$N$7</c:f>
              <c:strCache>
                <c:ptCount val="1"/>
                <c:pt idx="0">
                  <c:v>MaritzCX only model </c:v>
                </c:pt>
              </c:strCache>
            </c:strRef>
          </c:tx>
          <c:spPr>
            <a:solidFill>
              <a:schemeClr val="accent1"/>
            </a:solidFill>
            <a:ln>
              <a:noFill/>
            </a:ln>
            <a:effectLst/>
          </c:spPr>
          <c:invertIfNegative val="0"/>
          <c:cat>
            <c:strRef>
              <c:f>'LL Improvement Census Tract'!$M$8:$M$11</c:f>
              <c:strCache>
                <c:ptCount val="4"/>
                <c:pt idx="0">
                  <c:v>Midwest</c:v>
                </c:pt>
                <c:pt idx="1">
                  <c:v>Northeast</c:v>
                </c:pt>
                <c:pt idx="2">
                  <c:v>South</c:v>
                </c:pt>
                <c:pt idx="3">
                  <c:v>West</c:v>
                </c:pt>
              </c:strCache>
            </c:strRef>
          </c:cat>
          <c:val>
            <c:numRef>
              <c:f>'LL Improvement Census Tract'!$N$8:$N$11</c:f>
              <c:numCache>
                <c:formatCode>0.000</c:formatCode>
                <c:ptCount val="4"/>
                <c:pt idx="0">
                  <c:v>-1082.7542000000001</c:v>
                </c:pt>
                <c:pt idx="1">
                  <c:v>-1006.3496</c:v>
                </c:pt>
                <c:pt idx="2">
                  <c:v>-1144.7538999999999</c:v>
                </c:pt>
                <c:pt idx="3">
                  <c:v>-1210.7011</c:v>
                </c:pt>
              </c:numCache>
            </c:numRef>
          </c:val>
          <c:extLst>
            <c:ext xmlns:c16="http://schemas.microsoft.com/office/drawing/2014/chart" uri="{C3380CC4-5D6E-409C-BE32-E72D297353CC}">
              <c16:uniqueId val="{00000000-EFF4-417A-AE0B-F352767B4946}"/>
            </c:ext>
          </c:extLst>
        </c:ser>
        <c:ser>
          <c:idx val="1"/>
          <c:order val="1"/>
          <c:tx>
            <c:strRef>
              <c:f>'LL Improvement Census Tract'!$O$7</c:f>
              <c:strCache>
                <c:ptCount val="1"/>
                <c:pt idx="0">
                  <c:v>Fusion model </c:v>
                </c:pt>
              </c:strCache>
            </c:strRef>
          </c:tx>
          <c:spPr>
            <a:solidFill>
              <a:schemeClr val="accent2"/>
            </a:solidFill>
            <a:ln>
              <a:noFill/>
            </a:ln>
            <a:effectLst/>
          </c:spPr>
          <c:invertIfNegative val="0"/>
          <c:cat>
            <c:strRef>
              <c:f>'LL Improvement Census Tract'!$M$8:$M$11</c:f>
              <c:strCache>
                <c:ptCount val="4"/>
                <c:pt idx="0">
                  <c:v>Midwest</c:v>
                </c:pt>
                <c:pt idx="1">
                  <c:v>Northeast</c:v>
                </c:pt>
                <c:pt idx="2">
                  <c:v>South</c:v>
                </c:pt>
                <c:pt idx="3">
                  <c:v>West</c:v>
                </c:pt>
              </c:strCache>
            </c:strRef>
          </c:cat>
          <c:val>
            <c:numRef>
              <c:f>'LL Improvement Census Tract'!$O$8:$O$11</c:f>
              <c:numCache>
                <c:formatCode>0.000</c:formatCode>
                <c:ptCount val="4"/>
                <c:pt idx="0">
                  <c:v>-1074.6030000000001</c:v>
                </c:pt>
                <c:pt idx="1">
                  <c:v>-999.19503999999995</c:v>
                </c:pt>
                <c:pt idx="2">
                  <c:v>-1135.2704000000001</c:v>
                </c:pt>
                <c:pt idx="3">
                  <c:v>-1199.5436</c:v>
                </c:pt>
              </c:numCache>
            </c:numRef>
          </c:val>
          <c:extLst>
            <c:ext xmlns:c16="http://schemas.microsoft.com/office/drawing/2014/chart" uri="{C3380CC4-5D6E-409C-BE32-E72D297353CC}">
              <c16:uniqueId val="{00000001-EFF4-417A-AE0B-F352767B4946}"/>
            </c:ext>
          </c:extLst>
        </c:ser>
        <c:dLbls>
          <c:showLegendKey val="0"/>
          <c:showVal val="0"/>
          <c:showCatName val="0"/>
          <c:showSerName val="0"/>
          <c:showPercent val="0"/>
          <c:showBubbleSize val="0"/>
        </c:dLbls>
        <c:gapWidth val="219"/>
        <c:overlap val="-27"/>
        <c:axId val="560099871"/>
        <c:axId val="560100351"/>
      </c:barChart>
      <c:catAx>
        <c:axId val="560099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0100351"/>
        <c:crosses val="max"/>
        <c:auto val="1"/>
        <c:lblAlgn val="ctr"/>
        <c:lblOffset val="100"/>
        <c:noMultiLvlLbl val="0"/>
      </c:catAx>
      <c:valAx>
        <c:axId val="560100351"/>
        <c:scaling>
          <c:orientation val="maxMin"/>
          <c:max val="-850"/>
          <c:min val="-1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Model Log-likelihood</a:t>
                </a:r>
              </a:p>
            </c:rich>
          </c:tx>
          <c:layout>
            <c:manualLayout>
              <c:xMode val="edge"/>
              <c:yMode val="edge"/>
              <c:x val="2.2222222222222223E-2"/>
              <c:y val="0.216362642169728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wrap="square" anchor="b"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0099871"/>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2DDC07A-BDB6-4C33-9F29-B4997DDF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26642</TotalTime>
  <Pages>36</Pages>
  <Words>42808</Words>
  <Characters>244007</Characters>
  <Application>Microsoft Office Word</Application>
  <DocSecurity>0</DocSecurity>
  <Lines>2033</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Istiak Jahan</dc:creator>
  <cp:keywords/>
  <dc:description/>
  <cp:lastModifiedBy>Md Istiak Jahan</cp:lastModifiedBy>
  <cp:revision>1948</cp:revision>
  <dcterms:created xsi:type="dcterms:W3CDTF">2022-07-05T08:03:00Z</dcterms:created>
  <dcterms:modified xsi:type="dcterms:W3CDTF">2024-10-24T07:12:00Z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http://www.zotero.org/styles/transportation-research-record</vt:lpwstr>
  </property>
  <property fmtid="{D5CDD505-2E9C-101B-9397-08002B2CF9AE}" pid="19" name="Mendeley Recent Style Name 8_1">
    <vt:lpwstr>Transportation Research Record: Journal of the Transportation Research Board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894b767a-f2b0-368d-ae76-6ef24f660ceb</vt:lpwstr>
  </property>
  <property fmtid="{D5CDD505-2E9C-101B-9397-08002B2CF9AE}" pid="24" name="Mendeley Citation Style_1">
    <vt:lpwstr>http://www.zotero.org/styles/apa</vt:lpwstr>
  </property>
</Properties>
</file>