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150BBC" w14:textId="77777777" w:rsidR="006A369E" w:rsidRDefault="006A369E" w:rsidP="00F87342">
      <w:pPr>
        <w:jc w:val="center"/>
        <w:rPr>
          <w:rFonts w:eastAsia="Calibri" w:cs="Times New Roman"/>
          <w:b/>
          <w:sz w:val="26"/>
          <w:szCs w:val="26"/>
        </w:rPr>
      </w:pPr>
    </w:p>
    <w:p w14:paraId="0A484772" w14:textId="77777777" w:rsidR="006A369E" w:rsidRDefault="006A369E" w:rsidP="00F87342">
      <w:pPr>
        <w:jc w:val="center"/>
        <w:rPr>
          <w:rFonts w:eastAsia="Calibri" w:cs="Times New Roman"/>
          <w:b/>
          <w:sz w:val="26"/>
          <w:szCs w:val="26"/>
        </w:rPr>
      </w:pPr>
    </w:p>
    <w:p w14:paraId="6EAC10C3" w14:textId="77777777" w:rsidR="006A369E" w:rsidRDefault="006A369E" w:rsidP="00F87342">
      <w:pPr>
        <w:jc w:val="center"/>
        <w:rPr>
          <w:rFonts w:eastAsia="Calibri" w:cs="Times New Roman"/>
          <w:b/>
          <w:sz w:val="26"/>
          <w:szCs w:val="26"/>
        </w:rPr>
      </w:pPr>
    </w:p>
    <w:p w14:paraId="66A2BB67" w14:textId="77777777" w:rsidR="006A369E" w:rsidRDefault="006A369E" w:rsidP="00F87342">
      <w:pPr>
        <w:jc w:val="center"/>
        <w:rPr>
          <w:rFonts w:eastAsia="Calibri" w:cs="Times New Roman"/>
          <w:b/>
          <w:sz w:val="26"/>
          <w:szCs w:val="26"/>
        </w:rPr>
      </w:pPr>
    </w:p>
    <w:p w14:paraId="1E3A11EE" w14:textId="04DFF957" w:rsidR="006E45E4" w:rsidRPr="00591187" w:rsidRDefault="00A618C9" w:rsidP="00DB714E">
      <w:pPr>
        <w:jc w:val="left"/>
        <w:rPr>
          <w:rFonts w:eastAsia="Calibri" w:cs="Times New Roman"/>
          <w:b/>
          <w:szCs w:val="24"/>
          <w:highlight w:val="yellow"/>
        </w:rPr>
      </w:pPr>
      <w:r>
        <w:rPr>
          <w:rFonts w:eastAsia="Calibri" w:cs="Times New Roman"/>
          <w:b/>
          <w:sz w:val="26"/>
          <w:szCs w:val="26"/>
        </w:rPr>
        <w:t xml:space="preserve">A </w:t>
      </w:r>
      <w:r w:rsidR="004B7358">
        <w:rPr>
          <w:rFonts w:eastAsia="Calibri" w:cs="Times New Roman"/>
          <w:b/>
          <w:sz w:val="26"/>
          <w:szCs w:val="26"/>
        </w:rPr>
        <w:t xml:space="preserve">Novel </w:t>
      </w:r>
      <w:r w:rsidR="007E79A6">
        <w:rPr>
          <w:rFonts w:eastAsia="Calibri" w:cs="Times New Roman"/>
          <w:b/>
          <w:sz w:val="26"/>
          <w:szCs w:val="26"/>
        </w:rPr>
        <w:t xml:space="preserve">Maximum Likelihood </w:t>
      </w:r>
      <w:r w:rsidR="00221DFD">
        <w:rPr>
          <w:rFonts w:eastAsia="Calibri" w:cs="Times New Roman"/>
          <w:b/>
          <w:sz w:val="26"/>
          <w:szCs w:val="26"/>
        </w:rPr>
        <w:t>B</w:t>
      </w:r>
      <w:r w:rsidR="007E79A6">
        <w:rPr>
          <w:rFonts w:eastAsia="Calibri" w:cs="Times New Roman"/>
          <w:b/>
          <w:sz w:val="26"/>
          <w:szCs w:val="26"/>
        </w:rPr>
        <w:t xml:space="preserve">ased </w:t>
      </w:r>
      <w:r w:rsidR="00540535">
        <w:rPr>
          <w:rFonts w:eastAsia="Calibri" w:cs="Times New Roman"/>
          <w:b/>
          <w:sz w:val="26"/>
          <w:szCs w:val="26"/>
        </w:rPr>
        <w:t xml:space="preserve">Probabilistic </w:t>
      </w:r>
      <w:r w:rsidR="00DB714E">
        <w:rPr>
          <w:rFonts w:eastAsia="Calibri" w:cs="Times New Roman"/>
          <w:b/>
          <w:sz w:val="26"/>
          <w:szCs w:val="26"/>
        </w:rPr>
        <w:t xml:space="preserve"> </w:t>
      </w:r>
      <w:r w:rsidR="007256FF">
        <w:rPr>
          <w:rFonts w:eastAsia="Calibri" w:cs="Times New Roman"/>
          <w:b/>
          <w:sz w:val="26"/>
          <w:szCs w:val="26"/>
        </w:rPr>
        <w:t xml:space="preserve">Behavioral </w:t>
      </w:r>
      <w:r>
        <w:rPr>
          <w:rFonts w:eastAsia="Calibri" w:cs="Times New Roman"/>
          <w:b/>
          <w:sz w:val="26"/>
          <w:szCs w:val="26"/>
        </w:rPr>
        <w:t>Data Fusion Algorithm</w:t>
      </w:r>
      <w:r w:rsidR="00890403">
        <w:rPr>
          <w:rFonts w:eastAsia="Calibri" w:cs="Times New Roman"/>
          <w:b/>
          <w:sz w:val="26"/>
          <w:szCs w:val="26"/>
        </w:rPr>
        <w:t xml:space="preserve"> for </w:t>
      </w:r>
      <w:r w:rsidR="005117E9">
        <w:rPr>
          <w:rFonts w:eastAsia="Calibri" w:cs="Times New Roman"/>
          <w:b/>
          <w:sz w:val="26"/>
          <w:szCs w:val="26"/>
        </w:rPr>
        <w:t>Modeling</w:t>
      </w:r>
      <w:r w:rsidR="00D70B3A">
        <w:rPr>
          <w:rFonts w:eastAsia="Calibri" w:cs="Times New Roman"/>
          <w:b/>
          <w:sz w:val="26"/>
          <w:szCs w:val="26"/>
        </w:rPr>
        <w:t xml:space="preserve"> Residential </w:t>
      </w:r>
      <w:r w:rsidR="00890403">
        <w:rPr>
          <w:rFonts w:eastAsia="Calibri" w:cs="Times New Roman"/>
          <w:b/>
          <w:sz w:val="26"/>
          <w:szCs w:val="26"/>
        </w:rPr>
        <w:t>Ene</w:t>
      </w:r>
      <w:r w:rsidR="00D70B3A">
        <w:rPr>
          <w:rFonts w:eastAsia="Calibri" w:cs="Times New Roman"/>
          <w:b/>
          <w:sz w:val="26"/>
          <w:szCs w:val="26"/>
        </w:rPr>
        <w:t>rgy Consumption</w:t>
      </w:r>
    </w:p>
    <w:p w14:paraId="34CE97AD" w14:textId="77777777" w:rsidR="006E45E4" w:rsidRDefault="006E45E4" w:rsidP="00F87342">
      <w:pPr>
        <w:jc w:val="center"/>
        <w:rPr>
          <w:rFonts w:eastAsia="Calibri" w:cs="Times New Roman"/>
          <w:b/>
        </w:rPr>
      </w:pPr>
    </w:p>
    <w:p w14:paraId="5C6524B9" w14:textId="77777777" w:rsidR="006E45E4" w:rsidRDefault="006E45E4" w:rsidP="00F87342">
      <w:pPr>
        <w:jc w:val="center"/>
        <w:rPr>
          <w:rFonts w:eastAsia="Calibri" w:cs="Times New Roman"/>
          <w:b/>
        </w:rPr>
      </w:pPr>
    </w:p>
    <w:p w14:paraId="0CDE73D3" w14:textId="5F267333" w:rsidR="006A369E" w:rsidRPr="006A369E" w:rsidRDefault="006E45E4" w:rsidP="006A369E">
      <w:pPr>
        <w:jc w:val="left"/>
        <w:rPr>
          <w:rFonts w:eastAsia="Calibri" w:cs="Times New Roman"/>
          <w:b/>
          <w:vertAlign w:val="superscript"/>
        </w:rPr>
      </w:pPr>
      <w:r>
        <w:rPr>
          <w:rFonts w:eastAsia="Calibri" w:cs="Times New Roman"/>
          <w:b/>
        </w:rPr>
        <w:t>Tanmoy Bhowmik</w:t>
      </w:r>
      <w:r w:rsidR="006A369E" w:rsidRPr="006A369E">
        <w:rPr>
          <w:rFonts w:eastAsia="Calibri" w:cs="Times New Roman"/>
          <w:b/>
          <w:vertAlign w:val="superscript"/>
        </w:rPr>
        <w:t>1</w:t>
      </w:r>
      <w:r>
        <w:rPr>
          <w:rFonts w:eastAsia="Calibri" w:cs="Times New Roman"/>
          <w:b/>
        </w:rPr>
        <w:t>*</w:t>
      </w:r>
      <w:r w:rsidR="006A369E">
        <w:rPr>
          <w:rFonts w:eastAsia="Calibri" w:cs="Times New Roman"/>
          <w:b/>
        </w:rPr>
        <w:t xml:space="preserve">, </w:t>
      </w:r>
      <w:r w:rsidR="006A369E" w:rsidRPr="00BA5205">
        <w:rPr>
          <w:rFonts w:eastAsia="Calibri" w:cs="Times New Roman"/>
          <w:b/>
        </w:rPr>
        <w:t>Naveen Chandra Iraganaboina</w:t>
      </w:r>
      <w:r w:rsidR="006A369E">
        <w:rPr>
          <w:rFonts w:eastAsia="Calibri" w:cs="Times New Roman"/>
          <w:b/>
          <w:vertAlign w:val="superscript"/>
        </w:rPr>
        <w:t>2</w:t>
      </w:r>
      <w:r w:rsidR="006A369E">
        <w:rPr>
          <w:rFonts w:eastAsia="Calibri" w:cs="Times New Roman"/>
          <w:b/>
        </w:rPr>
        <w:t xml:space="preserve">, </w:t>
      </w:r>
      <w:r w:rsidR="006A369E" w:rsidRPr="00494C5F">
        <w:rPr>
          <w:rFonts w:eastAsia="Calibri" w:cs="Times New Roman"/>
          <w:b/>
        </w:rPr>
        <w:t>Naveen Eluru</w:t>
      </w:r>
      <w:r w:rsidR="006A369E">
        <w:rPr>
          <w:rFonts w:eastAsia="Calibri" w:cs="Times New Roman"/>
          <w:b/>
          <w:vertAlign w:val="superscript"/>
        </w:rPr>
        <w:t>2</w:t>
      </w:r>
    </w:p>
    <w:p w14:paraId="2F3EB4D6" w14:textId="1E2CB332" w:rsidR="006E45E4" w:rsidRDefault="006A369E" w:rsidP="00F87342">
      <w:pPr>
        <w:jc w:val="center"/>
        <w:rPr>
          <w:rFonts w:eastAsia="Calibri" w:cs="Times New Roman"/>
          <w:b/>
        </w:rPr>
      </w:pPr>
      <w:r>
        <w:rPr>
          <w:rFonts w:eastAsia="Calibri" w:cs="Times New Roman"/>
          <w:b/>
        </w:rPr>
        <w:t xml:space="preserve">, </w:t>
      </w:r>
    </w:p>
    <w:p w14:paraId="32D2F7BC" w14:textId="77777777" w:rsidR="006A369E" w:rsidRDefault="006A369E" w:rsidP="006A369E">
      <w:pPr>
        <w:jc w:val="center"/>
        <w:rPr>
          <w:rFonts w:eastAsia="Calibri" w:cs="Times New Roman"/>
          <w:color w:val="0000FF"/>
          <w:u w:val="single"/>
        </w:rPr>
      </w:pPr>
    </w:p>
    <w:p w14:paraId="02925D31" w14:textId="77777777" w:rsidR="006A369E" w:rsidRDefault="006A369E" w:rsidP="006A369E">
      <w:pPr>
        <w:jc w:val="left"/>
        <w:rPr>
          <w:rFonts w:eastAsia="Calibri" w:cs="Times New Roman"/>
        </w:rPr>
      </w:pPr>
      <w:r>
        <w:rPr>
          <w:vertAlign w:val="superscript"/>
        </w:rPr>
        <w:t>1</w:t>
      </w:r>
      <w:r w:rsidRPr="006A369E">
        <w:t>Department of Civil, and Environmental Engineering</w:t>
      </w:r>
      <w:r>
        <w:t xml:space="preserve">, </w:t>
      </w:r>
      <w:r>
        <w:rPr>
          <w:rFonts w:eastAsia="Calibri" w:cs="Times New Roman"/>
        </w:rPr>
        <w:t>Portland State University</w:t>
      </w:r>
    </w:p>
    <w:p w14:paraId="723DD054" w14:textId="77777777" w:rsidR="006A369E" w:rsidRDefault="006A369E" w:rsidP="006A369E">
      <w:pPr>
        <w:spacing w:line="360" w:lineRule="auto"/>
        <w:rPr>
          <w:vertAlign w:val="superscript"/>
        </w:rPr>
      </w:pPr>
    </w:p>
    <w:p w14:paraId="66170E1E" w14:textId="071CADA2" w:rsidR="006A369E" w:rsidRPr="00C310F5" w:rsidRDefault="006A369E" w:rsidP="006A369E">
      <w:pPr>
        <w:spacing w:line="360" w:lineRule="auto"/>
      </w:pPr>
      <w:r>
        <w:rPr>
          <w:vertAlign w:val="superscript"/>
        </w:rPr>
        <w:t>2</w:t>
      </w:r>
      <w:r w:rsidRPr="00C310F5">
        <w:t>Department of Civil, Environmental &amp; Construction Engineering, University of Central Florida</w:t>
      </w:r>
    </w:p>
    <w:p w14:paraId="1D85758F" w14:textId="77777777" w:rsidR="006A369E" w:rsidRDefault="006A369E" w:rsidP="006A369E">
      <w:pPr>
        <w:spacing w:line="360" w:lineRule="auto"/>
        <w:rPr>
          <w:b/>
        </w:rPr>
      </w:pPr>
    </w:p>
    <w:p w14:paraId="23FBAE91" w14:textId="77777777" w:rsidR="006A369E" w:rsidRDefault="006A369E" w:rsidP="006A369E">
      <w:pPr>
        <w:rPr>
          <w:rFonts w:eastAsia="Times New Roman"/>
        </w:rPr>
      </w:pPr>
      <w:r w:rsidRPr="00C310F5">
        <w:rPr>
          <w:rFonts w:eastAsia="Times New Roman"/>
        </w:rPr>
        <w:t>*Corresponding author</w:t>
      </w:r>
      <w:r>
        <w:rPr>
          <w:rFonts w:eastAsia="Times New Roman"/>
        </w:rPr>
        <w:t xml:space="preserve"> (TB)</w:t>
      </w:r>
    </w:p>
    <w:p w14:paraId="17FE74A3" w14:textId="32EA1659" w:rsidR="00DB714E" w:rsidRDefault="00DB714E" w:rsidP="00DB714E">
      <w:r w:rsidRPr="00C310F5">
        <w:t>Email:</w:t>
      </w:r>
      <w:r w:rsidRPr="00C310F5">
        <w:rPr>
          <w:b/>
        </w:rPr>
        <w:t xml:space="preserve"> </w:t>
      </w:r>
      <w:hyperlink r:id="rId8" w:history="1">
        <w:r w:rsidRPr="00BB1A84">
          <w:rPr>
            <w:rStyle w:val="Hyperlink"/>
            <w:bCs/>
          </w:rPr>
          <w:t>tbhowmik@pdx.edu</w:t>
        </w:r>
      </w:hyperlink>
      <w:r>
        <w:rPr>
          <w:rStyle w:val="Hyperlink"/>
          <w:bCs/>
        </w:rPr>
        <w:t xml:space="preserve"> </w:t>
      </w:r>
    </w:p>
    <w:p w14:paraId="0B551DC7" w14:textId="77777777" w:rsidR="006E45E4" w:rsidRDefault="006E45E4" w:rsidP="00F87342">
      <w:pPr>
        <w:jc w:val="center"/>
        <w:rPr>
          <w:rFonts w:eastAsia="Calibri" w:cs="Times New Roman"/>
          <w:b/>
          <w:szCs w:val="24"/>
          <w:highlight w:val="yellow"/>
        </w:rPr>
      </w:pPr>
    </w:p>
    <w:p w14:paraId="6EE4D08A" w14:textId="70B9FF12" w:rsidR="00F56F6A" w:rsidRDefault="00F56F6A" w:rsidP="006E45E4">
      <w:pPr>
        <w:jc w:val="left"/>
        <w:rPr>
          <w:rFonts w:eastAsia="Calibri" w:cs="Times New Roman"/>
          <w:color w:val="000000"/>
        </w:rPr>
      </w:pPr>
    </w:p>
    <w:p w14:paraId="2A7B38D2" w14:textId="65168248" w:rsidR="00F87342" w:rsidRDefault="00F87342" w:rsidP="006E45E4">
      <w:pPr>
        <w:jc w:val="left"/>
        <w:rPr>
          <w:rFonts w:eastAsia="Calibri" w:cs="Times New Roman"/>
          <w:color w:val="000000"/>
        </w:rPr>
      </w:pPr>
    </w:p>
    <w:p w14:paraId="2B90F29A" w14:textId="35560075" w:rsidR="00F87342" w:rsidRDefault="00F87342" w:rsidP="006E45E4">
      <w:pPr>
        <w:jc w:val="left"/>
        <w:rPr>
          <w:rFonts w:eastAsia="Calibri" w:cs="Times New Roman"/>
          <w:color w:val="000000"/>
        </w:rPr>
      </w:pPr>
    </w:p>
    <w:p w14:paraId="3F5C4DF6" w14:textId="7F8FA81C" w:rsidR="00F87342" w:rsidRDefault="00F87342" w:rsidP="006E45E4">
      <w:pPr>
        <w:jc w:val="left"/>
        <w:rPr>
          <w:rFonts w:eastAsia="Calibri" w:cs="Times New Roman"/>
          <w:color w:val="000000"/>
        </w:rPr>
      </w:pPr>
    </w:p>
    <w:p w14:paraId="303E39A3" w14:textId="3EB32E5D" w:rsidR="00F87342" w:rsidRDefault="00F87342" w:rsidP="006E45E4">
      <w:pPr>
        <w:jc w:val="left"/>
        <w:rPr>
          <w:rFonts w:eastAsia="Calibri" w:cs="Times New Roman"/>
          <w:color w:val="000000"/>
        </w:rPr>
      </w:pPr>
    </w:p>
    <w:p w14:paraId="22D486A5" w14:textId="26953DB4" w:rsidR="00F87342" w:rsidRDefault="00F87342" w:rsidP="006E45E4">
      <w:pPr>
        <w:jc w:val="left"/>
        <w:rPr>
          <w:rFonts w:eastAsia="Calibri" w:cs="Times New Roman"/>
          <w:color w:val="000000"/>
        </w:rPr>
      </w:pPr>
    </w:p>
    <w:p w14:paraId="4A9DB0FE" w14:textId="77777777" w:rsidR="006A369E" w:rsidRPr="006A369E" w:rsidRDefault="006A369E" w:rsidP="006A369E">
      <w:pPr>
        <w:sectPr w:rsidR="006A369E" w:rsidRPr="006A369E" w:rsidSect="00873E8A">
          <w:headerReference w:type="default" r:id="rId9"/>
          <w:footerReference w:type="first" r:id="rId10"/>
          <w:pgSz w:w="12240" w:h="15840" w:code="1"/>
          <w:pgMar w:top="1440" w:right="1440" w:bottom="1440" w:left="1440" w:header="720" w:footer="432" w:gutter="0"/>
          <w:lnNumType w:countBy="1" w:restart="continuous"/>
          <w:cols w:space="708"/>
          <w:titlePg/>
          <w:docGrid w:linePitch="360"/>
        </w:sectPr>
      </w:pPr>
    </w:p>
    <w:p w14:paraId="06A9589E" w14:textId="7EB6EC8C" w:rsidR="00776F6A" w:rsidRDefault="00776F6A" w:rsidP="00EB6443">
      <w:pPr>
        <w:pStyle w:val="Heading1"/>
        <w:spacing w:line="240" w:lineRule="auto"/>
      </w:pPr>
      <w:r>
        <w:lastRenderedPageBreak/>
        <w:t>ABSTRACT</w:t>
      </w:r>
    </w:p>
    <w:p w14:paraId="4B00655D" w14:textId="447555F2" w:rsidR="00091D20" w:rsidRDefault="00091D20" w:rsidP="00EB6443">
      <w:pPr>
        <w:spacing w:line="360" w:lineRule="auto"/>
        <w:rPr>
          <w:rFonts w:cs="Times New Roman"/>
        </w:rPr>
      </w:pPr>
      <w:r>
        <w:t xml:space="preserve">The current research effort is focused on improving </w:t>
      </w:r>
      <w:r w:rsidR="00004578">
        <w:t xml:space="preserve">the </w:t>
      </w:r>
      <w:r>
        <w:t xml:space="preserve">effective use of the multiple disparate sources of data available by proposing a </w:t>
      </w:r>
      <w:r w:rsidR="00E2611F">
        <w:t xml:space="preserve">novel </w:t>
      </w:r>
      <w:r>
        <w:t>maximum likelihood based probabilistic data fusion approach</w:t>
      </w:r>
      <w:r w:rsidR="005117E9">
        <w:t xml:space="preserve"> for modeling residential energy </w:t>
      </w:r>
      <w:r w:rsidR="00344E5A">
        <w:t>consumption</w:t>
      </w:r>
      <w:r>
        <w:t xml:space="preserve">. </w:t>
      </w:r>
      <w:r w:rsidR="0060788E">
        <w:t xml:space="preserve">To demonstrate our data fusion algorithm, we consider energy usage </w:t>
      </w:r>
      <w:r w:rsidR="00A32167">
        <w:t xml:space="preserve">by fuel type </w:t>
      </w:r>
      <w:r w:rsidR="0060788E">
        <w:t>variables (</w:t>
      </w:r>
      <w:r w:rsidR="00A32167">
        <w:t xml:space="preserve">for </w:t>
      </w:r>
      <w:r w:rsidR="0060788E">
        <w:t xml:space="preserve">electricity and natural gas) in residential dwellings as our dependent variable of interest, drawn from </w:t>
      </w:r>
      <w:r w:rsidR="0060788E">
        <w:rPr>
          <w:rFonts w:cs="Times New Roman"/>
        </w:rPr>
        <w:t xml:space="preserve">residential energy consumption survey (RECS) data. The national household travel survey (NHTS) dataset was considered to incorporate additional variables that are not available in the RECS data. </w:t>
      </w:r>
      <w:r w:rsidRPr="006257B2">
        <w:rPr>
          <w:rFonts w:cs="Times New Roman"/>
        </w:rPr>
        <w:t xml:space="preserve">With a focus on improving the model for the </w:t>
      </w:r>
      <w:r w:rsidR="00344E5A">
        <w:rPr>
          <w:rFonts w:cs="Times New Roman"/>
        </w:rPr>
        <w:t>residential energy use by fuel type</w:t>
      </w:r>
      <w:r w:rsidRPr="006257B2">
        <w:rPr>
          <w:rFonts w:cs="Times New Roman"/>
        </w:rPr>
        <w:t xml:space="preserve">, our proposed research provides a probabilistic mechanism for appropriately fusing records </w:t>
      </w:r>
      <w:r w:rsidR="006238E1" w:rsidRPr="006257B2">
        <w:rPr>
          <w:rFonts w:cs="Times New Roman"/>
        </w:rPr>
        <w:t xml:space="preserve">from the </w:t>
      </w:r>
      <w:r w:rsidR="006238E1">
        <w:rPr>
          <w:rFonts w:cs="Times New Roman"/>
        </w:rPr>
        <w:t xml:space="preserve">NHTS data </w:t>
      </w:r>
      <w:r w:rsidR="0075052F">
        <w:rPr>
          <w:rFonts w:cs="Times New Roman"/>
        </w:rPr>
        <w:t>with</w:t>
      </w:r>
      <w:r w:rsidR="0075052F" w:rsidRPr="006257B2">
        <w:rPr>
          <w:rFonts w:cs="Times New Roman"/>
        </w:rPr>
        <w:t xml:space="preserve"> </w:t>
      </w:r>
      <w:r w:rsidR="00A32167" w:rsidRPr="006257B2">
        <w:rPr>
          <w:rFonts w:cs="Times New Roman"/>
        </w:rPr>
        <w:t xml:space="preserve">the </w:t>
      </w:r>
      <w:r w:rsidR="00A32167">
        <w:rPr>
          <w:rFonts w:cs="Times New Roman"/>
        </w:rPr>
        <w:t>RECS</w:t>
      </w:r>
      <w:r w:rsidR="00641B0E">
        <w:rPr>
          <w:rFonts w:cs="Times New Roman"/>
        </w:rPr>
        <w:t xml:space="preserve"> </w:t>
      </w:r>
      <w:r w:rsidR="00107E94">
        <w:rPr>
          <w:rFonts w:cs="Times New Roman"/>
        </w:rPr>
        <w:t>data</w:t>
      </w:r>
      <w:r>
        <w:rPr>
          <w:rFonts w:cs="Times New Roman"/>
        </w:rPr>
        <w:t xml:space="preserve">. Specifically, </w:t>
      </w:r>
      <w:r>
        <w:rPr>
          <w:rFonts w:cs="Times New Roman"/>
          <w:lang w:val="en-US"/>
        </w:rPr>
        <w:t>instead of strictly matching records</w:t>
      </w:r>
      <w:r w:rsidR="008E16A2">
        <w:rPr>
          <w:rFonts w:cs="Times New Roman"/>
          <w:lang w:val="en-US"/>
        </w:rPr>
        <w:t xml:space="preserve"> with </w:t>
      </w:r>
      <w:r w:rsidR="00327C30">
        <w:rPr>
          <w:rFonts w:cs="Times New Roman"/>
          <w:lang w:val="en-US"/>
        </w:rPr>
        <w:t xml:space="preserve">only </w:t>
      </w:r>
      <w:r w:rsidR="008E16A2">
        <w:rPr>
          <w:rFonts w:cs="Times New Roman"/>
          <w:lang w:val="en-US"/>
        </w:rPr>
        <w:t>common attributes</w:t>
      </w:r>
      <w:r>
        <w:rPr>
          <w:rFonts w:cs="Times New Roman"/>
          <w:lang w:val="en-US"/>
        </w:rPr>
        <w:t>, we propose a flexible differential weighting method (probabilistic) based on attribute similarity (or dissimilarity) across the common attributes for the two datasets</w:t>
      </w:r>
      <w:r>
        <w:rPr>
          <w:rFonts w:cs="Times New Roman"/>
        </w:rPr>
        <w:t xml:space="preserve">. </w:t>
      </w:r>
      <w:r>
        <w:rPr>
          <w:rFonts w:cs="Times New Roman"/>
          <w:lang w:val="en-US"/>
        </w:rPr>
        <w:t>The fused data</w:t>
      </w:r>
      <w:r>
        <w:rPr>
          <w:rFonts w:cs="Times New Roman"/>
        </w:rPr>
        <w:t>set</w:t>
      </w:r>
      <w:r>
        <w:rPr>
          <w:rFonts w:cs="Times New Roman"/>
          <w:lang w:val="en-US"/>
        </w:rPr>
        <w:t xml:space="preserve"> </w:t>
      </w:r>
      <w:r>
        <w:rPr>
          <w:rFonts w:cs="Times New Roman"/>
        </w:rPr>
        <w:t xml:space="preserve">is </w:t>
      </w:r>
      <w:r>
        <w:rPr>
          <w:rFonts w:cs="Times New Roman"/>
          <w:lang w:val="en-US"/>
        </w:rPr>
        <w:t xml:space="preserve">employed to develop an updated model </w:t>
      </w:r>
      <w:r w:rsidR="00907C2D">
        <w:rPr>
          <w:rFonts w:cs="Times New Roman"/>
          <w:lang w:val="en-US"/>
        </w:rPr>
        <w:t xml:space="preserve">of residential energy use </w:t>
      </w:r>
      <w:r>
        <w:rPr>
          <w:rFonts w:cs="Times New Roman"/>
          <w:lang w:val="en-US"/>
        </w:rPr>
        <w:t>with additional independent variables</w:t>
      </w:r>
      <w:r w:rsidR="00327C30">
        <w:rPr>
          <w:rFonts w:cs="Times New Roman"/>
          <w:lang w:val="en-US"/>
        </w:rPr>
        <w:t xml:space="preserve"> contributed from the </w:t>
      </w:r>
      <w:r w:rsidR="00D75CB8">
        <w:rPr>
          <w:rFonts w:cs="Times New Roman"/>
          <w:lang w:val="en-US"/>
        </w:rPr>
        <w:t xml:space="preserve">NHTS </w:t>
      </w:r>
      <w:r w:rsidR="00327C30">
        <w:rPr>
          <w:rFonts w:cs="Times New Roman"/>
          <w:lang w:val="en-US"/>
        </w:rPr>
        <w:t>dataset</w:t>
      </w:r>
      <w:r w:rsidR="00C51E40">
        <w:rPr>
          <w:rFonts w:cs="Times New Roman"/>
          <w:lang w:val="en-US"/>
        </w:rPr>
        <w:t xml:space="preserve">. The newly estimated </w:t>
      </w:r>
      <w:r w:rsidR="00907C2D">
        <w:rPr>
          <w:rFonts w:cs="Times New Roman"/>
          <w:lang w:val="en-US"/>
        </w:rPr>
        <w:t xml:space="preserve">energy use </w:t>
      </w:r>
      <w:r>
        <w:rPr>
          <w:rFonts w:cs="Times New Roman"/>
        </w:rPr>
        <w:t xml:space="preserve">model is </w:t>
      </w:r>
      <w:r w:rsidR="00C51E40">
        <w:rPr>
          <w:rFonts w:cs="Times New Roman"/>
        </w:rPr>
        <w:t xml:space="preserve">compared with models estimated </w:t>
      </w:r>
      <w:r w:rsidR="00907C2D">
        <w:rPr>
          <w:rFonts w:cs="Times New Roman"/>
        </w:rPr>
        <w:t xml:space="preserve">RECS </w:t>
      </w:r>
      <w:r w:rsidR="00327C30">
        <w:rPr>
          <w:rFonts w:cs="Times New Roman"/>
        </w:rPr>
        <w:t>data exclusively</w:t>
      </w:r>
      <w:r w:rsidR="001C6921">
        <w:rPr>
          <w:rFonts w:cs="Times New Roman"/>
        </w:rPr>
        <w:t xml:space="preserve"> </w:t>
      </w:r>
      <w:r>
        <w:rPr>
          <w:rFonts w:cs="Times New Roman"/>
        </w:rPr>
        <w:t xml:space="preserve">to see </w:t>
      </w:r>
      <w:r>
        <w:rPr>
          <w:rFonts w:cs="Times New Roman"/>
          <w:lang w:val="en-US"/>
        </w:rPr>
        <w:t>if there is any improvement offered by the new</w:t>
      </w:r>
      <w:r w:rsidR="00327C30">
        <w:rPr>
          <w:rFonts w:cs="Times New Roman"/>
          <w:lang w:val="en-US"/>
        </w:rPr>
        <w:t>ly fused</w:t>
      </w:r>
      <w:r>
        <w:rPr>
          <w:rFonts w:cs="Times New Roman"/>
          <w:lang w:val="en-US"/>
        </w:rPr>
        <w:t xml:space="preserve"> variables.</w:t>
      </w:r>
      <w:r w:rsidRPr="00005964">
        <w:rPr>
          <w:rFonts w:cs="Times New Roman"/>
        </w:rPr>
        <w:t xml:space="preserve"> </w:t>
      </w:r>
      <w:r w:rsidR="001C6921">
        <w:rPr>
          <w:rFonts w:cs="Times New Roman"/>
        </w:rPr>
        <w:t>In our analysis, t</w:t>
      </w:r>
      <w:r>
        <w:rPr>
          <w:rFonts w:cs="Times New Roman"/>
          <w:lang w:val="en-US"/>
        </w:rPr>
        <w:t>he model fit measures provide strong evidence for model improvement via fusion as well as weighted contribution estimation</w:t>
      </w:r>
      <w:r>
        <w:rPr>
          <w:rFonts w:cs="Times New Roman"/>
        </w:rPr>
        <w:t xml:space="preserve">, thus highlighting the applicability of our </w:t>
      </w:r>
      <w:r w:rsidR="001C6921">
        <w:rPr>
          <w:rFonts w:cs="Times New Roman"/>
        </w:rPr>
        <w:t xml:space="preserve">proposed </w:t>
      </w:r>
      <w:r>
        <w:rPr>
          <w:rFonts w:cs="Times New Roman"/>
        </w:rPr>
        <w:t xml:space="preserve">fusion algorithm. </w:t>
      </w:r>
      <w:r w:rsidR="001D2789">
        <w:rPr>
          <w:rFonts w:cs="Times New Roman"/>
        </w:rPr>
        <w:t xml:space="preserve">The analysis is further augmented through a validation exercise </w:t>
      </w:r>
      <w:r w:rsidR="00327C30">
        <w:rPr>
          <w:rFonts w:cs="Times New Roman"/>
        </w:rPr>
        <w:t>that</w:t>
      </w:r>
      <w:r w:rsidR="001D2789">
        <w:t xml:space="preserve"> provide</w:t>
      </w:r>
      <w:r w:rsidR="00327C30">
        <w:t>s</w:t>
      </w:r>
      <w:r w:rsidR="001D2789">
        <w:t xml:space="preserve"> evidence that </w:t>
      </w:r>
      <w:r w:rsidR="00327C30">
        <w:t xml:space="preserve">the proposed algorithm </w:t>
      </w:r>
      <w:r w:rsidR="008E16A2">
        <w:t>offer</w:t>
      </w:r>
      <w:r w:rsidR="00327C30">
        <w:t>s</w:t>
      </w:r>
      <w:r w:rsidR="001D2789">
        <w:t xml:space="preserve"> </w:t>
      </w:r>
      <w:r w:rsidR="008E16A2">
        <w:t>enhanced</w:t>
      </w:r>
      <w:r w:rsidR="001D2789">
        <w:t xml:space="preserve"> explanatory power</w:t>
      </w:r>
      <w:r w:rsidR="00327C30">
        <w:t xml:space="preserve"> and </w:t>
      </w:r>
      <w:r w:rsidR="001D2789">
        <w:t xml:space="preserve">predictive capability for the </w:t>
      </w:r>
      <w:r w:rsidR="0060788E">
        <w:t>modeling energy use</w:t>
      </w:r>
      <w:r w:rsidR="001D2789">
        <w:t>.</w:t>
      </w:r>
      <w:r w:rsidR="00152AA1">
        <w:t xml:space="preserve"> </w:t>
      </w:r>
      <w:r>
        <w:rPr>
          <w:rFonts w:cs="Times New Roman"/>
        </w:rPr>
        <w:t xml:space="preserve">Our proposed data fusion approach can be widely applied in various sectors including the use of </w:t>
      </w:r>
      <w:r w:rsidR="00A237A9">
        <w:rPr>
          <w:rFonts w:cs="Times New Roman"/>
        </w:rPr>
        <w:t>location</w:t>
      </w:r>
      <w:r w:rsidR="0060788E">
        <w:rPr>
          <w:rFonts w:cs="Times New Roman"/>
        </w:rPr>
        <w:t>-</w:t>
      </w:r>
      <w:r w:rsidR="00A237A9">
        <w:rPr>
          <w:rFonts w:cs="Times New Roman"/>
        </w:rPr>
        <w:t xml:space="preserve">based </w:t>
      </w:r>
      <w:r w:rsidR="0060788E">
        <w:rPr>
          <w:rFonts w:cs="Times New Roman"/>
        </w:rPr>
        <w:t xml:space="preserve">smartphone </w:t>
      </w:r>
      <w:r w:rsidR="001C3613">
        <w:rPr>
          <w:rFonts w:cs="Times New Roman"/>
        </w:rPr>
        <w:t xml:space="preserve">data to analyze mobility and ridehailing patterns </w:t>
      </w:r>
      <w:r w:rsidR="00E25DCD">
        <w:rPr>
          <w:rFonts w:cs="Times New Roman"/>
        </w:rPr>
        <w:t>that are likely to influence energy consumption with increasing</w:t>
      </w:r>
      <w:r w:rsidR="001C3613">
        <w:rPr>
          <w:rFonts w:cs="Times New Roman"/>
        </w:rPr>
        <w:t xml:space="preserve"> </w:t>
      </w:r>
      <w:r w:rsidR="00E25DCD">
        <w:rPr>
          <w:rFonts w:cs="Times New Roman"/>
        </w:rPr>
        <w:t>electric vehicle (</w:t>
      </w:r>
      <w:r w:rsidR="001C3613">
        <w:rPr>
          <w:rFonts w:cs="Times New Roman"/>
        </w:rPr>
        <w:t>EV</w:t>
      </w:r>
      <w:r w:rsidR="00E25DCD">
        <w:rPr>
          <w:rFonts w:cs="Times New Roman"/>
        </w:rPr>
        <w:t>) adoption</w:t>
      </w:r>
      <w:r>
        <w:rPr>
          <w:rFonts w:cs="Times New Roman"/>
        </w:rPr>
        <w:t xml:space="preserve">. </w:t>
      </w:r>
    </w:p>
    <w:p w14:paraId="3FF0D6B8" w14:textId="37F757A7" w:rsidR="004A0DCC" w:rsidRDefault="004A0DCC" w:rsidP="00776F6A">
      <w:pPr>
        <w:rPr>
          <w:rFonts w:eastAsiaTheme="minorEastAsia"/>
          <w:szCs w:val="24"/>
        </w:rPr>
      </w:pPr>
    </w:p>
    <w:p w14:paraId="2719548C" w14:textId="1A1694F7" w:rsidR="004A0DCC" w:rsidRDefault="00B75DD4" w:rsidP="00EB6443">
      <w:pPr>
        <w:spacing w:line="360" w:lineRule="auto"/>
        <w:rPr>
          <w:rFonts w:eastAsiaTheme="minorEastAsia"/>
          <w:szCs w:val="24"/>
        </w:rPr>
      </w:pPr>
      <w:r w:rsidRPr="000C798B">
        <w:rPr>
          <w:i/>
        </w:rPr>
        <w:t>Keywords:</w:t>
      </w:r>
      <w:r>
        <w:t xml:space="preserve"> </w:t>
      </w:r>
      <w:r w:rsidR="00712A72">
        <w:t xml:space="preserve">Energy consumption, </w:t>
      </w:r>
      <w:r w:rsidR="00091D20">
        <w:t xml:space="preserve">Data fusion, </w:t>
      </w:r>
      <w:r w:rsidR="00091D20">
        <w:rPr>
          <w:rFonts w:cs="Times New Roman"/>
        </w:rPr>
        <w:t>P</w:t>
      </w:r>
      <w:r w:rsidR="00091D20" w:rsidRPr="006257B2">
        <w:rPr>
          <w:rFonts w:cs="Times New Roman"/>
        </w:rPr>
        <w:t>robabilistic mechanism</w:t>
      </w:r>
      <w:r w:rsidR="00091D20">
        <w:rPr>
          <w:rFonts w:cs="Times New Roman"/>
        </w:rPr>
        <w:t xml:space="preserve">, </w:t>
      </w:r>
      <w:r w:rsidR="007D2897">
        <w:rPr>
          <w:rFonts w:cs="Times New Roman"/>
        </w:rPr>
        <w:t>RECS</w:t>
      </w:r>
      <w:r w:rsidR="00091D20">
        <w:rPr>
          <w:rFonts w:cs="Times New Roman"/>
        </w:rPr>
        <w:t xml:space="preserve">, </w:t>
      </w:r>
      <w:r w:rsidR="007D2897">
        <w:rPr>
          <w:rFonts w:cs="Times New Roman"/>
        </w:rPr>
        <w:t>NHTS</w:t>
      </w:r>
      <w:r w:rsidR="00091D20">
        <w:rPr>
          <w:rFonts w:cs="Times New Roman"/>
        </w:rPr>
        <w:t xml:space="preserve">, </w:t>
      </w:r>
      <w:r w:rsidR="00091D20">
        <w:rPr>
          <w:rFonts w:cs="Times New Roman"/>
          <w:lang w:val="en-US"/>
        </w:rPr>
        <w:t>Differential weighting method.</w:t>
      </w:r>
    </w:p>
    <w:p w14:paraId="7344897B" w14:textId="6541E019" w:rsidR="00502E92" w:rsidRDefault="00502E92" w:rsidP="00776F6A">
      <w:pPr>
        <w:rPr>
          <w:rFonts w:eastAsia="Calibri" w:cs="Times New Roman"/>
          <w:szCs w:val="24"/>
        </w:rPr>
      </w:pPr>
    </w:p>
    <w:p w14:paraId="2B3F11E0" w14:textId="2D9D7C58" w:rsidR="007D33F5" w:rsidRDefault="007D33F5" w:rsidP="00776F6A">
      <w:pPr>
        <w:rPr>
          <w:rFonts w:eastAsia="Calibri" w:cs="Times New Roman"/>
          <w:szCs w:val="24"/>
        </w:rPr>
      </w:pPr>
    </w:p>
    <w:p w14:paraId="0DB7F7C4" w14:textId="65A8CBBB" w:rsidR="007D33F5" w:rsidRDefault="007D33F5" w:rsidP="00776F6A">
      <w:pPr>
        <w:rPr>
          <w:rFonts w:eastAsia="Calibri" w:cs="Times New Roman"/>
          <w:szCs w:val="24"/>
        </w:rPr>
      </w:pPr>
    </w:p>
    <w:p w14:paraId="179CA13F" w14:textId="6EE2BF55" w:rsidR="007D33F5" w:rsidRDefault="007D33F5" w:rsidP="00776F6A">
      <w:pPr>
        <w:rPr>
          <w:rFonts w:eastAsia="Calibri" w:cs="Times New Roman"/>
          <w:szCs w:val="24"/>
        </w:rPr>
      </w:pPr>
    </w:p>
    <w:p w14:paraId="0C3AE6F1" w14:textId="77777777" w:rsidR="007D33F5" w:rsidRPr="000E5274" w:rsidRDefault="007D33F5" w:rsidP="007D33F5">
      <w:pPr>
        <w:jc w:val="left"/>
        <w:rPr>
          <w:rFonts w:eastAsia="MS Mincho"/>
          <w:b/>
          <w:bCs/>
          <w:caps/>
          <w:kern w:val="2"/>
          <w:lang w:eastAsia="ja-JP"/>
        </w:rPr>
      </w:pPr>
      <w:r w:rsidRPr="000E5274">
        <w:rPr>
          <w:rFonts w:eastAsia="MS Mincho"/>
          <w:b/>
          <w:bCs/>
          <w:caps/>
          <w:kern w:val="2"/>
          <w:lang w:eastAsia="ja-JP"/>
        </w:rPr>
        <w:lastRenderedPageBreak/>
        <w:t>Abbreviations</w:t>
      </w:r>
    </w:p>
    <w:tbl>
      <w:tblPr>
        <w:tblStyle w:val="TableGrid"/>
        <w:tblW w:w="5000" w:type="pct"/>
        <w:tblLook w:val="04A0" w:firstRow="1" w:lastRow="0" w:firstColumn="1" w:lastColumn="0" w:noHBand="0" w:noVBand="1"/>
      </w:tblPr>
      <w:tblGrid>
        <w:gridCol w:w="2672"/>
        <w:gridCol w:w="6678"/>
      </w:tblGrid>
      <w:tr w:rsidR="007D33F5" w:rsidRPr="000E5274" w14:paraId="69578D13" w14:textId="77777777" w:rsidTr="00EF55FB">
        <w:trPr>
          <w:trHeight w:val="317"/>
        </w:trPr>
        <w:tc>
          <w:tcPr>
            <w:tcW w:w="2577" w:type="dxa"/>
            <w:vAlign w:val="center"/>
          </w:tcPr>
          <w:p w14:paraId="68FF36AE" w14:textId="77777777" w:rsidR="007D33F5" w:rsidRPr="000E5274" w:rsidRDefault="007D33F5" w:rsidP="00371BFA">
            <w:pPr>
              <w:spacing w:line="240" w:lineRule="auto"/>
              <w:jc w:val="left"/>
              <w:rPr>
                <w:rFonts w:eastAsia="MS Mincho"/>
                <w:b/>
                <w:bCs/>
                <w:caps/>
                <w:kern w:val="2"/>
                <w:lang w:eastAsia="ja-JP"/>
              </w:rPr>
            </w:pPr>
            <w:r w:rsidRPr="000E5274">
              <w:rPr>
                <w:b/>
                <w:bCs/>
              </w:rPr>
              <w:t>Acronym</w:t>
            </w:r>
          </w:p>
        </w:tc>
        <w:tc>
          <w:tcPr>
            <w:tcW w:w="6439" w:type="dxa"/>
            <w:vAlign w:val="center"/>
          </w:tcPr>
          <w:p w14:paraId="21E1AA86" w14:textId="77777777" w:rsidR="007D33F5" w:rsidRPr="000E5274" w:rsidRDefault="007D33F5" w:rsidP="00371BFA">
            <w:pPr>
              <w:spacing w:line="240" w:lineRule="auto"/>
              <w:jc w:val="left"/>
              <w:rPr>
                <w:b/>
                <w:bCs/>
              </w:rPr>
            </w:pPr>
            <w:r w:rsidRPr="000E5274">
              <w:rPr>
                <w:b/>
                <w:bCs/>
              </w:rPr>
              <w:t>Full Form</w:t>
            </w:r>
          </w:p>
        </w:tc>
      </w:tr>
      <w:tr w:rsidR="00971379" w:rsidRPr="000E5274" w14:paraId="086A664B" w14:textId="77777777" w:rsidTr="0081540F">
        <w:trPr>
          <w:trHeight w:val="317"/>
        </w:trPr>
        <w:tc>
          <w:tcPr>
            <w:tcW w:w="2577" w:type="dxa"/>
          </w:tcPr>
          <w:p w14:paraId="5ECC0D28" w14:textId="7CCD2029" w:rsidR="00971379" w:rsidRPr="000E5274" w:rsidRDefault="00971379" w:rsidP="00371BFA">
            <w:pPr>
              <w:spacing w:line="240" w:lineRule="auto"/>
              <w:jc w:val="left"/>
              <w:rPr>
                <w:rFonts w:eastAsia="MS Mincho"/>
                <w:caps/>
                <w:kern w:val="2"/>
                <w:lang w:eastAsia="ja-JP"/>
              </w:rPr>
            </w:pPr>
            <w:r w:rsidRPr="00DC4CB7">
              <w:t>ANN</w:t>
            </w:r>
          </w:p>
        </w:tc>
        <w:tc>
          <w:tcPr>
            <w:tcW w:w="6439" w:type="dxa"/>
          </w:tcPr>
          <w:p w14:paraId="5521B004" w14:textId="179B5189" w:rsidR="00971379" w:rsidRPr="000E5274" w:rsidRDefault="00971379" w:rsidP="00371BFA">
            <w:pPr>
              <w:spacing w:line="240" w:lineRule="auto"/>
              <w:jc w:val="left"/>
            </w:pPr>
            <w:r w:rsidRPr="00DC4CB7">
              <w:t>Artificial Neural Network</w:t>
            </w:r>
          </w:p>
        </w:tc>
      </w:tr>
      <w:tr w:rsidR="00971379" w:rsidRPr="000E5274" w14:paraId="7C914C3F" w14:textId="77777777" w:rsidTr="0081540F">
        <w:trPr>
          <w:trHeight w:val="317"/>
        </w:trPr>
        <w:tc>
          <w:tcPr>
            <w:tcW w:w="2577" w:type="dxa"/>
          </w:tcPr>
          <w:p w14:paraId="74E300BE" w14:textId="0B508088" w:rsidR="00971379" w:rsidRPr="000E5274" w:rsidRDefault="00971379" w:rsidP="00371BFA">
            <w:pPr>
              <w:spacing w:line="240" w:lineRule="auto"/>
              <w:jc w:val="left"/>
              <w:rPr>
                <w:rFonts w:eastAsia="MS Mincho"/>
                <w:caps/>
                <w:kern w:val="2"/>
                <w:lang w:eastAsia="ja-JP"/>
              </w:rPr>
            </w:pPr>
            <w:r w:rsidRPr="00DC4CB7">
              <w:t>BIC</w:t>
            </w:r>
          </w:p>
        </w:tc>
        <w:tc>
          <w:tcPr>
            <w:tcW w:w="6439" w:type="dxa"/>
          </w:tcPr>
          <w:p w14:paraId="43A06D63" w14:textId="304F8EBB" w:rsidR="00971379" w:rsidRPr="000E5274" w:rsidRDefault="00971379" w:rsidP="00371BFA">
            <w:pPr>
              <w:spacing w:line="240" w:lineRule="auto"/>
              <w:jc w:val="left"/>
            </w:pPr>
            <w:r w:rsidRPr="00DC4CB7">
              <w:t>Bayesian Information Criterion</w:t>
            </w:r>
          </w:p>
        </w:tc>
      </w:tr>
      <w:tr w:rsidR="00971379" w:rsidRPr="000E5274" w14:paraId="07650108" w14:textId="77777777" w:rsidTr="0081540F">
        <w:trPr>
          <w:trHeight w:val="317"/>
        </w:trPr>
        <w:tc>
          <w:tcPr>
            <w:tcW w:w="2577" w:type="dxa"/>
          </w:tcPr>
          <w:p w14:paraId="6D27128E" w14:textId="2541EBED" w:rsidR="00971379" w:rsidRPr="000E5274" w:rsidRDefault="00971379" w:rsidP="00371BFA">
            <w:pPr>
              <w:spacing w:line="240" w:lineRule="auto"/>
              <w:jc w:val="left"/>
              <w:rPr>
                <w:rFonts w:eastAsia="MS Mincho"/>
                <w:caps/>
                <w:kern w:val="2"/>
                <w:lang w:eastAsia="ja-JP"/>
              </w:rPr>
            </w:pPr>
            <w:r w:rsidRPr="00DC4CB7">
              <w:t>BPNN</w:t>
            </w:r>
          </w:p>
        </w:tc>
        <w:tc>
          <w:tcPr>
            <w:tcW w:w="6439" w:type="dxa"/>
          </w:tcPr>
          <w:p w14:paraId="0EFFD397" w14:textId="6461D374" w:rsidR="00971379" w:rsidRPr="000E5274" w:rsidRDefault="00971379" w:rsidP="00371BFA">
            <w:pPr>
              <w:spacing w:line="240" w:lineRule="auto"/>
              <w:jc w:val="left"/>
            </w:pPr>
            <w:r w:rsidRPr="00DC4CB7">
              <w:t>Back Propagation Neural Network</w:t>
            </w:r>
          </w:p>
        </w:tc>
      </w:tr>
      <w:tr w:rsidR="00971379" w:rsidRPr="000E5274" w14:paraId="7D375BAB" w14:textId="77777777" w:rsidTr="0081540F">
        <w:trPr>
          <w:trHeight w:val="317"/>
        </w:trPr>
        <w:tc>
          <w:tcPr>
            <w:tcW w:w="2577" w:type="dxa"/>
          </w:tcPr>
          <w:p w14:paraId="48E533B9" w14:textId="686E89E3" w:rsidR="00971379" w:rsidRPr="000E5274" w:rsidRDefault="00971379" w:rsidP="00371BFA">
            <w:pPr>
              <w:spacing w:line="240" w:lineRule="auto"/>
              <w:jc w:val="left"/>
              <w:rPr>
                <w:rFonts w:eastAsia="MS Mincho"/>
                <w:caps/>
                <w:kern w:val="2"/>
                <w:lang w:eastAsia="ja-JP"/>
              </w:rPr>
            </w:pPr>
            <w:r w:rsidRPr="00DC4CB7">
              <w:t>EIA</w:t>
            </w:r>
          </w:p>
        </w:tc>
        <w:tc>
          <w:tcPr>
            <w:tcW w:w="6439" w:type="dxa"/>
          </w:tcPr>
          <w:p w14:paraId="1BFE134E" w14:textId="45E140E1" w:rsidR="00971379" w:rsidRPr="000E5274" w:rsidRDefault="00971379" w:rsidP="00371BFA">
            <w:pPr>
              <w:spacing w:line="240" w:lineRule="auto"/>
              <w:jc w:val="left"/>
            </w:pPr>
            <w:r w:rsidRPr="00DC4CB7">
              <w:t>US Energy Information Administration</w:t>
            </w:r>
          </w:p>
        </w:tc>
      </w:tr>
      <w:tr w:rsidR="00971379" w:rsidRPr="000E5274" w14:paraId="4A398F28" w14:textId="77777777" w:rsidTr="0081540F">
        <w:trPr>
          <w:trHeight w:val="317"/>
        </w:trPr>
        <w:tc>
          <w:tcPr>
            <w:tcW w:w="2577" w:type="dxa"/>
          </w:tcPr>
          <w:p w14:paraId="4FC4A223" w14:textId="50CB5420" w:rsidR="00971379" w:rsidRPr="000E5274" w:rsidRDefault="00971379" w:rsidP="00371BFA">
            <w:pPr>
              <w:spacing w:line="240" w:lineRule="auto"/>
              <w:jc w:val="left"/>
              <w:rPr>
                <w:rFonts w:eastAsia="MS Mincho"/>
                <w:caps/>
                <w:kern w:val="2"/>
                <w:lang w:eastAsia="ja-JP"/>
              </w:rPr>
            </w:pPr>
            <w:r w:rsidRPr="00DC4CB7">
              <w:t>EV</w:t>
            </w:r>
          </w:p>
        </w:tc>
        <w:tc>
          <w:tcPr>
            <w:tcW w:w="6439" w:type="dxa"/>
          </w:tcPr>
          <w:p w14:paraId="458CEBA9" w14:textId="4683995A" w:rsidR="00971379" w:rsidRPr="000E5274" w:rsidRDefault="00971379" w:rsidP="00371BFA">
            <w:pPr>
              <w:spacing w:line="240" w:lineRule="auto"/>
              <w:jc w:val="left"/>
            </w:pPr>
            <w:r w:rsidRPr="00DC4CB7">
              <w:t>Electric Vehicle</w:t>
            </w:r>
          </w:p>
        </w:tc>
      </w:tr>
      <w:tr w:rsidR="00971379" w:rsidRPr="000E5274" w14:paraId="24F010AF" w14:textId="77777777" w:rsidTr="0081540F">
        <w:trPr>
          <w:trHeight w:val="317"/>
        </w:trPr>
        <w:tc>
          <w:tcPr>
            <w:tcW w:w="2577" w:type="dxa"/>
          </w:tcPr>
          <w:p w14:paraId="1D35C66D" w14:textId="09AA6DD7" w:rsidR="00971379" w:rsidRPr="000E5274" w:rsidRDefault="00971379" w:rsidP="00371BFA">
            <w:pPr>
              <w:spacing w:line="240" w:lineRule="auto"/>
              <w:jc w:val="left"/>
              <w:rPr>
                <w:rFonts w:eastAsia="MS Mincho"/>
                <w:caps/>
                <w:kern w:val="2"/>
                <w:lang w:eastAsia="ja-JP"/>
              </w:rPr>
            </w:pPr>
            <w:r w:rsidRPr="00DC4CB7">
              <w:t>EWLR</w:t>
            </w:r>
          </w:p>
        </w:tc>
        <w:tc>
          <w:tcPr>
            <w:tcW w:w="6439" w:type="dxa"/>
          </w:tcPr>
          <w:p w14:paraId="330A15B8" w14:textId="62A78DE7" w:rsidR="00971379" w:rsidRPr="000E5274" w:rsidRDefault="00971379" w:rsidP="00371BFA">
            <w:pPr>
              <w:spacing w:line="240" w:lineRule="auto"/>
              <w:jc w:val="left"/>
            </w:pPr>
            <w:r w:rsidRPr="00DC4CB7">
              <w:t>Equal weight regression model</w:t>
            </w:r>
          </w:p>
        </w:tc>
      </w:tr>
      <w:tr w:rsidR="00971379" w:rsidRPr="000E5274" w14:paraId="18B7C022" w14:textId="77777777" w:rsidTr="0081540F">
        <w:trPr>
          <w:trHeight w:val="317"/>
        </w:trPr>
        <w:tc>
          <w:tcPr>
            <w:tcW w:w="2577" w:type="dxa"/>
          </w:tcPr>
          <w:p w14:paraId="28BCBF13" w14:textId="63540D2A" w:rsidR="00971379" w:rsidRPr="000E5274" w:rsidRDefault="00971379" w:rsidP="00371BFA">
            <w:pPr>
              <w:spacing w:line="240" w:lineRule="auto"/>
              <w:jc w:val="left"/>
              <w:rPr>
                <w:rFonts w:eastAsia="MS Mincho"/>
                <w:caps/>
                <w:kern w:val="2"/>
                <w:lang w:eastAsia="ja-JP"/>
              </w:rPr>
            </w:pPr>
            <w:r w:rsidRPr="00DC4CB7">
              <w:t>FAF</w:t>
            </w:r>
          </w:p>
        </w:tc>
        <w:tc>
          <w:tcPr>
            <w:tcW w:w="6439" w:type="dxa"/>
          </w:tcPr>
          <w:p w14:paraId="6BFB09E6" w14:textId="072E2A58" w:rsidR="00971379" w:rsidRPr="000E5274" w:rsidRDefault="00971379" w:rsidP="00371BFA">
            <w:pPr>
              <w:spacing w:line="240" w:lineRule="auto"/>
              <w:jc w:val="left"/>
            </w:pPr>
            <w:r w:rsidRPr="00DC4CB7">
              <w:t>Freight Analysis Framework</w:t>
            </w:r>
          </w:p>
        </w:tc>
      </w:tr>
      <w:tr w:rsidR="00971379" w:rsidRPr="000E5274" w14:paraId="1D8B9484" w14:textId="77777777" w:rsidTr="0081540F">
        <w:trPr>
          <w:trHeight w:val="317"/>
        </w:trPr>
        <w:tc>
          <w:tcPr>
            <w:tcW w:w="2577" w:type="dxa"/>
          </w:tcPr>
          <w:p w14:paraId="5C528A54" w14:textId="579B2D8E" w:rsidR="00971379" w:rsidRPr="000E5274" w:rsidRDefault="00971379" w:rsidP="00371BFA">
            <w:pPr>
              <w:spacing w:line="240" w:lineRule="auto"/>
              <w:jc w:val="left"/>
              <w:rPr>
                <w:rFonts w:eastAsia="MS Mincho"/>
                <w:caps/>
                <w:kern w:val="2"/>
                <w:lang w:eastAsia="ja-JP"/>
              </w:rPr>
            </w:pPr>
            <w:r w:rsidRPr="00DC4CB7">
              <w:t>FARs</w:t>
            </w:r>
          </w:p>
        </w:tc>
        <w:tc>
          <w:tcPr>
            <w:tcW w:w="6439" w:type="dxa"/>
          </w:tcPr>
          <w:p w14:paraId="65919846" w14:textId="7270052A" w:rsidR="00971379" w:rsidRPr="000E5274" w:rsidRDefault="00971379" w:rsidP="00371BFA">
            <w:pPr>
              <w:spacing w:line="240" w:lineRule="auto"/>
              <w:jc w:val="left"/>
            </w:pPr>
            <w:r w:rsidRPr="00DC4CB7">
              <w:t>Fatality Analysis Reporting System</w:t>
            </w:r>
          </w:p>
        </w:tc>
      </w:tr>
      <w:tr w:rsidR="00971379" w:rsidRPr="000E5274" w14:paraId="2A91DE25" w14:textId="77777777" w:rsidTr="0081540F">
        <w:trPr>
          <w:trHeight w:val="317"/>
        </w:trPr>
        <w:tc>
          <w:tcPr>
            <w:tcW w:w="2577" w:type="dxa"/>
          </w:tcPr>
          <w:p w14:paraId="0ECD52B0" w14:textId="162FB4E5" w:rsidR="00971379" w:rsidRPr="000E5274" w:rsidRDefault="00971379" w:rsidP="00371BFA">
            <w:pPr>
              <w:spacing w:line="240" w:lineRule="auto"/>
              <w:jc w:val="left"/>
              <w:rPr>
                <w:rFonts w:eastAsia="MS Mincho"/>
                <w:caps/>
                <w:kern w:val="2"/>
                <w:lang w:eastAsia="ja-JP"/>
              </w:rPr>
            </w:pPr>
            <w:r w:rsidRPr="00DC4CB7">
              <w:t>FHWA</w:t>
            </w:r>
          </w:p>
        </w:tc>
        <w:tc>
          <w:tcPr>
            <w:tcW w:w="6439" w:type="dxa"/>
          </w:tcPr>
          <w:p w14:paraId="75E9EF65" w14:textId="656D56D1" w:rsidR="00971379" w:rsidRPr="000E5274" w:rsidRDefault="00971379" w:rsidP="00371BFA">
            <w:pPr>
              <w:spacing w:line="240" w:lineRule="auto"/>
              <w:jc w:val="left"/>
            </w:pPr>
            <w:r w:rsidRPr="00DC4CB7">
              <w:t xml:space="preserve">Federal Highway Administration </w:t>
            </w:r>
          </w:p>
        </w:tc>
      </w:tr>
      <w:tr w:rsidR="00971379" w:rsidRPr="000E5274" w14:paraId="61EE7493" w14:textId="77777777" w:rsidTr="0081540F">
        <w:trPr>
          <w:trHeight w:val="317"/>
        </w:trPr>
        <w:tc>
          <w:tcPr>
            <w:tcW w:w="2577" w:type="dxa"/>
          </w:tcPr>
          <w:p w14:paraId="3903ED03" w14:textId="10E8139B" w:rsidR="00971379" w:rsidRPr="000E5274" w:rsidRDefault="00971379" w:rsidP="00371BFA">
            <w:pPr>
              <w:spacing w:line="240" w:lineRule="auto"/>
              <w:jc w:val="left"/>
              <w:rPr>
                <w:rFonts w:eastAsia="MS Mincho"/>
                <w:caps/>
                <w:kern w:val="2"/>
                <w:lang w:eastAsia="ja-JP"/>
              </w:rPr>
            </w:pPr>
            <w:r w:rsidRPr="00DC4CB7">
              <w:t>GES</w:t>
            </w:r>
          </w:p>
        </w:tc>
        <w:tc>
          <w:tcPr>
            <w:tcW w:w="6439" w:type="dxa"/>
          </w:tcPr>
          <w:p w14:paraId="66A84F13" w14:textId="18A3722A" w:rsidR="00971379" w:rsidRPr="000E5274" w:rsidRDefault="00971379" w:rsidP="00371BFA">
            <w:pPr>
              <w:spacing w:line="240" w:lineRule="auto"/>
              <w:jc w:val="left"/>
            </w:pPr>
            <w:r w:rsidRPr="00DC4CB7">
              <w:t>Generalized Estimates System</w:t>
            </w:r>
          </w:p>
        </w:tc>
      </w:tr>
      <w:tr w:rsidR="00971379" w:rsidRPr="000E5274" w14:paraId="4FF1B075" w14:textId="77777777" w:rsidTr="0081540F">
        <w:trPr>
          <w:trHeight w:val="317"/>
        </w:trPr>
        <w:tc>
          <w:tcPr>
            <w:tcW w:w="2577" w:type="dxa"/>
          </w:tcPr>
          <w:p w14:paraId="13FB2217" w14:textId="560511AA" w:rsidR="00971379" w:rsidRPr="000E5274" w:rsidRDefault="00971379" w:rsidP="00371BFA">
            <w:pPr>
              <w:spacing w:line="240" w:lineRule="auto"/>
              <w:jc w:val="left"/>
              <w:rPr>
                <w:rFonts w:eastAsia="MS Mincho"/>
                <w:caps/>
                <w:kern w:val="2"/>
                <w:lang w:eastAsia="ja-JP"/>
              </w:rPr>
            </w:pPr>
            <w:r w:rsidRPr="00DC4CB7">
              <w:t>GIS</w:t>
            </w:r>
          </w:p>
        </w:tc>
        <w:tc>
          <w:tcPr>
            <w:tcW w:w="6439" w:type="dxa"/>
          </w:tcPr>
          <w:p w14:paraId="24579B68" w14:textId="1F9E571C" w:rsidR="00971379" w:rsidRPr="000E5274" w:rsidRDefault="00971379" w:rsidP="00371BFA">
            <w:pPr>
              <w:spacing w:line="240" w:lineRule="auto"/>
              <w:jc w:val="left"/>
            </w:pPr>
            <w:r w:rsidRPr="00DC4CB7">
              <w:t>Geographic Information System</w:t>
            </w:r>
          </w:p>
        </w:tc>
      </w:tr>
      <w:tr w:rsidR="00971379" w:rsidRPr="000E5274" w14:paraId="6487F661" w14:textId="77777777" w:rsidTr="0081540F">
        <w:trPr>
          <w:trHeight w:val="317"/>
        </w:trPr>
        <w:tc>
          <w:tcPr>
            <w:tcW w:w="2577" w:type="dxa"/>
          </w:tcPr>
          <w:p w14:paraId="060B63E1" w14:textId="4366604A" w:rsidR="00971379" w:rsidRPr="000E5274" w:rsidRDefault="00971379" w:rsidP="00371BFA">
            <w:pPr>
              <w:spacing w:line="240" w:lineRule="auto"/>
              <w:jc w:val="left"/>
              <w:rPr>
                <w:rFonts w:eastAsia="MS Mincho"/>
                <w:caps/>
                <w:kern w:val="2"/>
                <w:lang w:eastAsia="ja-JP"/>
              </w:rPr>
            </w:pPr>
            <w:r>
              <w:t>GPS</w:t>
            </w:r>
          </w:p>
        </w:tc>
        <w:tc>
          <w:tcPr>
            <w:tcW w:w="6439" w:type="dxa"/>
          </w:tcPr>
          <w:p w14:paraId="7E036D60" w14:textId="7AB2D5C0" w:rsidR="00971379" w:rsidRPr="000E5274" w:rsidRDefault="00971379" w:rsidP="00371BFA">
            <w:pPr>
              <w:spacing w:line="240" w:lineRule="auto"/>
              <w:jc w:val="left"/>
            </w:pPr>
            <w:r w:rsidRPr="00DC4CB7">
              <w:t>Global Positioning System</w:t>
            </w:r>
          </w:p>
        </w:tc>
      </w:tr>
      <w:tr w:rsidR="00971379" w:rsidRPr="000E5274" w14:paraId="31DF6279" w14:textId="77777777" w:rsidTr="0081540F">
        <w:trPr>
          <w:trHeight w:val="317"/>
        </w:trPr>
        <w:tc>
          <w:tcPr>
            <w:tcW w:w="2577" w:type="dxa"/>
          </w:tcPr>
          <w:p w14:paraId="4F03E6D7" w14:textId="76C47F1C" w:rsidR="00971379" w:rsidRPr="000E5274" w:rsidRDefault="00971379" w:rsidP="00371BFA">
            <w:pPr>
              <w:spacing w:line="240" w:lineRule="auto"/>
              <w:jc w:val="left"/>
              <w:rPr>
                <w:rFonts w:eastAsia="MS Mincho"/>
                <w:caps/>
                <w:kern w:val="2"/>
                <w:lang w:eastAsia="ja-JP"/>
              </w:rPr>
            </w:pPr>
            <w:r w:rsidRPr="00DC4CB7">
              <w:t>HH</w:t>
            </w:r>
          </w:p>
        </w:tc>
        <w:tc>
          <w:tcPr>
            <w:tcW w:w="6439" w:type="dxa"/>
          </w:tcPr>
          <w:p w14:paraId="63BBACC1" w14:textId="0F19497D" w:rsidR="00971379" w:rsidRPr="000E5274" w:rsidRDefault="00971379" w:rsidP="00371BFA">
            <w:pPr>
              <w:spacing w:line="240" w:lineRule="auto"/>
              <w:jc w:val="left"/>
            </w:pPr>
            <w:r w:rsidRPr="00DC4CB7">
              <w:t>Household</w:t>
            </w:r>
          </w:p>
        </w:tc>
      </w:tr>
      <w:tr w:rsidR="00971379" w:rsidRPr="000E5274" w14:paraId="1E8C1D5E" w14:textId="77777777" w:rsidTr="0081540F">
        <w:trPr>
          <w:trHeight w:val="317"/>
        </w:trPr>
        <w:tc>
          <w:tcPr>
            <w:tcW w:w="2577" w:type="dxa"/>
          </w:tcPr>
          <w:p w14:paraId="61D1872F" w14:textId="1B76AB1B" w:rsidR="00971379" w:rsidRPr="000E5274" w:rsidRDefault="00971379" w:rsidP="00371BFA">
            <w:pPr>
              <w:spacing w:line="240" w:lineRule="auto"/>
              <w:jc w:val="left"/>
              <w:rPr>
                <w:rFonts w:eastAsia="MS Mincho"/>
                <w:caps/>
                <w:kern w:val="2"/>
                <w:lang w:eastAsia="ja-JP"/>
              </w:rPr>
            </w:pPr>
            <w:r w:rsidRPr="00DC4CB7">
              <w:t>HVAC</w:t>
            </w:r>
          </w:p>
        </w:tc>
        <w:tc>
          <w:tcPr>
            <w:tcW w:w="6439" w:type="dxa"/>
          </w:tcPr>
          <w:p w14:paraId="3E3BFE00" w14:textId="31568123" w:rsidR="00971379" w:rsidRPr="000E5274" w:rsidRDefault="00971379" w:rsidP="00371BFA">
            <w:pPr>
              <w:spacing w:line="240" w:lineRule="auto"/>
              <w:jc w:val="left"/>
            </w:pPr>
            <w:r w:rsidRPr="00DC4CB7">
              <w:t>Heating, ventilation, and air conditioning</w:t>
            </w:r>
          </w:p>
        </w:tc>
      </w:tr>
      <w:tr w:rsidR="00971379" w:rsidRPr="000E5274" w14:paraId="4D287C1C" w14:textId="77777777" w:rsidTr="0081540F">
        <w:trPr>
          <w:trHeight w:val="317"/>
        </w:trPr>
        <w:tc>
          <w:tcPr>
            <w:tcW w:w="2577" w:type="dxa"/>
          </w:tcPr>
          <w:p w14:paraId="004F710D" w14:textId="2B7724EE" w:rsidR="00971379" w:rsidRPr="000E5274" w:rsidRDefault="00971379" w:rsidP="00371BFA">
            <w:pPr>
              <w:spacing w:line="240" w:lineRule="auto"/>
              <w:jc w:val="left"/>
              <w:rPr>
                <w:rFonts w:eastAsia="MS Mincho"/>
                <w:caps/>
                <w:kern w:val="2"/>
                <w:lang w:eastAsia="ja-JP"/>
              </w:rPr>
            </w:pPr>
            <w:r>
              <w:t>IOT</w:t>
            </w:r>
          </w:p>
        </w:tc>
        <w:tc>
          <w:tcPr>
            <w:tcW w:w="6439" w:type="dxa"/>
          </w:tcPr>
          <w:p w14:paraId="02B0A14B" w14:textId="1E1E4869" w:rsidR="00971379" w:rsidRPr="000E5274" w:rsidRDefault="00971379" w:rsidP="00371BFA">
            <w:pPr>
              <w:spacing w:line="240" w:lineRule="auto"/>
              <w:jc w:val="left"/>
              <w:rPr>
                <w:color w:val="000000"/>
              </w:rPr>
            </w:pPr>
            <w:r w:rsidRPr="00DC4CB7">
              <w:t>Internet of Things</w:t>
            </w:r>
          </w:p>
        </w:tc>
      </w:tr>
      <w:tr w:rsidR="00971379" w:rsidRPr="000E5274" w14:paraId="25FA20AB" w14:textId="77777777" w:rsidTr="0081540F">
        <w:trPr>
          <w:trHeight w:val="317"/>
        </w:trPr>
        <w:tc>
          <w:tcPr>
            <w:tcW w:w="2577" w:type="dxa"/>
          </w:tcPr>
          <w:p w14:paraId="252E196D" w14:textId="668838EE" w:rsidR="00971379" w:rsidRPr="000E5274" w:rsidRDefault="00971379" w:rsidP="00371BFA">
            <w:pPr>
              <w:spacing w:line="240" w:lineRule="auto"/>
              <w:jc w:val="left"/>
              <w:rPr>
                <w:rFonts w:eastAsia="MS Mincho"/>
                <w:caps/>
                <w:kern w:val="2"/>
                <w:lang w:eastAsia="ja-JP"/>
              </w:rPr>
            </w:pPr>
            <w:r w:rsidRPr="00DC4CB7">
              <w:t>KNN</w:t>
            </w:r>
          </w:p>
        </w:tc>
        <w:tc>
          <w:tcPr>
            <w:tcW w:w="6439" w:type="dxa"/>
          </w:tcPr>
          <w:p w14:paraId="74922749" w14:textId="0DF79578" w:rsidR="00971379" w:rsidRPr="000E5274" w:rsidRDefault="00971379" w:rsidP="00371BFA">
            <w:pPr>
              <w:spacing w:line="240" w:lineRule="auto"/>
              <w:jc w:val="left"/>
            </w:pPr>
            <w:r w:rsidRPr="00DC4CB7">
              <w:t>K-Nearest Neighbour</w:t>
            </w:r>
          </w:p>
        </w:tc>
      </w:tr>
      <w:tr w:rsidR="00971379" w:rsidRPr="000E5274" w14:paraId="4726657D" w14:textId="77777777" w:rsidTr="0081540F">
        <w:trPr>
          <w:trHeight w:val="317"/>
        </w:trPr>
        <w:tc>
          <w:tcPr>
            <w:tcW w:w="2577" w:type="dxa"/>
          </w:tcPr>
          <w:p w14:paraId="07C4116C" w14:textId="705A3FC6" w:rsidR="00971379" w:rsidRPr="000E5274" w:rsidRDefault="00971379" w:rsidP="00371BFA">
            <w:pPr>
              <w:spacing w:line="240" w:lineRule="auto"/>
              <w:jc w:val="left"/>
              <w:rPr>
                <w:color w:val="000000"/>
              </w:rPr>
            </w:pPr>
            <w:r w:rsidRPr="00DC4CB7">
              <w:t>LBS</w:t>
            </w:r>
          </w:p>
        </w:tc>
        <w:tc>
          <w:tcPr>
            <w:tcW w:w="6439" w:type="dxa"/>
          </w:tcPr>
          <w:p w14:paraId="07DD12C9" w14:textId="1D8EAB51" w:rsidR="00971379" w:rsidRPr="000E5274" w:rsidRDefault="00971379" w:rsidP="00371BFA">
            <w:pPr>
              <w:spacing w:line="240" w:lineRule="auto"/>
              <w:jc w:val="left"/>
              <w:rPr>
                <w:color w:val="2E2E2E"/>
              </w:rPr>
            </w:pPr>
            <w:r w:rsidRPr="00DC4CB7">
              <w:t xml:space="preserve">Location </w:t>
            </w:r>
            <w:r w:rsidR="0031058C">
              <w:t>B</w:t>
            </w:r>
            <w:r w:rsidRPr="00DC4CB7">
              <w:t xml:space="preserve">ased </w:t>
            </w:r>
            <w:r w:rsidR="0031058C">
              <w:t>S</w:t>
            </w:r>
            <w:r w:rsidRPr="00DC4CB7">
              <w:t>ervice</w:t>
            </w:r>
          </w:p>
        </w:tc>
      </w:tr>
      <w:tr w:rsidR="00971379" w:rsidRPr="000E5274" w14:paraId="6EA2DA69" w14:textId="77777777" w:rsidTr="0081540F">
        <w:trPr>
          <w:trHeight w:val="317"/>
        </w:trPr>
        <w:tc>
          <w:tcPr>
            <w:tcW w:w="2577" w:type="dxa"/>
          </w:tcPr>
          <w:p w14:paraId="2710364B" w14:textId="1E3282C8" w:rsidR="00971379" w:rsidRPr="000E5274" w:rsidRDefault="00971379" w:rsidP="00371BFA">
            <w:pPr>
              <w:spacing w:line="240" w:lineRule="auto"/>
              <w:jc w:val="left"/>
              <w:rPr>
                <w:rFonts w:eastAsia="MS Mincho"/>
                <w:caps/>
                <w:kern w:val="2"/>
                <w:lang w:eastAsia="ja-JP"/>
              </w:rPr>
            </w:pPr>
            <w:r w:rsidRPr="00DC4CB7">
              <w:t>LDA</w:t>
            </w:r>
          </w:p>
        </w:tc>
        <w:tc>
          <w:tcPr>
            <w:tcW w:w="6439" w:type="dxa"/>
          </w:tcPr>
          <w:p w14:paraId="33FF9278" w14:textId="4C355E1A" w:rsidR="00971379" w:rsidRPr="000E5274" w:rsidRDefault="00971379" w:rsidP="00371BFA">
            <w:pPr>
              <w:spacing w:line="240" w:lineRule="auto"/>
              <w:jc w:val="left"/>
            </w:pPr>
            <w:r w:rsidRPr="00DC4CB7">
              <w:t>Latent Dirichlet Allocation</w:t>
            </w:r>
          </w:p>
        </w:tc>
      </w:tr>
      <w:tr w:rsidR="00971379" w:rsidRPr="000E5274" w14:paraId="3D713321" w14:textId="77777777" w:rsidTr="0081540F">
        <w:trPr>
          <w:trHeight w:val="317"/>
        </w:trPr>
        <w:tc>
          <w:tcPr>
            <w:tcW w:w="2577" w:type="dxa"/>
          </w:tcPr>
          <w:p w14:paraId="78A1DFA8" w14:textId="23C89402" w:rsidR="00971379" w:rsidRPr="000E5274" w:rsidRDefault="00971379" w:rsidP="00371BFA">
            <w:pPr>
              <w:spacing w:line="240" w:lineRule="auto"/>
              <w:jc w:val="left"/>
              <w:rPr>
                <w:rFonts w:eastAsia="MS Mincho"/>
                <w:caps/>
                <w:kern w:val="2"/>
                <w:lang w:eastAsia="ja-JP"/>
              </w:rPr>
            </w:pPr>
            <w:r>
              <w:t>LL</w:t>
            </w:r>
          </w:p>
        </w:tc>
        <w:tc>
          <w:tcPr>
            <w:tcW w:w="6439" w:type="dxa"/>
          </w:tcPr>
          <w:p w14:paraId="750E376C" w14:textId="372AB1E1" w:rsidR="00971379" w:rsidRPr="000E5274" w:rsidRDefault="00971379" w:rsidP="00371BFA">
            <w:pPr>
              <w:spacing w:line="240" w:lineRule="auto"/>
              <w:jc w:val="left"/>
            </w:pPr>
            <w:r w:rsidRPr="00DC4CB7">
              <w:t>Log-likelihood</w:t>
            </w:r>
          </w:p>
        </w:tc>
      </w:tr>
      <w:tr w:rsidR="00971379" w:rsidRPr="000E5274" w14:paraId="19B55134" w14:textId="77777777" w:rsidTr="0081540F">
        <w:trPr>
          <w:trHeight w:val="317"/>
        </w:trPr>
        <w:tc>
          <w:tcPr>
            <w:tcW w:w="2577" w:type="dxa"/>
          </w:tcPr>
          <w:p w14:paraId="3AC34D6F" w14:textId="4824ACAE" w:rsidR="00971379" w:rsidRPr="000E5274" w:rsidRDefault="00971379" w:rsidP="00371BFA">
            <w:pPr>
              <w:spacing w:line="240" w:lineRule="auto"/>
              <w:jc w:val="left"/>
              <w:rPr>
                <w:rFonts w:eastAsia="MS Mincho"/>
                <w:caps/>
                <w:kern w:val="2"/>
                <w:lang w:eastAsia="ja-JP"/>
              </w:rPr>
            </w:pPr>
            <w:r w:rsidRPr="00DC4CB7">
              <w:t>LSTM</w:t>
            </w:r>
          </w:p>
        </w:tc>
        <w:tc>
          <w:tcPr>
            <w:tcW w:w="6439" w:type="dxa"/>
          </w:tcPr>
          <w:p w14:paraId="717E69FF" w14:textId="4B3368E0" w:rsidR="00971379" w:rsidRPr="000E5274" w:rsidRDefault="00971379" w:rsidP="00371BFA">
            <w:pPr>
              <w:spacing w:line="240" w:lineRule="auto"/>
              <w:jc w:val="left"/>
            </w:pPr>
            <w:r w:rsidRPr="00DC4CB7">
              <w:t>Long Short-Term Memory</w:t>
            </w:r>
          </w:p>
        </w:tc>
      </w:tr>
      <w:tr w:rsidR="00971379" w:rsidRPr="000E5274" w14:paraId="669EEBE5" w14:textId="77777777" w:rsidTr="0081540F">
        <w:trPr>
          <w:trHeight w:val="317"/>
        </w:trPr>
        <w:tc>
          <w:tcPr>
            <w:tcW w:w="2577" w:type="dxa"/>
          </w:tcPr>
          <w:p w14:paraId="5BF8EB37" w14:textId="792EB1A9" w:rsidR="00971379" w:rsidRPr="000E5274" w:rsidRDefault="00971379" w:rsidP="00371BFA">
            <w:pPr>
              <w:spacing w:line="240" w:lineRule="auto"/>
              <w:jc w:val="left"/>
              <w:rPr>
                <w:rFonts w:eastAsia="MS Mincho"/>
                <w:caps/>
                <w:kern w:val="2"/>
                <w:lang w:eastAsia="ja-JP"/>
              </w:rPr>
            </w:pPr>
            <w:r w:rsidRPr="00DC4CB7">
              <w:t>LWLR</w:t>
            </w:r>
          </w:p>
        </w:tc>
        <w:tc>
          <w:tcPr>
            <w:tcW w:w="6439" w:type="dxa"/>
          </w:tcPr>
          <w:p w14:paraId="77648713" w14:textId="75B3CBF3" w:rsidR="00971379" w:rsidRPr="000E5274" w:rsidRDefault="00971379" w:rsidP="00371BFA">
            <w:pPr>
              <w:spacing w:line="240" w:lineRule="auto"/>
              <w:jc w:val="left"/>
            </w:pPr>
            <w:r w:rsidRPr="00DC4CB7">
              <w:t>Laten</w:t>
            </w:r>
            <w:r w:rsidR="00645419">
              <w:t>t</w:t>
            </w:r>
            <w:r w:rsidRPr="00DC4CB7">
              <w:t xml:space="preserve"> </w:t>
            </w:r>
            <w:r w:rsidR="0031058C">
              <w:t>W</w:t>
            </w:r>
            <w:r w:rsidRPr="00DC4CB7">
              <w:t xml:space="preserve">eight </w:t>
            </w:r>
            <w:r w:rsidR="0031058C">
              <w:t>R</w:t>
            </w:r>
            <w:r w:rsidRPr="00DC4CB7">
              <w:t xml:space="preserve">egression </w:t>
            </w:r>
            <w:r w:rsidR="0031058C">
              <w:t>M</w:t>
            </w:r>
            <w:r w:rsidRPr="00DC4CB7">
              <w:t>odel</w:t>
            </w:r>
          </w:p>
        </w:tc>
      </w:tr>
      <w:tr w:rsidR="00971379" w:rsidRPr="000E5274" w14:paraId="0504C742" w14:textId="77777777" w:rsidTr="0081540F">
        <w:trPr>
          <w:trHeight w:val="317"/>
        </w:trPr>
        <w:tc>
          <w:tcPr>
            <w:tcW w:w="2577" w:type="dxa"/>
          </w:tcPr>
          <w:p w14:paraId="79CCA41A" w14:textId="697DEC0E" w:rsidR="00971379" w:rsidRPr="000E5274" w:rsidRDefault="00971379" w:rsidP="00371BFA">
            <w:pPr>
              <w:spacing w:line="240" w:lineRule="auto"/>
              <w:jc w:val="left"/>
              <w:rPr>
                <w:rFonts w:eastAsia="MS Mincho"/>
                <w:caps/>
                <w:kern w:val="2"/>
                <w:lang w:eastAsia="ja-JP"/>
              </w:rPr>
            </w:pPr>
            <w:r w:rsidRPr="00DC4CB7">
              <w:t>MDCEV</w:t>
            </w:r>
          </w:p>
        </w:tc>
        <w:tc>
          <w:tcPr>
            <w:tcW w:w="6439" w:type="dxa"/>
          </w:tcPr>
          <w:p w14:paraId="3AC07993" w14:textId="078D614C" w:rsidR="00971379" w:rsidRPr="000E5274" w:rsidRDefault="00971379" w:rsidP="00371BFA">
            <w:pPr>
              <w:spacing w:line="240" w:lineRule="auto"/>
              <w:jc w:val="left"/>
            </w:pPr>
            <w:r w:rsidRPr="00DC4CB7">
              <w:t>Multiple Discrete Continuous Extreme Value</w:t>
            </w:r>
          </w:p>
        </w:tc>
      </w:tr>
      <w:tr w:rsidR="00971379" w:rsidRPr="000E5274" w14:paraId="20213243" w14:textId="77777777" w:rsidTr="0081540F">
        <w:trPr>
          <w:trHeight w:val="317"/>
        </w:trPr>
        <w:tc>
          <w:tcPr>
            <w:tcW w:w="2577" w:type="dxa"/>
          </w:tcPr>
          <w:p w14:paraId="235CF410" w14:textId="16FA4858" w:rsidR="00971379" w:rsidRPr="000E5274" w:rsidRDefault="00971379" w:rsidP="00371BFA">
            <w:pPr>
              <w:spacing w:line="240" w:lineRule="auto"/>
              <w:jc w:val="left"/>
              <w:rPr>
                <w:rFonts w:eastAsia="MS Mincho"/>
                <w:caps/>
                <w:kern w:val="2"/>
                <w:lang w:eastAsia="ja-JP"/>
              </w:rPr>
            </w:pPr>
            <w:r>
              <w:t>MNL</w:t>
            </w:r>
          </w:p>
        </w:tc>
        <w:tc>
          <w:tcPr>
            <w:tcW w:w="6439" w:type="dxa"/>
          </w:tcPr>
          <w:p w14:paraId="400BCF6C" w14:textId="0DA42F54" w:rsidR="00971379" w:rsidRPr="000E5274" w:rsidRDefault="00971379" w:rsidP="00371BFA">
            <w:pPr>
              <w:spacing w:line="240" w:lineRule="auto"/>
              <w:jc w:val="left"/>
            </w:pPr>
            <w:r w:rsidRPr="00DC4CB7">
              <w:t xml:space="preserve">Multinomial </w:t>
            </w:r>
            <w:r w:rsidR="0031058C">
              <w:t>L</w:t>
            </w:r>
            <w:r w:rsidRPr="00DC4CB7">
              <w:t>ogit</w:t>
            </w:r>
          </w:p>
        </w:tc>
      </w:tr>
      <w:tr w:rsidR="00971379" w:rsidRPr="000E5274" w14:paraId="28E64F7F" w14:textId="77777777" w:rsidTr="0081540F">
        <w:trPr>
          <w:trHeight w:val="317"/>
        </w:trPr>
        <w:tc>
          <w:tcPr>
            <w:tcW w:w="2577" w:type="dxa"/>
          </w:tcPr>
          <w:p w14:paraId="3D839041" w14:textId="7DEB407C" w:rsidR="00971379" w:rsidRPr="000E5274" w:rsidRDefault="00971379" w:rsidP="00371BFA">
            <w:pPr>
              <w:spacing w:line="240" w:lineRule="auto"/>
              <w:jc w:val="left"/>
              <w:rPr>
                <w:rFonts w:eastAsia="MS Mincho"/>
                <w:caps/>
                <w:kern w:val="2"/>
                <w:lang w:eastAsia="ja-JP"/>
              </w:rPr>
            </w:pPr>
            <w:r w:rsidRPr="00DC4CB7">
              <w:t>NHTS</w:t>
            </w:r>
          </w:p>
        </w:tc>
        <w:tc>
          <w:tcPr>
            <w:tcW w:w="6439" w:type="dxa"/>
          </w:tcPr>
          <w:p w14:paraId="7B41DDC9" w14:textId="731E38EC" w:rsidR="00971379" w:rsidRPr="000E5274" w:rsidRDefault="00971379" w:rsidP="00371BFA">
            <w:pPr>
              <w:spacing w:line="240" w:lineRule="auto"/>
              <w:jc w:val="left"/>
            </w:pPr>
            <w:r w:rsidRPr="00DC4CB7">
              <w:t xml:space="preserve">National Household Travel Survey </w:t>
            </w:r>
          </w:p>
        </w:tc>
      </w:tr>
      <w:tr w:rsidR="00971379" w:rsidRPr="000E5274" w14:paraId="676210DA" w14:textId="77777777" w:rsidTr="0081540F">
        <w:trPr>
          <w:trHeight w:val="317"/>
        </w:trPr>
        <w:tc>
          <w:tcPr>
            <w:tcW w:w="2577" w:type="dxa"/>
          </w:tcPr>
          <w:p w14:paraId="2ED37312" w14:textId="23942AA8" w:rsidR="00971379" w:rsidRDefault="00971379" w:rsidP="00371BFA">
            <w:pPr>
              <w:spacing w:line="240" w:lineRule="auto"/>
              <w:jc w:val="left"/>
              <w:rPr>
                <w:rFonts w:eastAsia="MS Mincho"/>
                <w:caps/>
                <w:kern w:val="2"/>
                <w:lang w:eastAsia="ja-JP"/>
              </w:rPr>
            </w:pPr>
            <w:r w:rsidRPr="00DC4CB7">
              <w:t>RECS</w:t>
            </w:r>
          </w:p>
        </w:tc>
        <w:tc>
          <w:tcPr>
            <w:tcW w:w="6439" w:type="dxa"/>
          </w:tcPr>
          <w:p w14:paraId="00F2382F" w14:textId="44958C0E" w:rsidR="00971379" w:rsidRDefault="00971379" w:rsidP="00371BFA">
            <w:pPr>
              <w:spacing w:line="240" w:lineRule="auto"/>
              <w:jc w:val="left"/>
            </w:pPr>
            <w:r w:rsidRPr="00DC4CB7">
              <w:t>Residential Energy Consumption Survey</w:t>
            </w:r>
          </w:p>
        </w:tc>
      </w:tr>
      <w:tr w:rsidR="00971379" w:rsidRPr="000E5274" w14:paraId="1FDCCD4F" w14:textId="77777777" w:rsidTr="0081540F">
        <w:trPr>
          <w:trHeight w:val="317"/>
        </w:trPr>
        <w:tc>
          <w:tcPr>
            <w:tcW w:w="2577" w:type="dxa"/>
          </w:tcPr>
          <w:p w14:paraId="6759F112" w14:textId="5DF50465" w:rsidR="00971379" w:rsidRDefault="00971379" w:rsidP="00371BFA">
            <w:pPr>
              <w:spacing w:line="240" w:lineRule="auto"/>
              <w:jc w:val="left"/>
              <w:rPr>
                <w:rFonts w:eastAsia="MS Mincho"/>
                <w:caps/>
                <w:kern w:val="2"/>
                <w:lang w:eastAsia="ja-JP"/>
              </w:rPr>
            </w:pPr>
            <w:r w:rsidRPr="00DC4CB7">
              <w:t>SLR</w:t>
            </w:r>
          </w:p>
        </w:tc>
        <w:tc>
          <w:tcPr>
            <w:tcW w:w="6439" w:type="dxa"/>
          </w:tcPr>
          <w:p w14:paraId="00823FF8" w14:textId="319510CB" w:rsidR="00971379" w:rsidRDefault="00971379" w:rsidP="00371BFA">
            <w:pPr>
              <w:spacing w:line="240" w:lineRule="auto"/>
              <w:jc w:val="left"/>
            </w:pPr>
            <w:r w:rsidRPr="00DC4CB7">
              <w:t xml:space="preserve">Simple </w:t>
            </w:r>
            <w:r w:rsidR="0031058C">
              <w:t>L</w:t>
            </w:r>
            <w:r w:rsidRPr="00DC4CB7">
              <w:t xml:space="preserve">inear </w:t>
            </w:r>
            <w:r w:rsidR="0031058C">
              <w:t>R</w:t>
            </w:r>
            <w:r w:rsidRPr="00DC4CB7">
              <w:t>egression model</w:t>
            </w:r>
          </w:p>
        </w:tc>
      </w:tr>
      <w:tr w:rsidR="00971379" w:rsidRPr="000E5274" w14:paraId="62F59839" w14:textId="77777777" w:rsidTr="0081540F">
        <w:trPr>
          <w:trHeight w:val="317"/>
        </w:trPr>
        <w:tc>
          <w:tcPr>
            <w:tcW w:w="2577" w:type="dxa"/>
          </w:tcPr>
          <w:p w14:paraId="2EAB8D2F" w14:textId="3DCE7815" w:rsidR="00971379" w:rsidRDefault="00971379" w:rsidP="00371BFA">
            <w:pPr>
              <w:spacing w:line="240" w:lineRule="auto"/>
              <w:jc w:val="left"/>
              <w:rPr>
                <w:rFonts w:eastAsia="MS Mincho"/>
                <w:caps/>
                <w:kern w:val="2"/>
                <w:lang w:eastAsia="ja-JP"/>
              </w:rPr>
            </w:pPr>
            <w:r w:rsidRPr="00DC4CB7">
              <w:t>SVM</w:t>
            </w:r>
          </w:p>
        </w:tc>
        <w:tc>
          <w:tcPr>
            <w:tcW w:w="6439" w:type="dxa"/>
          </w:tcPr>
          <w:p w14:paraId="065416A6" w14:textId="4D4BCA77" w:rsidR="00971379" w:rsidRDefault="00971379" w:rsidP="00371BFA">
            <w:pPr>
              <w:spacing w:line="240" w:lineRule="auto"/>
              <w:jc w:val="left"/>
            </w:pPr>
            <w:r w:rsidRPr="00DC4CB7">
              <w:t>Support Vector Machine</w:t>
            </w:r>
          </w:p>
        </w:tc>
      </w:tr>
      <w:tr w:rsidR="00971379" w:rsidRPr="000E5274" w14:paraId="057F6167" w14:textId="77777777" w:rsidTr="0081540F">
        <w:trPr>
          <w:trHeight w:val="317"/>
        </w:trPr>
        <w:tc>
          <w:tcPr>
            <w:tcW w:w="2577" w:type="dxa"/>
          </w:tcPr>
          <w:p w14:paraId="425845F2" w14:textId="5CC19D7F" w:rsidR="00971379" w:rsidRDefault="00971379" w:rsidP="00371BFA">
            <w:pPr>
              <w:spacing w:line="240" w:lineRule="auto"/>
              <w:jc w:val="left"/>
              <w:rPr>
                <w:rFonts w:eastAsia="MS Mincho"/>
                <w:caps/>
                <w:kern w:val="2"/>
                <w:lang w:eastAsia="ja-JP"/>
              </w:rPr>
            </w:pPr>
            <w:r w:rsidRPr="00DC4CB7">
              <w:t>TS</w:t>
            </w:r>
          </w:p>
        </w:tc>
        <w:tc>
          <w:tcPr>
            <w:tcW w:w="6439" w:type="dxa"/>
          </w:tcPr>
          <w:p w14:paraId="4F803BB5" w14:textId="1A39BD90" w:rsidR="00971379" w:rsidRDefault="00971379" w:rsidP="00371BFA">
            <w:pPr>
              <w:spacing w:line="240" w:lineRule="auto"/>
              <w:jc w:val="left"/>
            </w:pPr>
            <w:r w:rsidRPr="00DC4CB7">
              <w:t>Transearch</w:t>
            </w:r>
          </w:p>
        </w:tc>
      </w:tr>
      <w:tr w:rsidR="00971379" w:rsidRPr="000E5274" w14:paraId="266FEB83" w14:textId="77777777" w:rsidTr="0081540F">
        <w:trPr>
          <w:trHeight w:val="317"/>
        </w:trPr>
        <w:tc>
          <w:tcPr>
            <w:tcW w:w="2577" w:type="dxa"/>
          </w:tcPr>
          <w:p w14:paraId="61A0230E" w14:textId="497176C2" w:rsidR="00971379" w:rsidRDefault="00971379" w:rsidP="00371BFA">
            <w:pPr>
              <w:spacing w:line="240" w:lineRule="auto"/>
              <w:jc w:val="left"/>
              <w:rPr>
                <w:rFonts w:eastAsia="MS Mincho"/>
                <w:caps/>
                <w:kern w:val="2"/>
                <w:lang w:eastAsia="ja-JP"/>
              </w:rPr>
            </w:pPr>
            <w:r w:rsidRPr="00DC4CB7">
              <w:t>US</w:t>
            </w:r>
          </w:p>
        </w:tc>
        <w:tc>
          <w:tcPr>
            <w:tcW w:w="6439" w:type="dxa"/>
          </w:tcPr>
          <w:p w14:paraId="576DB2C4" w14:textId="2D2A3918" w:rsidR="00971379" w:rsidRDefault="00971379" w:rsidP="00371BFA">
            <w:pPr>
              <w:spacing w:line="240" w:lineRule="auto"/>
              <w:jc w:val="left"/>
            </w:pPr>
            <w:r w:rsidRPr="00DC4CB7">
              <w:t>United States</w:t>
            </w:r>
          </w:p>
        </w:tc>
      </w:tr>
    </w:tbl>
    <w:p w14:paraId="3491E784" w14:textId="77777777" w:rsidR="007D33F5" w:rsidRPr="000E5274" w:rsidRDefault="007D33F5" w:rsidP="007D33F5">
      <w:pPr>
        <w:jc w:val="left"/>
      </w:pPr>
    </w:p>
    <w:p w14:paraId="1F13946E" w14:textId="77777777" w:rsidR="00A6373C" w:rsidRDefault="00A6373C" w:rsidP="00234BB0">
      <w:pPr>
        <w:rPr>
          <w:rFonts w:eastAsia="Calibri" w:cs="Times New Roman"/>
          <w:szCs w:val="24"/>
        </w:rPr>
      </w:pPr>
    </w:p>
    <w:p w14:paraId="730B9D5C" w14:textId="77777777" w:rsidR="00A6373C" w:rsidRDefault="00A6373C" w:rsidP="00234BB0">
      <w:pPr>
        <w:rPr>
          <w:rFonts w:eastAsia="Calibri" w:cs="Times New Roman"/>
          <w:szCs w:val="24"/>
        </w:rPr>
      </w:pPr>
    </w:p>
    <w:p w14:paraId="1143F7AE" w14:textId="77777777" w:rsidR="00A6373C" w:rsidRDefault="00A6373C" w:rsidP="00234BB0">
      <w:pPr>
        <w:rPr>
          <w:rFonts w:eastAsia="Calibri" w:cs="Times New Roman"/>
          <w:szCs w:val="24"/>
        </w:rPr>
      </w:pPr>
    </w:p>
    <w:p w14:paraId="2817669E" w14:textId="58DF1017" w:rsidR="00234BB0" w:rsidRPr="00873E8A" w:rsidRDefault="00873E8A" w:rsidP="00234BB0">
      <w:pPr>
        <w:rPr>
          <w:rFonts w:eastAsia="Calibri" w:cs="Times New Roman"/>
          <w:b/>
          <w:bCs/>
          <w:szCs w:val="24"/>
        </w:rPr>
      </w:pPr>
      <w:r w:rsidRPr="00873E8A">
        <w:rPr>
          <w:rFonts w:eastAsia="Calibri" w:cs="Times New Roman"/>
          <w:b/>
          <w:bCs/>
          <w:szCs w:val="24"/>
        </w:rPr>
        <w:lastRenderedPageBreak/>
        <w:t>NOMENCLATURE:</w:t>
      </w:r>
    </w:p>
    <w:p w14:paraId="1A81F3E0" w14:textId="24C89517" w:rsidR="00016485" w:rsidRDefault="00234BB0" w:rsidP="00234BB0">
      <w:pPr>
        <w:rPr>
          <w:rFonts w:eastAsia="Calibri" w:cs="Times New Roman"/>
          <w:szCs w:val="24"/>
        </w:rPr>
      </w:pPr>
      <w:r w:rsidRPr="00234BB0">
        <w:rPr>
          <w:rFonts w:eastAsia="Calibri" w:cs="Times New Roman"/>
          <w:szCs w:val="24"/>
        </w:rPr>
        <w:t>As different research articles used different notations for variables and matrices, Table 1 outlines the convention applied in this paper.</w:t>
      </w:r>
    </w:p>
    <w:tbl>
      <w:tblPr>
        <w:tblpPr w:leftFromText="180" w:rightFromText="180" w:vertAnchor="text" w:horzAnchor="margin" w:tblpY="96"/>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8010"/>
      </w:tblGrid>
      <w:tr w:rsidR="00234BB0" w:rsidRPr="00234BB0" w14:paraId="796C302C" w14:textId="77777777" w:rsidTr="00873E8A">
        <w:trPr>
          <w:trHeight w:val="317"/>
        </w:trPr>
        <w:tc>
          <w:tcPr>
            <w:tcW w:w="1165" w:type="dxa"/>
            <w:shd w:val="clear" w:color="auto" w:fill="auto"/>
            <w:vAlign w:val="center"/>
            <w:hideMark/>
          </w:tcPr>
          <w:p w14:paraId="50A5C6FE" w14:textId="77777777" w:rsidR="00234BB0" w:rsidRPr="00873E8A" w:rsidRDefault="00234BB0" w:rsidP="00234BB0">
            <w:pPr>
              <w:spacing w:line="240" w:lineRule="auto"/>
              <w:jc w:val="center"/>
              <w:rPr>
                <w:rFonts w:eastAsia="Times New Roman" w:cs="Times New Roman"/>
                <w:b/>
                <w:bCs/>
                <w:color w:val="000000"/>
                <w:szCs w:val="24"/>
              </w:rPr>
            </w:pPr>
            <w:r w:rsidRPr="00873E8A">
              <w:rPr>
                <w:rFonts w:eastAsia="Times New Roman" w:cs="Times New Roman"/>
                <w:b/>
                <w:bCs/>
                <w:color w:val="000000"/>
                <w:szCs w:val="24"/>
              </w:rPr>
              <w:t>Notation</w:t>
            </w:r>
          </w:p>
        </w:tc>
        <w:tc>
          <w:tcPr>
            <w:tcW w:w="8010" w:type="dxa"/>
            <w:shd w:val="clear" w:color="auto" w:fill="auto"/>
            <w:vAlign w:val="center"/>
            <w:hideMark/>
          </w:tcPr>
          <w:p w14:paraId="02CFD006" w14:textId="77777777" w:rsidR="00234BB0" w:rsidRPr="00873E8A" w:rsidRDefault="00234BB0" w:rsidP="00234BB0">
            <w:pPr>
              <w:spacing w:line="240" w:lineRule="auto"/>
              <w:jc w:val="center"/>
              <w:rPr>
                <w:rFonts w:eastAsia="Times New Roman" w:cs="Times New Roman"/>
                <w:b/>
                <w:bCs/>
                <w:color w:val="000000"/>
                <w:szCs w:val="24"/>
              </w:rPr>
            </w:pPr>
            <w:r w:rsidRPr="00873E8A">
              <w:rPr>
                <w:rFonts w:eastAsia="Times New Roman" w:cs="Times New Roman"/>
                <w:b/>
                <w:bCs/>
                <w:color w:val="000000"/>
                <w:szCs w:val="24"/>
              </w:rPr>
              <w:t>Description</w:t>
            </w:r>
          </w:p>
        </w:tc>
      </w:tr>
      <w:tr w:rsidR="00234BB0" w:rsidRPr="00234BB0" w14:paraId="0DAF05D3" w14:textId="77777777" w:rsidTr="00873E8A">
        <w:trPr>
          <w:trHeight w:val="317"/>
        </w:trPr>
        <w:tc>
          <w:tcPr>
            <w:tcW w:w="1165" w:type="dxa"/>
            <w:shd w:val="clear" w:color="auto" w:fill="auto"/>
            <w:vAlign w:val="center"/>
            <w:hideMark/>
          </w:tcPr>
          <w:p w14:paraId="4680F874" w14:textId="51BE8BA5" w:rsidR="00234BB0" w:rsidRPr="00873E8A" w:rsidRDefault="00234BB0" w:rsidP="00234BB0">
            <w:pPr>
              <w:spacing w:line="240" w:lineRule="auto"/>
              <w:jc w:val="left"/>
              <w:rPr>
                <w:rFonts w:eastAsia="Times New Roman" w:cs="Times New Roman"/>
                <w:color w:val="000000"/>
                <w:szCs w:val="24"/>
              </w:rPr>
            </w:pPr>
            <m:oMathPara>
              <m:oMathParaPr>
                <m:jc m:val="left"/>
              </m:oMathParaPr>
              <m:oMath>
                <m:r>
                  <m:rPr>
                    <m:sty m:val="p"/>
                  </m:rPr>
                  <w:rPr>
                    <w:rFonts w:ascii="Cambria Math" w:hAnsi="Cambria Math" w:cs="Times New Roman"/>
                    <w:szCs w:val="24"/>
                    <w:lang w:val="en-US"/>
                  </w:rPr>
                  <m:t>i</m:t>
                </m:r>
              </m:oMath>
            </m:oMathPara>
          </w:p>
        </w:tc>
        <w:tc>
          <w:tcPr>
            <w:tcW w:w="8010" w:type="dxa"/>
            <w:shd w:val="clear" w:color="auto" w:fill="auto"/>
            <w:vAlign w:val="center"/>
            <w:hideMark/>
          </w:tcPr>
          <w:p w14:paraId="5CC85D45" w14:textId="77777777"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Index for households in the RECS dataset</w:t>
            </w:r>
          </w:p>
        </w:tc>
      </w:tr>
      <w:tr w:rsidR="00234BB0" w:rsidRPr="00234BB0" w14:paraId="34732D5F" w14:textId="77777777" w:rsidTr="00873E8A">
        <w:trPr>
          <w:trHeight w:val="317"/>
        </w:trPr>
        <w:tc>
          <w:tcPr>
            <w:tcW w:w="1165" w:type="dxa"/>
            <w:shd w:val="clear" w:color="auto" w:fill="auto"/>
            <w:vAlign w:val="center"/>
            <w:hideMark/>
          </w:tcPr>
          <w:p w14:paraId="0E7F1665" w14:textId="1EDFB1AC" w:rsidR="00234BB0" w:rsidRPr="00873E8A" w:rsidRDefault="00234BB0" w:rsidP="00234BB0">
            <w:pPr>
              <w:spacing w:line="240" w:lineRule="auto"/>
              <w:jc w:val="left"/>
              <w:rPr>
                <w:rFonts w:eastAsia="Times New Roman" w:cs="Times New Roman"/>
                <w:color w:val="000000"/>
                <w:szCs w:val="24"/>
              </w:rPr>
            </w:pPr>
            <m:oMathPara>
              <m:oMathParaPr>
                <m:jc m:val="left"/>
              </m:oMathParaPr>
              <m:oMath>
                <m:r>
                  <m:rPr>
                    <m:sty m:val="p"/>
                  </m:rPr>
                  <w:rPr>
                    <w:rFonts w:ascii="Cambria Math" w:hAnsi="Cambria Math" w:cs="Times New Roman"/>
                    <w:szCs w:val="24"/>
                  </w:rPr>
                  <m:t>K</m:t>
                </m:r>
              </m:oMath>
            </m:oMathPara>
          </w:p>
        </w:tc>
        <w:tc>
          <w:tcPr>
            <w:tcW w:w="8010" w:type="dxa"/>
            <w:shd w:val="clear" w:color="auto" w:fill="auto"/>
            <w:vAlign w:val="center"/>
            <w:hideMark/>
          </w:tcPr>
          <w:p w14:paraId="3C8AD0A5" w14:textId="77777777"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Number of possible matches from the NHTS dataset</w:t>
            </w:r>
          </w:p>
        </w:tc>
      </w:tr>
      <w:tr w:rsidR="00234BB0" w:rsidRPr="00234BB0" w14:paraId="54614876" w14:textId="77777777" w:rsidTr="00873E8A">
        <w:trPr>
          <w:trHeight w:val="317"/>
        </w:trPr>
        <w:tc>
          <w:tcPr>
            <w:tcW w:w="1165" w:type="dxa"/>
            <w:shd w:val="clear" w:color="auto" w:fill="auto"/>
            <w:vAlign w:val="center"/>
            <w:hideMark/>
          </w:tcPr>
          <w:p w14:paraId="41A070C6" w14:textId="2195CFDA" w:rsidR="00234BB0" w:rsidRPr="00873E8A" w:rsidRDefault="00234BB0" w:rsidP="00234BB0">
            <w:pPr>
              <w:spacing w:line="240" w:lineRule="auto"/>
              <w:jc w:val="left"/>
              <w:rPr>
                <w:rFonts w:eastAsia="Times New Roman" w:cs="Times New Roman"/>
                <w:color w:val="000000"/>
                <w:szCs w:val="24"/>
              </w:rPr>
            </w:pPr>
            <m:oMathPara>
              <m:oMathParaPr>
                <m:jc m:val="left"/>
              </m:oMathParaPr>
              <m:oMath>
                <m:r>
                  <m:rPr>
                    <m:sty m:val="p"/>
                  </m:rPr>
                  <w:rPr>
                    <w:rFonts w:ascii="Cambria Math" w:hAnsi="Cambria Math" w:cs="Times New Roman"/>
                    <w:szCs w:val="24"/>
                  </w:rPr>
                  <m:t>d</m:t>
                </m:r>
              </m:oMath>
            </m:oMathPara>
          </w:p>
        </w:tc>
        <w:tc>
          <w:tcPr>
            <w:tcW w:w="8010" w:type="dxa"/>
            <w:shd w:val="clear" w:color="auto" w:fill="auto"/>
            <w:vAlign w:val="center"/>
            <w:hideMark/>
          </w:tcPr>
          <w:p w14:paraId="43133EE9" w14:textId="77777777"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Index for different energy sources (electricity, natural gas)</w:t>
            </w:r>
          </w:p>
        </w:tc>
      </w:tr>
      <w:tr w:rsidR="00234BB0" w:rsidRPr="00234BB0" w14:paraId="596C1A8C" w14:textId="77777777" w:rsidTr="00873E8A">
        <w:trPr>
          <w:trHeight w:val="317"/>
        </w:trPr>
        <w:tc>
          <w:tcPr>
            <w:tcW w:w="1165" w:type="dxa"/>
            <w:shd w:val="clear" w:color="auto" w:fill="auto"/>
            <w:vAlign w:val="center"/>
            <w:hideMark/>
          </w:tcPr>
          <w:p w14:paraId="3325AC36" w14:textId="24BA035D" w:rsidR="00234BB0" w:rsidRPr="00873E8A" w:rsidRDefault="00000000" w:rsidP="00234BB0">
            <w:pPr>
              <w:spacing w:line="240" w:lineRule="auto"/>
              <w:jc w:val="left"/>
              <w:rPr>
                <w:rFonts w:eastAsia="Times New Roman" w:cs="Times New Roman"/>
                <w:color w:val="000000"/>
                <w:szCs w:val="24"/>
              </w:rPr>
            </w:pPr>
            <m:oMathPara>
              <m:oMathParaPr>
                <m:jc m:val="left"/>
              </m:oMathParaPr>
              <m:oMath>
                <m:sSub>
                  <m:sSubPr>
                    <m:ctrlPr>
                      <w:rPr>
                        <w:rFonts w:ascii="Cambria Math" w:hAnsi="Cambria Math" w:cs="Times New Roman"/>
                        <w:szCs w:val="24"/>
                      </w:rPr>
                    </m:ctrlPr>
                  </m:sSubPr>
                  <m:e>
                    <m:r>
                      <m:rPr>
                        <m:sty m:val="p"/>
                      </m:rPr>
                      <w:rPr>
                        <w:rFonts w:ascii="Cambria Math" w:hAnsi="Cambria Math" w:cs="Times New Roman"/>
                        <w:szCs w:val="24"/>
                      </w:rPr>
                      <m:t>y</m:t>
                    </m:r>
                  </m:e>
                  <m:sub>
                    <m:r>
                      <m:rPr>
                        <m:sty m:val="p"/>
                      </m:rPr>
                      <w:rPr>
                        <w:rFonts w:ascii="Cambria Math" w:hAnsi="Cambria Math" w:cs="Times New Roman"/>
                        <w:szCs w:val="24"/>
                      </w:rPr>
                      <m:t>d,i</m:t>
                    </m:r>
                  </m:sub>
                </m:sSub>
              </m:oMath>
            </m:oMathPara>
          </w:p>
        </w:tc>
        <w:tc>
          <w:tcPr>
            <w:tcW w:w="8010" w:type="dxa"/>
            <w:shd w:val="clear" w:color="auto" w:fill="auto"/>
            <w:vAlign w:val="center"/>
            <w:hideMark/>
          </w:tcPr>
          <w:p w14:paraId="474C692F" w14:textId="4355D1A8"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 xml:space="preserve">Observed log-normal of energy usage for household </w:t>
            </w:r>
            <m:oMath>
              <m:r>
                <m:rPr>
                  <m:sty m:val="p"/>
                </m:rPr>
                <w:rPr>
                  <w:rFonts w:ascii="Cambria Math" w:hAnsi="Cambria Math" w:cs="Times New Roman"/>
                  <w:szCs w:val="24"/>
                  <w:lang w:val="en-US"/>
                </w:rPr>
                <m:t>i</m:t>
              </m:r>
            </m:oMath>
            <w:r w:rsidRPr="00873E8A">
              <w:rPr>
                <w:rFonts w:eastAsia="Times New Roman" w:cs="Times New Roman"/>
                <w:color w:val="000000"/>
                <w:szCs w:val="24"/>
              </w:rPr>
              <w:t xml:space="preserve"> and energy source </w:t>
            </w:r>
            <m:oMath>
              <m:r>
                <m:rPr>
                  <m:sty m:val="p"/>
                </m:rPr>
                <w:rPr>
                  <w:rFonts w:ascii="Cambria Math" w:hAnsi="Cambria Math" w:cs="Times New Roman"/>
                  <w:szCs w:val="24"/>
                </w:rPr>
                <m:t>d</m:t>
              </m:r>
            </m:oMath>
          </w:p>
        </w:tc>
      </w:tr>
      <w:tr w:rsidR="00234BB0" w:rsidRPr="00234BB0" w14:paraId="7D13CA2E" w14:textId="77777777" w:rsidTr="00873E8A">
        <w:trPr>
          <w:trHeight w:val="317"/>
        </w:trPr>
        <w:tc>
          <w:tcPr>
            <w:tcW w:w="1165" w:type="dxa"/>
            <w:shd w:val="clear" w:color="auto" w:fill="auto"/>
            <w:vAlign w:val="center"/>
            <w:hideMark/>
          </w:tcPr>
          <w:p w14:paraId="23434AF9" w14:textId="7CB49DFF" w:rsidR="00234BB0" w:rsidRPr="00873E8A" w:rsidRDefault="00000000" w:rsidP="00234BB0">
            <w:pPr>
              <w:spacing w:line="240" w:lineRule="auto"/>
              <w:jc w:val="left"/>
              <w:rPr>
                <w:rFonts w:eastAsia="Times New Roman" w:cs="Times New Roman"/>
                <w:color w:val="000000"/>
                <w:szCs w:val="24"/>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Q</m:t>
                  </m:r>
                </m:e>
                <m:sub>
                  <m:r>
                    <m:rPr>
                      <m:sty m:val="p"/>
                    </m:rPr>
                    <w:rPr>
                      <w:rFonts w:ascii="Cambria Math" w:hAnsi="Cambria Math" w:cs="Times New Roman"/>
                      <w:szCs w:val="24"/>
                      <w:lang w:val="en-US"/>
                    </w:rPr>
                    <m:t>d, ik</m:t>
                  </m:r>
                </m:sub>
              </m:sSub>
            </m:oMath>
            <w:r w:rsidR="00234BB0" w:rsidRPr="00873E8A">
              <w:rPr>
                <w:rFonts w:eastAsia="Times New Roman" w:cs="Times New Roman"/>
                <w:color w:val="000000"/>
                <w:szCs w:val="24"/>
              </w:rPr>
              <w:t>​</w:t>
            </w:r>
          </w:p>
        </w:tc>
        <w:tc>
          <w:tcPr>
            <w:tcW w:w="8010" w:type="dxa"/>
            <w:shd w:val="clear" w:color="auto" w:fill="auto"/>
            <w:vAlign w:val="center"/>
            <w:hideMark/>
          </w:tcPr>
          <w:p w14:paraId="679FEB53" w14:textId="098302CE"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 xml:space="preserve">Predicted log-normal of energy usage for household </w:t>
            </w:r>
            <m:oMath>
              <m:r>
                <m:rPr>
                  <m:sty m:val="p"/>
                </m:rPr>
                <w:rPr>
                  <w:rFonts w:ascii="Cambria Math" w:hAnsi="Cambria Math" w:cs="Times New Roman"/>
                  <w:szCs w:val="24"/>
                  <w:lang w:val="en-US"/>
                </w:rPr>
                <m:t>i</m:t>
              </m:r>
            </m:oMath>
            <w:r w:rsidRPr="00873E8A">
              <w:rPr>
                <w:rFonts w:eastAsia="Times New Roman" w:cs="Times New Roman"/>
                <w:color w:val="000000"/>
                <w:szCs w:val="24"/>
              </w:rPr>
              <w:t xml:space="preserve"> and the </w:t>
            </w:r>
            <m:oMath>
              <m:sSup>
                <m:sSupPr>
                  <m:ctrlPr>
                    <w:rPr>
                      <w:rFonts w:ascii="Cambria Math" w:hAnsi="Cambria Math" w:cs="Times New Roman"/>
                      <w:szCs w:val="24"/>
                    </w:rPr>
                  </m:ctrlPr>
                </m:sSupPr>
                <m:e>
                  <m:r>
                    <m:rPr>
                      <m:sty m:val="p"/>
                    </m:rPr>
                    <w:rPr>
                      <w:rFonts w:ascii="Cambria Math" w:hAnsi="Cambria Math" w:cs="Times New Roman"/>
                      <w:szCs w:val="24"/>
                    </w:rPr>
                    <m:t>K</m:t>
                  </m:r>
                </m:e>
                <m:sup>
                  <m:r>
                    <m:rPr>
                      <m:sty m:val="p"/>
                    </m:rPr>
                    <w:rPr>
                      <w:rFonts w:ascii="Cambria Math" w:hAnsi="Cambria Math" w:cs="Times New Roman"/>
                      <w:szCs w:val="24"/>
                    </w:rPr>
                    <m:t>th</m:t>
                  </m:r>
                </m:sup>
              </m:sSup>
              <m:r>
                <m:rPr>
                  <m:sty m:val="p"/>
                </m:rPr>
                <w:rPr>
                  <w:rFonts w:ascii="Cambria Math" w:hAnsi="Cambria Math" w:cs="Times New Roman"/>
                  <w:szCs w:val="24"/>
                </w:rPr>
                <m:t xml:space="preserve"> </m:t>
              </m:r>
            </m:oMath>
            <w:r w:rsidRPr="00873E8A">
              <w:rPr>
                <w:rFonts w:eastAsia="Times New Roman" w:cs="Times New Roman"/>
                <w:color w:val="000000"/>
                <w:szCs w:val="24"/>
              </w:rPr>
              <w:t xml:space="preserve">fused record for energy source </w:t>
            </w:r>
            <m:oMath>
              <m:r>
                <m:rPr>
                  <m:sty m:val="p"/>
                </m:rPr>
                <w:rPr>
                  <w:rFonts w:ascii="Cambria Math" w:hAnsi="Cambria Math" w:cs="Times New Roman"/>
                  <w:szCs w:val="24"/>
                </w:rPr>
                <m:t>d</m:t>
              </m:r>
            </m:oMath>
          </w:p>
        </w:tc>
      </w:tr>
      <w:tr w:rsidR="00234BB0" w:rsidRPr="00234BB0" w14:paraId="0A01A256" w14:textId="77777777" w:rsidTr="00873E8A">
        <w:trPr>
          <w:trHeight w:val="317"/>
        </w:trPr>
        <w:tc>
          <w:tcPr>
            <w:tcW w:w="1165" w:type="dxa"/>
            <w:shd w:val="clear" w:color="auto" w:fill="auto"/>
            <w:vAlign w:val="center"/>
            <w:hideMark/>
          </w:tcPr>
          <w:p w14:paraId="7B4050A7" w14:textId="5CF9B63F" w:rsidR="00234BB0" w:rsidRPr="00873E8A" w:rsidRDefault="00000000" w:rsidP="00234BB0">
            <w:pPr>
              <w:spacing w:line="240" w:lineRule="auto"/>
              <w:jc w:val="left"/>
              <w:rPr>
                <w:rFonts w:eastAsia="Times New Roman" w:cs="Times New Roman"/>
                <w:color w:val="000000"/>
                <w:szCs w:val="24"/>
              </w:rPr>
            </w:pPr>
            <m:oMathPara>
              <m:oMathParaPr>
                <m:jc m:val="left"/>
              </m:oMathParaPr>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ik</m:t>
                    </m:r>
                  </m:sub>
                </m:sSub>
              </m:oMath>
            </m:oMathPara>
          </w:p>
        </w:tc>
        <w:tc>
          <w:tcPr>
            <w:tcW w:w="8010" w:type="dxa"/>
            <w:shd w:val="clear" w:color="auto" w:fill="auto"/>
            <w:vAlign w:val="center"/>
            <w:hideMark/>
          </w:tcPr>
          <w:p w14:paraId="6D62FFF1" w14:textId="77777777"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Vector of attributes from the source dataset influencing energy demand</w:t>
            </w:r>
          </w:p>
        </w:tc>
      </w:tr>
      <w:tr w:rsidR="00234BB0" w:rsidRPr="00234BB0" w14:paraId="051EFEF1" w14:textId="77777777" w:rsidTr="00873E8A">
        <w:trPr>
          <w:trHeight w:val="317"/>
        </w:trPr>
        <w:tc>
          <w:tcPr>
            <w:tcW w:w="1165" w:type="dxa"/>
            <w:shd w:val="clear" w:color="auto" w:fill="auto"/>
            <w:vAlign w:val="center"/>
          </w:tcPr>
          <w:p w14:paraId="7BBD725D" w14:textId="747989D0" w:rsidR="00234BB0" w:rsidRPr="00873E8A" w:rsidRDefault="00000000" w:rsidP="00234BB0">
            <w:pPr>
              <w:spacing w:line="240" w:lineRule="auto"/>
              <w:jc w:val="left"/>
              <w:rPr>
                <w:rFonts w:ascii="Cambria Math" w:hAnsi="Cambria Math" w:cs="Times New Roman"/>
                <w:kern w:val="2"/>
                <w:szCs w:val="24"/>
                <w14:ligatures w14:val="standardContextual"/>
              </w:rPr>
            </w:pPr>
            <m:oMathPara>
              <m:oMathParaPr>
                <m:jc m:val="left"/>
              </m:oMathParaPr>
              <m:oMath>
                <m:sSub>
                  <m:sSubPr>
                    <m:ctrlPr>
                      <w:rPr>
                        <w:rFonts w:ascii="Cambria Math" w:hAnsi="Cambria Math" w:cs="Times New Roman"/>
                        <w:szCs w:val="24"/>
                      </w:rPr>
                    </m:ctrlPr>
                  </m:sSubPr>
                  <m:e>
                    <m:r>
                      <m:rPr>
                        <m:sty m:val="p"/>
                      </m:rPr>
                      <w:rPr>
                        <w:rFonts w:ascii="Cambria Math" w:hAnsi="Cambria Math" w:cs="Times New Roman"/>
                        <w:szCs w:val="24"/>
                      </w:rPr>
                      <m:t>S</m:t>
                    </m:r>
                  </m:e>
                  <m:sub>
                    <m:r>
                      <m:rPr>
                        <m:sty m:val="p"/>
                      </m:rPr>
                      <w:rPr>
                        <w:rFonts w:ascii="Cambria Math" w:hAnsi="Cambria Math" w:cs="Times New Roman"/>
                        <w:szCs w:val="24"/>
                      </w:rPr>
                      <m:t>ik</m:t>
                    </m:r>
                  </m:sub>
                </m:sSub>
              </m:oMath>
            </m:oMathPara>
          </w:p>
        </w:tc>
        <w:tc>
          <w:tcPr>
            <w:tcW w:w="8010" w:type="dxa"/>
            <w:shd w:val="clear" w:color="auto" w:fill="auto"/>
            <w:vAlign w:val="center"/>
          </w:tcPr>
          <w:p w14:paraId="2DD951AC" w14:textId="77777777"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Vector of attributes from the donor dataset affecting energy demand</w:t>
            </w:r>
          </w:p>
        </w:tc>
      </w:tr>
      <w:tr w:rsidR="00234BB0" w:rsidRPr="00234BB0" w14:paraId="185E2F4B" w14:textId="77777777" w:rsidTr="00873E8A">
        <w:trPr>
          <w:trHeight w:val="317"/>
        </w:trPr>
        <w:tc>
          <w:tcPr>
            <w:tcW w:w="1165" w:type="dxa"/>
            <w:shd w:val="clear" w:color="auto" w:fill="auto"/>
            <w:vAlign w:val="center"/>
          </w:tcPr>
          <w:p w14:paraId="112713A8" w14:textId="3943F308" w:rsidR="00234BB0" w:rsidRPr="00873E8A" w:rsidRDefault="00000000" w:rsidP="00234BB0">
            <w:pPr>
              <w:spacing w:line="240" w:lineRule="auto"/>
              <w:jc w:val="left"/>
              <w:rPr>
                <w:rFonts w:eastAsia="Times New Roman" w:cs="Times New Roman"/>
                <w:szCs w:val="24"/>
              </w:rPr>
            </w:pPr>
            <m:oMathPara>
              <m:oMathParaPr>
                <m:jc m:val="left"/>
              </m:oMathParaPr>
              <m:oMath>
                <m:sSup>
                  <m:sSupPr>
                    <m:ctrlPr>
                      <w:rPr>
                        <w:rFonts w:ascii="Cambria Math" w:hAnsi="Cambria Math" w:cs="Times New Roman"/>
                        <w:szCs w:val="24"/>
                      </w:rPr>
                    </m:ctrlPr>
                  </m:sSupPr>
                  <m:e>
                    <m:r>
                      <m:rPr>
                        <m:sty m:val="p"/>
                      </m:rPr>
                      <w:rPr>
                        <w:rFonts w:ascii="Cambria Math" w:hAnsi="Cambria Math" w:cs="Times New Roman"/>
                        <w:szCs w:val="24"/>
                      </w:rPr>
                      <m:t>β</m:t>
                    </m:r>
                  </m:e>
                  <m:sup>
                    <m:r>
                      <m:rPr>
                        <m:sty m:val="p"/>
                      </m:rPr>
                      <w:rPr>
                        <w:rFonts w:ascii="Cambria Math" w:hAnsi="Cambria Math" w:cs="Times New Roman"/>
                        <w:szCs w:val="24"/>
                      </w:rPr>
                      <m:t>'</m:t>
                    </m:r>
                  </m:sup>
                </m:sSup>
              </m:oMath>
            </m:oMathPara>
          </w:p>
        </w:tc>
        <w:tc>
          <w:tcPr>
            <w:tcW w:w="8010" w:type="dxa"/>
            <w:shd w:val="clear" w:color="auto" w:fill="auto"/>
            <w:vAlign w:val="center"/>
          </w:tcPr>
          <w:p w14:paraId="2329DF09" w14:textId="396974F8"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 xml:space="preserve">Coefficients corresponding to </w:t>
            </w:r>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ik</m:t>
                  </m:r>
                </m:sub>
              </m:sSub>
            </m:oMath>
          </w:p>
        </w:tc>
      </w:tr>
      <w:tr w:rsidR="00234BB0" w:rsidRPr="00234BB0" w14:paraId="273DA7D9" w14:textId="77777777" w:rsidTr="00873E8A">
        <w:trPr>
          <w:trHeight w:val="317"/>
        </w:trPr>
        <w:tc>
          <w:tcPr>
            <w:tcW w:w="1165" w:type="dxa"/>
            <w:shd w:val="clear" w:color="auto" w:fill="auto"/>
            <w:vAlign w:val="center"/>
            <w:hideMark/>
          </w:tcPr>
          <w:p w14:paraId="70490D9C" w14:textId="5B060691" w:rsidR="00234BB0" w:rsidRPr="00873E8A" w:rsidRDefault="00000000" w:rsidP="00234BB0">
            <w:pPr>
              <w:spacing w:line="240" w:lineRule="auto"/>
              <w:jc w:val="left"/>
              <w:rPr>
                <w:rFonts w:ascii="Cambria Math" w:hAnsi="Cambria Math" w:cs="Times New Roman"/>
                <w:kern w:val="2"/>
                <w:szCs w:val="24"/>
                <w14:ligatures w14:val="standardContextual"/>
              </w:rPr>
            </w:pPr>
            <m:oMathPara>
              <m:oMathParaPr>
                <m:jc m:val="left"/>
              </m:oMathParaPr>
              <m:oMath>
                <m:sSup>
                  <m:sSupPr>
                    <m:ctrlPr>
                      <w:rPr>
                        <w:rFonts w:ascii="Cambria Math" w:hAnsi="Cambria Math" w:cs="Times New Roman"/>
                        <w:szCs w:val="24"/>
                      </w:rPr>
                    </m:ctrlPr>
                  </m:sSupPr>
                  <m:e>
                    <m:r>
                      <m:rPr>
                        <m:sty m:val="p"/>
                      </m:rPr>
                      <w:rPr>
                        <w:rFonts w:ascii="Cambria Math" w:hAnsi="Cambria Math" w:cs="Times New Roman"/>
                        <w:szCs w:val="24"/>
                      </w:rPr>
                      <m:t>γ</m:t>
                    </m:r>
                  </m:e>
                  <m:sup>
                    <m:r>
                      <m:rPr>
                        <m:sty m:val="p"/>
                      </m:rPr>
                      <w:rPr>
                        <w:rFonts w:ascii="Cambria Math" w:hAnsi="Cambria Math" w:cs="Times New Roman"/>
                        <w:szCs w:val="24"/>
                      </w:rPr>
                      <m:t>'</m:t>
                    </m:r>
                  </m:sup>
                </m:sSup>
              </m:oMath>
            </m:oMathPara>
          </w:p>
        </w:tc>
        <w:tc>
          <w:tcPr>
            <w:tcW w:w="8010" w:type="dxa"/>
            <w:shd w:val="clear" w:color="auto" w:fill="auto"/>
            <w:vAlign w:val="center"/>
            <w:hideMark/>
          </w:tcPr>
          <w:p w14:paraId="3D9C10CF" w14:textId="19DDF1EF"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 xml:space="preserve">Coefficients corresponding to </w:t>
            </w:r>
            <m:oMath>
              <m:sSub>
                <m:sSubPr>
                  <m:ctrlPr>
                    <w:rPr>
                      <w:rFonts w:ascii="Cambria Math" w:hAnsi="Cambria Math" w:cs="Times New Roman"/>
                      <w:szCs w:val="24"/>
                    </w:rPr>
                  </m:ctrlPr>
                </m:sSubPr>
                <m:e>
                  <m:r>
                    <m:rPr>
                      <m:sty m:val="p"/>
                    </m:rPr>
                    <w:rPr>
                      <w:rFonts w:ascii="Cambria Math" w:hAnsi="Cambria Math" w:cs="Times New Roman"/>
                      <w:szCs w:val="24"/>
                    </w:rPr>
                    <m:t>S</m:t>
                  </m:r>
                </m:e>
                <m:sub>
                  <m:r>
                    <m:rPr>
                      <m:sty m:val="p"/>
                    </m:rPr>
                    <w:rPr>
                      <w:rFonts w:ascii="Cambria Math" w:hAnsi="Cambria Math" w:cs="Times New Roman"/>
                      <w:szCs w:val="24"/>
                    </w:rPr>
                    <m:t>ik</m:t>
                  </m:r>
                </m:sub>
              </m:sSub>
            </m:oMath>
          </w:p>
        </w:tc>
      </w:tr>
      <w:tr w:rsidR="00234BB0" w:rsidRPr="00234BB0" w14:paraId="4BC16354" w14:textId="77777777" w:rsidTr="00873E8A">
        <w:trPr>
          <w:trHeight w:val="317"/>
        </w:trPr>
        <w:tc>
          <w:tcPr>
            <w:tcW w:w="1165" w:type="dxa"/>
            <w:shd w:val="clear" w:color="auto" w:fill="auto"/>
            <w:vAlign w:val="center"/>
            <w:hideMark/>
          </w:tcPr>
          <w:p w14:paraId="035CF0B9" w14:textId="095C6FB6" w:rsidR="00234BB0" w:rsidRPr="00873E8A" w:rsidRDefault="00000000" w:rsidP="00234BB0">
            <w:pPr>
              <w:spacing w:line="240" w:lineRule="auto"/>
              <w:jc w:val="left"/>
              <w:rPr>
                <w:rFonts w:eastAsia="Times New Roman" w:cs="Times New Roman"/>
                <w:color w:val="000000"/>
                <w:szCs w:val="24"/>
              </w:rPr>
            </w:pPr>
            <m:oMath>
              <m:sSub>
                <m:sSubPr>
                  <m:ctrlPr>
                    <w:rPr>
                      <w:rFonts w:ascii="Cambria Math" w:hAnsi="Cambria Math" w:cs="Times New Roman"/>
                      <w:szCs w:val="24"/>
                    </w:rPr>
                  </m:ctrlPr>
                </m:sSubPr>
                <m:e>
                  <m:r>
                    <m:rPr>
                      <m:sty m:val="p"/>
                    </m:rPr>
                    <w:rPr>
                      <w:rFonts w:ascii="Cambria Math" w:hAnsi="Cambria Math" w:cs="Times New Roman"/>
                      <w:szCs w:val="24"/>
                    </w:rPr>
                    <m:t>ε</m:t>
                  </m:r>
                </m:e>
                <m:sub>
                  <m:r>
                    <m:rPr>
                      <m:sty m:val="p"/>
                    </m:rPr>
                    <w:rPr>
                      <w:rFonts w:ascii="Cambria Math" w:hAnsi="Cambria Math" w:cs="Times New Roman"/>
                      <w:szCs w:val="24"/>
                    </w:rPr>
                    <m:t xml:space="preserve"> ik</m:t>
                  </m:r>
                </m:sub>
              </m:sSub>
            </m:oMath>
            <w:r w:rsidR="00234BB0" w:rsidRPr="00873E8A">
              <w:rPr>
                <w:rFonts w:eastAsia="Times New Roman" w:cs="Times New Roman"/>
                <w:color w:val="000000"/>
                <w:szCs w:val="24"/>
              </w:rPr>
              <w:t>​</w:t>
            </w:r>
          </w:p>
        </w:tc>
        <w:tc>
          <w:tcPr>
            <w:tcW w:w="8010" w:type="dxa"/>
            <w:shd w:val="clear" w:color="auto" w:fill="auto"/>
            <w:vAlign w:val="center"/>
            <w:hideMark/>
          </w:tcPr>
          <w:p w14:paraId="1F8BA839" w14:textId="2A1CCA05"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 xml:space="preserve">Independently and identically distributed error term with zero mean and variance </w:t>
            </w:r>
            <m:oMath>
              <m:sSup>
                <m:sSupPr>
                  <m:ctrlPr>
                    <w:rPr>
                      <w:rFonts w:ascii="Cambria Math" w:hAnsi="Cambria Math" w:cs="Times New Roman"/>
                      <w:szCs w:val="24"/>
                    </w:rPr>
                  </m:ctrlPr>
                </m:sSupPr>
                <m:e>
                  <m:r>
                    <m:rPr>
                      <m:sty m:val="p"/>
                    </m:rPr>
                    <w:rPr>
                      <w:rFonts w:ascii="Cambria Math" w:hAnsi="Cambria Math" w:cs="Times New Roman"/>
                      <w:szCs w:val="24"/>
                    </w:rPr>
                    <m:t>σ</m:t>
                  </m:r>
                </m:e>
                <m:sup>
                  <m:r>
                    <m:rPr>
                      <m:sty m:val="p"/>
                    </m:rPr>
                    <w:rPr>
                      <w:rFonts w:ascii="Cambria Math" w:hAnsi="Cambria Math" w:cs="Times New Roman"/>
                      <w:szCs w:val="24"/>
                    </w:rPr>
                    <m:t>2</m:t>
                  </m:r>
                </m:sup>
              </m:sSup>
            </m:oMath>
          </w:p>
        </w:tc>
      </w:tr>
      <w:tr w:rsidR="00234BB0" w:rsidRPr="00234BB0" w14:paraId="5F7B3165" w14:textId="77777777" w:rsidTr="00873E8A">
        <w:trPr>
          <w:trHeight w:val="317"/>
        </w:trPr>
        <w:tc>
          <w:tcPr>
            <w:tcW w:w="1165" w:type="dxa"/>
            <w:shd w:val="clear" w:color="auto" w:fill="auto"/>
            <w:vAlign w:val="center"/>
            <w:hideMark/>
          </w:tcPr>
          <w:p w14:paraId="550C7870" w14:textId="21D34C09" w:rsidR="00234BB0" w:rsidRPr="00873E8A" w:rsidRDefault="00234BB0" w:rsidP="00234BB0">
            <w:pPr>
              <w:spacing w:line="240" w:lineRule="auto"/>
              <w:jc w:val="left"/>
              <w:rPr>
                <w:rFonts w:eastAsia="Times New Roman" w:cs="Times New Roman"/>
                <w:color w:val="000000"/>
                <w:szCs w:val="24"/>
              </w:rPr>
            </w:pPr>
            <m:oMathPara>
              <m:oMathParaPr>
                <m:jc m:val="left"/>
              </m:oMathParaPr>
              <m:oMath>
                <m:r>
                  <m:rPr>
                    <m:sty m:val="p"/>
                  </m:rPr>
                  <w:rPr>
                    <w:rFonts w:ascii="Cambria Math" w:hAnsi="Cambria Math" w:cs="Times New Roman"/>
                    <w:szCs w:val="24"/>
                  </w:rPr>
                  <m:t>P</m:t>
                </m:r>
                <m:d>
                  <m:dPr>
                    <m:ctrlPr>
                      <w:rPr>
                        <w:rFonts w:ascii="Cambria Math" w:hAnsi="Cambria Math" w:cs="Times New Roman"/>
                        <w:szCs w:val="24"/>
                      </w:rPr>
                    </m:ctrlPr>
                  </m:dPr>
                  <m:e>
                    <m:sSub>
                      <m:sSubPr>
                        <m:ctrlPr>
                          <w:rPr>
                            <w:rFonts w:ascii="Cambria Math" w:hAnsi="Cambria Math" w:cs="Times New Roman"/>
                            <w:szCs w:val="24"/>
                            <w:lang w:val="en-US"/>
                          </w:rPr>
                        </m:ctrlPr>
                      </m:sSubPr>
                      <m:e>
                        <m:r>
                          <m:rPr>
                            <m:sty m:val="p"/>
                          </m:rPr>
                          <w:rPr>
                            <w:rFonts w:ascii="Cambria Math" w:hAnsi="Cambria Math" w:cs="Times New Roman"/>
                            <w:szCs w:val="24"/>
                            <w:lang w:val="en-US"/>
                          </w:rPr>
                          <m:t>Q</m:t>
                        </m:r>
                      </m:e>
                      <m:sub>
                        <m:r>
                          <m:rPr>
                            <m:sty m:val="p"/>
                          </m:rPr>
                          <w:rPr>
                            <w:rFonts w:ascii="Cambria Math" w:hAnsi="Cambria Math" w:cs="Times New Roman"/>
                            <w:szCs w:val="24"/>
                            <w:lang w:val="en-US"/>
                          </w:rPr>
                          <m:t>ik</m:t>
                        </m:r>
                      </m:sub>
                    </m:sSub>
                  </m:e>
                </m:d>
              </m:oMath>
            </m:oMathPara>
          </w:p>
        </w:tc>
        <w:tc>
          <w:tcPr>
            <w:tcW w:w="8010" w:type="dxa"/>
            <w:shd w:val="clear" w:color="auto" w:fill="auto"/>
            <w:vAlign w:val="center"/>
            <w:hideMark/>
          </w:tcPr>
          <w:p w14:paraId="5A75423E" w14:textId="6C21C28D" w:rsidR="00234BB0" w:rsidRPr="00873E8A" w:rsidRDefault="00234BB0" w:rsidP="00234BB0">
            <w:pPr>
              <w:spacing w:line="240" w:lineRule="auto"/>
              <w:jc w:val="left"/>
              <w:rPr>
                <w:rFonts w:eastAsia="Times New Roman" w:cs="Times New Roman"/>
                <w:color w:val="000000"/>
                <w:szCs w:val="24"/>
              </w:rPr>
            </w:pPr>
            <w:r w:rsidRPr="00873E8A">
              <w:rPr>
                <w:rFonts w:cs="Times New Roman"/>
                <w:szCs w:val="24"/>
              </w:rPr>
              <w:t xml:space="preserve">the probability for HH </w:t>
            </w:r>
            <m:oMath>
              <m:r>
                <m:rPr>
                  <m:sty m:val="p"/>
                </m:rPr>
                <w:rPr>
                  <w:rFonts w:ascii="Cambria Math" w:hAnsi="Cambria Math" w:cs="Times New Roman"/>
                  <w:szCs w:val="24"/>
                  <w:lang w:val="en-US"/>
                </w:rPr>
                <m:t>i</m:t>
              </m:r>
            </m:oMath>
            <w:r w:rsidRPr="00873E8A">
              <w:rPr>
                <w:rFonts w:eastAsiaTheme="minorEastAsia" w:cs="Times New Roman"/>
                <w:szCs w:val="24"/>
                <w:lang w:val="en-US"/>
              </w:rPr>
              <w:t xml:space="preserve"> for the </w:t>
            </w:r>
            <m:oMath>
              <m:sSup>
                <m:sSupPr>
                  <m:ctrlPr>
                    <w:rPr>
                      <w:rFonts w:ascii="Cambria Math" w:eastAsiaTheme="minorEastAsia" w:hAnsi="Cambria Math" w:cs="Times New Roman"/>
                      <w:szCs w:val="24"/>
                      <w:lang w:val="en-US"/>
                    </w:rPr>
                  </m:ctrlPr>
                </m:sSupPr>
                <m:e>
                  <m:r>
                    <m:rPr>
                      <m:sty m:val="p"/>
                    </m:rPr>
                    <w:rPr>
                      <w:rFonts w:ascii="Cambria Math" w:hAnsi="Cambria Math" w:cs="Times New Roman"/>
                      <w:szCs w:val="24"/>
                      <w:lang w:val="en-US"/>
                    </w:rPr>
                    <m:t>K</m:t>
                  </m:r>
                  <m:ctrlPr>
                    <w:rPr>
                      <w:rFonts w:ascii="Cambria Math" w:hAnsi="Cambria Math" w:cs="Times New Roman"/>
                      <w:szCs w:val="24"/>
                      <w:lang w:val="en-US"/>
                    </w:rPr>
                  </m:ctrlPr>
                </m:e>
                <m:sup>
                  <m:r>
                    <m:rPr>
                      <m:sty m:val="p"/>
                    </m:rPr>
                    <w:rPr>
                      <w:rFonts w:ascii="Cambria Math" w:eastAsiaTheme="minorEastAsia" w:hAnsi="Cambria Math" w:cs="Times New Roman"/>
                      <w:szCs w:val="24"/>
                      <w:lang w:val="en-US"/>
                    </w:rPr>
                    <m:t>th</m:t>
                  </m:r>
                </m:sup>
              </m:sSup>
            </m:oMath>
            <w:r w:rsidRPr="00873E8A">
              <w:rPr>
                <w:rFonts w:eastAsiaTheme="minorEastAsia" w:cs="Times New Roman"/>
                <w:szCs w:val="24"/>
                <w:lang w:val="en-US"/>
              </w:rPr>
              <w:t xml:space="preserve"> fused records</w:t>
            </w:r>
            <w:r w:rsidRPr="00873E8A">
              <w:rPr>
                <w:rFonts w:eastAsiaTheme="minorEastAsia" w:cs="Times New Roman"/>
                <w:szCs w:val="24"/>
              </w:rPr>
              <w:t xml:space="preserve"> </w:t>
            </w:r>
            <w:r w:rsidRPr="00873E8A">
              <w:rPr>
                <w:rFonts w:eastAsiaTheme="minorEastAsia" w:cs="Times New Roman"/>
                <w:szCs w:val="24"/>
                <w:lang w:val="en-US"/>
              </w:rPr>
              <w:t xml:space="preserve">to have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y</m:t>
                  </m:r>
                </m:e>
                <m:sub>
                  <m:r>
                    <m:rPr>
                      <m:sty m:val="p"/>
                    </m:rPr>
                    <w:rPr>
                      <w:rFonts w:ascii="Cambria Math" w:hAnsi="Cambria Math" w:cs="Times New Roman"/>
                      <w:szCs w:val="24"/>
                      <w:lang w:val="en-US"/>
                    </w:rPr>
                    <m:t>i</m:t>
                  </m:r>
                </m:sub>
              </m:sSub>
            </m:oMath>
            <w:r w:rsidRPr="00873E8A">
              <w:rPr>
                <w:rFonts w:eastAsiaTheme="minorEastAsia" w:cs="Times New Roman"/>
                <w:szCs w:val="24"/>
                <w:lang w:val="en-US"/>
              </w:rPr>
              <w:t xml:space="preserve"> energy demand</w:t>
            </w:r>
          </w:p>
        </w:tc>
      </w:tr>
      <w:tr w:rsidR="00234BB0" w:rsidRPr="00234BB0" w14:paraId="0BAC0EEC" w14:textId="77777777" w:rsidTr="00873E8A">
        <w:trPr>
          <w:trHeight w:val="317"/>
        </w:trPr>
        <w:tc>
          <w:tcPr>
            <w:tcW w:w="1165" w:type="dxa"/>
            <w:shd w:val="clear" w:color="auto" w:fill="auto"/>
            <w:vAlign w:val="center"/>
            <w:hideMark/>
          </w:tcPr>
          <w:p w14:paraId="1422C69C" w14:textId="22B8FD7B" w:rsidR="00234BB0" w:rsidRPr="00873E8A" w:rsidRDefault="00234BB0" w:rsidP="00234BB0">
            <w:pPr>
              <w:spacing w:line="240" w:lineRule="auto"/>
              <w:jc w:val="left"/>
              <w:rPr>
                <w:rFonts w:eastAsia="Times New Roman" w:cs="Times New Roman"/>
                <w:color w:val="000000"/>
                <w:szCs w:val="24"/>
              </w:rPr>
            </w:pPr>
            <m:oMathPara>
              <m:oMathParaPr>
                <m:jc m:val="left"/>
              </m:oMathParaPr>
              <m:oMath>
                <m:r>
                  <m:rPr>
                    <m:sty m:val="p"/>
                  </m:rPr>
                  <w:rPr>
                    <w:rFonts w:ascii="Cambria Math" w:eastAsiaTheme="minorEastAsia" w:hAnsi="Cambria Math"/>
                    <w:szCs w:val="24"/>
                  </w:rPr>
                  <m:t>ϕ(.)</m:t>
                </m:r>
              </m:oMath>
            </m:oMathPara>
          </w:p>
        </w:tc>
        <w:tc>
          <w:tcPr>
            <w:tcW w:w="8010" w:type="dxa"/>
            <w:shd w:val="clear" w:color="auto" w:fill="auto"/>
            <w:vAlign w:val="center"/>
            <w:hideMark/>
          </w:tcPr>
          <w:p w14:paraId="152A1D20" w14:textId="77777777"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Standard normal probability density function</w:t>
            </w:r>
          </w:p>
        </w:tc>
      </w:tr>
      <w:tr w:rsidR="00234BB0" w:rsidRPr="00234BB0" w14:paraId="086C3690" w14:textId="77777777" w:rsidTr="00873E8A">
        <w:trPr>
          <w:trHeight w:val="317"/>
        </w:trPr>
        <w:tc>
          <w:tcPr>
            <w:tcW w:w="1165" w:type="dxa"/>
            <w:shd w:val="clear" w:color="auto" w:fill="auto"/>
            <w:vAlign w:val="center"/>
            <w:hideMark/>
          </w:tcPr>
          <w:p w14:paraId="62C53359" w14:textId="55F58E09" w:rsidR="00234BB0" w:rsidRPr="00873E8A" w:rsidRDefault="00000000" w:rsidP="00234BB0">
            <w:pPr>
              <w:spacing w:line="240" w:lineRule="auto"/>
              <w:rPr>
                <w:rFonts w:eastAsia="Times New Roman" w:cs="Times New Roman"/>
                <w:color w:val="000000"/>
                <w:szCs w:val="24"/>
              </w:rPr>
            </w:pPr>
            <m:oMathPara>
              <m:oMathParaPr>
                <m:jc m:val="left"/>
              </m:oMathParaPr>
              <m:oMath>
                <m:sSub>
                  <m:sSubPr>
                    <m:ctrlPr>
                      <w:rPr>
                        <w:rFonts w:ascii="Cambria Math" w:hAnsi="Cambria Math"/>
                        <w:szCs w:val="24"/>
                        <w:lang w:val="en-US"/>
                      </w:rPr>
                    </m:ctrlPr>
                  </m:sSubPr>
                  <m:e>
                    <m:r>
                      <m:rPr>
                        <m:sty m:val="p"/>
                      </m:rPr>
                      <w:rPr>
                        <w:rFonts w:ascii="Cambria Math" w:hAnsi="Cambria Math"/>
                        <w:szCs w:val="24"/>
                        <w:lang w:val="en-US"/>
                      </w:rPr>
                      <m:t>P</m:t>
                    </m:r>
                  </m:e>
                  <m:sub>
                    <m:r>
                      <m:rPr>
                        <m:sty m:val="p"/>
                      </m:rPr>
                      <w:rPr>
                        <w:rFonts w:ascii="Cambria Math" w:hAnsi="Cambria Math"/>
                        <w:szCs w:val="24"/>
                        <w:lang w:val="en-US"/>
                      </w:rPr>
                      <m:t>ik</m:t>
                    </m:r>
                  </m:sub>
                </m:sSub>
              </m:oMath>
            </m:oMathPara>
          </w:p>
        </w:tc>
        <w:tc>
          <w:tcPr>
            <w:tcW w:w="8010" w:type="dxa"/>
            <w:shd w:val="clear" w:color="auto" w:fill="auto"/>
            <w:vAlign w:val="center"/>
            <w:hideMark/>
          </w:tcPr>
          <w:p w14:paraId="424FBF57" w14:textId="77777777" w:rsidR="00234BB0" w:rsidRPr="00873E8A" w:rsidRDefault="00234BB0" w:rsidP="00234BB0">
            <w:pPr>
              <w:spacing w:line="240" w:lineRule="auto"/>
              <w:jc w:val="left"/>
              <w:rPr>
                <w:rFonts w:eastAsia="Times New Roman" w:cs="Times New Roman"/>
                <w:color w:val="000000"/>
                <w:szCs w:val="24"/>
              </w:rPr>
            </w:pPr>
            <w:r w:rsidRPr="00873E8A">
              <w:rPr>
                <w:szCs w:val="24"/>
                <w:lang w:val="en-US"/>
              </w:rPr>
              <w:t>matched weightage propensity</w:t>
            </w:r>
          </w:p>
        </w:tc>
      </w:tr>
      <w:tr w:rsidR="00234BB0" w:rsidRPr="00234BB0" w14:paraId="441740D7" w14:textId="77777777" w:rsidTr="00873E8A">
        <w:trPr>
          <w:trHeight w:val="317"/>
        </w:trPr>
        <w:tc>
          <w:tcPr>
            <w:tcW w:w="1165" w:type="dxa"/>
            <w:shd w:val="clear" w:color="auto" w:fill="auto"/>
            <w:vAlign w:val="center"/>
            <w:hideMark/>
          </w:tcPr>
          <w:p w14:paraId="3A75F081" w14:textId="052386C6" w:rsidR="00234BB0" w:rsidRPr="00873E8A" w:rsidRDefault="00000000" w:rsidP="00234BB0">
            <w:pPr>
              <w:spacing w:line="240" w:lineRule="auto"/>
              <w:rPr>
                <w:rFonts w:eastAsia="Times New Roman" w:cs="Times New Roman"/>
                <w:color w:val="000000"/>
                <w:szCs w:val="24"/>
              </w:rPr>
            </w:pPr>
            <m:oMathPara>
              <m:oMathParaPr>
                <m:jc m:val="left"/>
              </m:oMathParaPr>
              <m:oMath>
                <m:sSub>
                  <m:sSubPr>
                    <m:ctrlPr>
                      <w:rPr>
                        <w:rFonts w:ascii="Cambria Math" w:hAnsi="Cambria Math"/>
                        <w:szCs w:val="24"/>
                        <w:lang w:val="en-US"/>
                      </w:rPr>
                    </m:ctrlPr>
                  </m:sSubPr>
                  <m:e>
                    <m:r>
                      <m:rPr>
                        <m:sty m:val="p"/>
                      </m:rPr>
                      <w:rPr>
                        <w:rFonts w:ascii="Cambria Math" w:hAnsi="Cambria Math"/>
                        <w:szCs w:val="24"/>
                        <w:lang w:val="en-US"/>
                      </w:rPr>
                      <m:t>Z</m:t>
                    </m:r>
                  </m:e>
                  <m:sub>
                    <m:r>
                      <m:rPr>
                        <m:sty m:val="p"/>
                      </m:rPr>
                      <w:rPr>
                        <w:rFonts w:ascii="Cambria Math" w:hAnsi="Cambria Math"/>
                        <w:szCs w:val="24"/>
                        <w:lang w:val="en-US"/>
                      </w:rPr>
                      <m:t>ik</m:t>
                    </m:r>
                  </m:sub>
                </m:sSub>
              </m:oMath>
            </m:oMathPara>
          </w:p>
        </w:tc>
        <w:tc>
          <w:tcPr>
            <w:tcW w:w="8010" w:type="dxa"/>
            <w:shd w:val="clear" w:color="auto" w:fill="auto"/>
            <w:vAlign w:val="center"/>
            <w:hideMark/>
          </w:tcPr>
          <w:p w14:paraId="5998558F" w14:textId="77777777"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Vector of attributes considered for matching</w:t>
            </w:r>
          </w:p>
        </w:tc>
      </w:tr>
      <w:tr w:rsidR="00234BB0" w:rsidRPr="00234BB0" w14:paraId="7BAD68A1" w14:textId="77777777" w:rsidTr="00873E8A">
        <w:trPr>
          <w:trHeight w:val="317"/>
        </w:trPr>
        <w:tc>
          <w:tcPr>
            <w:tcW w:w="1165" w:type="dxa"/>
            <w:shd w:val="clear" w:color="auto" w:fill="auto"/>
            <w:vAlign w:val="center"/>
            <w:hideMark/>
          </w:tcPr>
          <w:p w14:paraId="4B1F558A" w14:textId="004D81E1" w:rsidR="00234BB0" w:rsidRPr="00873E8A" w:rsidRDefault="00234BB0" w:rsidP="00234BB0">
            <w:pPr>
              <w:spacing w:line="240" w:lineRule="auto"/>
              <w:jc w:val="left"/>
              <w:rPr>
                <w:rFonts w:eastAsia="Times New Roman" w:cs="Times New Roman"/>
                <w:color w:val="000000"/>
                <w:szCs w:val="24"/>
              </w:rPr>
            </w:pPr>
            <m:oMathPara>
              <m:oMathParaPr>
                <m:jc m:val="left"/>
              </m:oMathParaPr>
              <m:oMath>
                <m:r>
                  <m:rPr>
                    <m:sty m:val="p"/>
                  </m:rPr>
                  <w:rPr>
                    <w:rFonts w:ascii="Cambria Math" w:hAnsi="Cambria Math"/>
                    <w:szCs w:val="24"/>
                    <w:lang w:val="en-US"/>
                  </w:rPr>
                  <m:t>∝</m:t>
                </m:r>
              </m:oMath>
            </m:oMathPara>
          </w:p>
        </w:tc>
        <w:tc>
          <w:tcPr>
            <w:tcW w:w="8010" w:type="dxa"/>
            <w:shd w:val="clear" w:color="auto" w:fill="auto"/>
            <w:vAlign w:val="center"/>
            <w:hideMark/>
          </w:tcPr>
          <w:p w14:paraId="0C217C62" w14:textId="4371C57C"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 xml:space="preserve">Corresponding vector to be estimated for </w:t>
            </w:r>
            <m:oMath>
              <m:sSub>
                <m:sSubPr>
                  <m:ctrlPr>
                    <w:rPr>
                      <w:rFonts w:ascii="Cambria Math" w:hAnsi="Cambria Math"/>
                      <w:szCs w:val="24"/>
                      <w:lang w:val="en-US"/>
                    </w:rPr>
                  </m:ctrlPr>
                </m:sSubPr>
                <m:e>
                  <m:r>
                    <m:rPr>
                      <m:sty m:val="p"/>
                    </m:rPr>
                    <w:rPr>
                      <w:rFonts w:ascii="Cambria Math" w:hAnsi="Cambria Math"/>
                      <w:szCs w:val="24"/>
                      <w:lang w:val="en-US"/>
                    </w:rPr>
                    <m:t>Z</m:t>
                  </m:r>
                </m:e>
                <m:sub>
                  <m:r>
                    <m:rPr>
                      <m:sty m:val="p"/>
                    </m:rPr>
                    <w:rPr>
                      <w:rFonts w:ascii="Cambria Math" w:hAnsi="Cambria Math"/>
                      <w:szCs w:val="24"/>
                      <w:lang w:val="en-US"/>
                    </w:rPr>
                    <m:t>ik</m:t>
                  </m:r>
                </m:sub>
              </m:sSub>
            </m:oMath>
          </w:p>
        </w:tc>
      </w:tr>
      <w:tr w:rsidR="00234BB0" w:rsidRPr="00234BB0" w14:paraId="2131158E" w14:textId="77777777" w:rsidTr="00873E8A">
        <w:trPr>
          <w:trHeight w:val="317"/>
        </w:trPr>
        <w:tc>
          <w:tcPr>
            <w:tcW w:w="1165" w:type="dxa"/>
            <w:shd w:val="clear" w:color="auto" w:fill="auto"/>
            <w:vAlign w:val="center"/>
            <w:hideMark/>
          </w:tcPr>
          <w:p w14:paraId="4693EF0F" w14:textId="0FF3E523" w:rsidR="00234BB0" w:rsidRPr="00873E8A" w:rsidRDefault="00000000" w:rsidP="00234BB0">
            <w:pPr>
              <w:spacing w:line="240" w:lineRule="auto"/>
              <w:jc w:val="left"/>
              <w:rPr>
                <w:rFonts w:eastAsia="Times New Roman" w:cs="Times New Roman"/>
                <w:color w:val="000000"/>
                <w:szCs w:val="24"/>
              </w:rPr>
            </w:pPr>
            <m:oMathPara>
              <m:oMathParaPr>
                <m:jc m:val="left"/>
              </m:oMathPara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Q</m:t>
                    </m:r>
                  </m:e>
                  <m:sub>
                    <m:r>
                      <m:rPr>
                        <m:sty m:val="p"/>
                      </m:rPr>
                      <w:rPr>
                        <w:rFonts w:ascii="Cambria Math" w:hAnsi="Cambria Math" w:cs="Times New Roman"/>
                        <w:szCs w:val="24"/>
                        <w:lang w:val="en-US"/>
                      </w:rPr>
                      <m:t>i</m:t>
                    </m:r>
                  </m:sub>
                </m:sSub>
              </m:oMath>
            </m:oMathPara>
          </w:p>
        </w:tc>
        <w:tc>
          <w:tcPr>
            <w:tcW w:w="8010" w:type="dxa"/>
            <w:shd w:val="clear" w:color="auto" w:fill="auto"/>
            <w:vAlign w:val="center"/>
            <w:hideMark/>
          </w:tcPr>
          <w:p w14:paraId="3446F4FB" w14:textId="047984BF" w:rsidR="00234BB0" w:rsidRPr="00873E8A" w:rsidRDefault="00234BB0" w:rsidP="00234BB0">
            <w:pPr>
              <w:spacing w:line="240" w:lineRule="auto"/>
              <w:jc w:val="left"/>
              <w:rPr>
                <w:rFonts w:eastAsia="Times New Roman" w:cs="Times New Roman"/>
                <w:color w:val="000000"/>
                <w:szCs w:val="24"/>
              </w:rPr>
            </w:pPr>
            <w:r w:rsidRPr="00873E8A">
              <w:rPr>
                <w:rFonts w:eastAsiaTheme="minorEastAsia" w:cs="Times New Roman"/>
                <w:szCs w:val="24"/>
                <w:lang w:val="en-US"/>
              </w:rPr>
              <w:t xml:space="preserve">weighted probability that HH </w:t>
            </w:r>
            <m:oMath>
              <m:r>
                <m:rPr>
                  <m:sty m:val="p"/>
                </m:rPr>
                <w:rPr>
                  <w:rFonts w:ascii="Cambria Math" w:hAnsi="Cambria Math" w:cs="Times New Roman"/>
                  <w:szCs w:val="24"/>
                  <w:lang w:val="en-US"/>
                </w:rPr>
                <m:t>i</m:t>
              </m:r>
            </m:oMath>
            <w:r w:rsidRPr="00873E8A">
              <w:rPr>
                <w:rFonts w:eastAsiaTheme="minorEastAsia" w:cs="Times New Roman"/>
                <w:szCs w:val="24"/>
                <w:lang w:val="en-US"/>
              </w:rPr>
              <w:t xml:space="preserve"> has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y</m:t>
                  </m:r>
                </m:e>
                <m:sub>
                  <m:r>
                    <m:rPr>
                      <m:sty m:val="p"/>
                    </m:rPr>
                    <w:rPr>
                      <w:rFonts w:ascii="Cambria Math" w:hAnsi="Cambria Math" w:cs="Times New Roman"/>
                      <w:szCs w:val="24"/>
                      <w:lang w:val="en-US"/>
                    </w:rPr>
                    <m:t>i</m:t>
                  </m:r>
                </m:sub>
              </m:sSub>
            </m:oMath>
            <w:r w:rsidRPr="00873E8A">
              <w:rPr>
                <w:rFonts w:eastAsiaTheme="minorEastAsia" w:cs="Times New Roman"/>
                <w:szCs w:val="24"/>
                <w:lang w:val="en-US"/>
              </w:rPr>
              <w:t xml:space="preserve"> energy demand</w:t>
            </w:r>
          </w:p>
        </w:tc>
      </w:tr>
      <w:tr w:rsidR="00234BB0" w:rsidRPr="00234BB0" w14:paraId="766E93EA" w14:textId="77777777" w:rsidTr="00873E8A">
        <w:trPr>
          <w:trHeight w:val="317"/>
        </w:trPr>
        <w:tc>
          <w:tcPr>
            <w:tcW w:w="1165" w:type="dxa"/>
            <w:shd w:val="clear" w:color="auto" w:fill="auto"/>
            <w:vAlign w:val="center"/>
            <w:hideMark/>
          </w:tcPr>
          <w:p w14:paraId="7314B04A" w14:textId="52B1ED04" w:rsidR="00234BB0" w:rsidRPr="00873E8A" w:rsidRDefault="00234BB0" w:rsidP="00234BB0">
            <w:pPr>
              <w:spacing w:line="240" w:lineRule="auto"/>
              <w:jc w:val="left"/>
              <w:rPr>
                <w:rFonts w:eastAsia="Times New Roman" w:cs="Times New Roman"/>
                <w:color w:val="000000"/>
                <w:szCs w:val="24"/>
              </w:rPr>
            </w:pPr>
            <m:oMathPara>
              <m:oMathParaPr>
                <m:jc m:val="left"/>
              </m:oMathParaPr>
              <m:oMath>
                <m:r>
                  <m:rPr>
                    <m:sty m:val="p"/>
                  </m:rPr>
                  <w:rPr>
                    <w:rFonts w:ascii="Cambria Math" w:hAnsi="Cambria Math"/>
                    <w:szCs w:val="24"/>
                    <w:lang w:val="en-US"/>
                  </w:rPr>
                  <m:t>LL</m:t>
                </m:r>
              </m:oMath>
            </m:oMathPara>
          </w:p>
        </w:tc>
        <w:tc>
          <w:tcPr>
            <w:tcW w:w="8010" w:type="dxa"/>
            <w:shd w:val="clear" w:color="auto" w:fill="auto"/>
            <w:vAlign w:val="center"/>
            <w:hideMark/>
          </w:tcPr>
          <w:p w14:paraId="7BBC0090" w14:textId="77777777" w:rsidR="00234BB0" w:rsidRPr="00873E8A" w:rsidRDefault="00234BB0" w:rsidP="00234BB0">
            <w:pPr>
              <w:spacing w:line="240" w:lineRule="auto"/>
              <w:jc w:val="left"/>
              <w:rPr>
                <w:rFonts w:eastAsia="Times New Roman" w:cs="Times New Roman"/>
                <w:color w:val="000000"/>
                <w:szCs w:val="24"/>
              </w:rPr>
            </w:pPr>
            <w:r w:rsidRPr="00873E8A">
              <w:rPr>
                <w:rFonts w:eastAsia="Times New Roman" w:cs="Times New Roman"/>
                <w:color w:val="000000"/>
                <w:szCs w:val="24"/>
              </w:rPr>
              <w:t>Log-likelihood function for the fused dataset energy demand</w:t>
            </w:r>
          </w:p>
        </w:tc>
      </w:tr>
    </w:tbl>
    <w:p w14:paraId="694BDBCB" w14:textId="1E3BE1ED" w:rsidR="00016485" w:rsidRDefault="00016485" w:rsidP="00776F6A">
      <w:pPr>
        <w:rPr>
          <w:rFonts w:eastAsia="Calibri" w:cs="Times New Roman"/>
          <w:szCs w:val="24"/>
        </w:rPr>
      </w:pPr>
    </w:p>
    <w:p w14:paraId="3D9DD75C" w14:textId="6B5BBF9B" w:rsidR="00016485" w:rsidRDefault="00016485" w:rsidP="00776F6A">
      <w:pPr>
        <w:rPr>
          <w:rFonts w:eastAsia="Calibri" w:cs="Times New Roman"/>
          <w:szCs w:val="24"/>
        </w:rPr>
      </w:pPr>
    </w:p>
    <w:p w14:paraId="39D29FAF" w14:textId="6044D882" w:rsidR="00016485" w:rsidRDefault="00016485" w:rsidP="00776F6A">
      <w:pPr>
        <w:rPr>
          <w:rFonts w:eastAsia="Calibri" w:cs="Times New Roman"/>
          <w:szCs w:val="24"/>
        </w:rPr>
      </w:pPr>
    </w:p>
    <w:p w14:paraId="5F0861DC" w14:textId="77777777" w:rsidR="006A369E" w:rsidRDefault="006A369E" w:rsidP="000B26F3">
      <w:pPr>
        <w:pStyle w:val="Heading1"/>
        <w:sectPr w:rsidR="006A369E" w:rsidSect="00873E8A">
          <w:headerReference w:type="first" r:id="rId11"/>
          <w:pgSz w:w="12240" w:h="15840" w:code="1"/>
          <w:pgMar w:top="1440" w:right="1440" w:bottom="1440" w:left="1440" w:header="720" w:footer="0" w:gutter="0"/>
          <w:lnNumType w:countBy="1" w:restart="continuous"/>
          <w:cols w:space="708"/>
          <w:titlePg/>
          <w:docGrid w:linePitch="360"/>
        </w:sectPr>
      </w:pPr>
    </w:p>
    <w:p w14:paraId="2DDD408F" w14:textId="1D6E84C8" w:rsidR="00AB0F0E" w:rsidRPr="000B26F3" w:rsidRDefault="00ED2BCB" w:rsidP="000B26F3">
      <w:pPr>
        <w:pStyle w:val="Heading1"/>
      </w:pPr>
      <w:r>
        <w:lastRenderedPageBreak/>
        <w:t xml:space="preserve">1 </w:t>
      </w:r>
      <w:r w:rsidR="000B26F3" w:rsidRPr="000B26F3">
        <w:t>Introduction</w:t>
      </w:r>
    </w:p>
    <w:p w14:paraId="02E998D7" w14:textId="48F49254" w:rsidR="00BF0533" w:rsidRPr="000B26F3" w:rsidRDefault="00ED2BCB" w:rsidP="000B26F3">
      <w:pPr>
        <w:pStyle w:val="Heading2"/>
      </w:pPr>
      <w:r>
        <w:t xml:space="preserve">1.1 </w:t>
      </w:r>
      <w:r w:rsidR="00BF0533" w:rsidRPr="000B26F3">
        <w:t>Background</w:t>
      </w:r>
    </w:p>
    <w:p w14:paraId="3DDF85E9" w14:textId="3ED53796" w:rsidR="00C2277B" w:rsidRDefault="00C2277B" w:rsidP="00C2277B">
      <w:r w:rsidRPr="00C2277B">
        <w:t>The United States of America is the second largest consumer of energy with only 4.3% of the world population</w:t>
      </w:r>
      <w:r w:rsidR="00CD4449">
        <w:t xml:space="preserve"> </w:t>
      </w:r>
      <w:r w:rsidR="00307824">
        <w:fldChar w:fldCharType="begin" w:fldLock="1"/>
      </w:r>
      <w:r w:rsidR="009D3EDC">
        <w:instrText>ADDIN CSL_CITATION {"citationItems":[{"id":"ITEM-1","itemData":{"URL":"https://www.eia.gov/tools/faqs/faq.php?id=87&amp;t=1","accessed":{"date-parts":[["2022","11","11"]]},"author":[{"dropping-particle":"","family":"US-EIA2020","given":"","non-dropping-particle":"","parse-names":false,"suffix":""}],"id":"ITEM-1","issued":{"date-parts":[["0"]]},"title":"Frequently Asked Questions (FAQs) - U.S. Energy Information Administration (EIA)","type":"webpage"},"uris":["http://www.mendeley.com/documents/?uuid=2ef5ff83-7778-3c4f-aad4-1f9e6d27b959"]},{"id":"ITEM-2","itemData":{"URL":"https://www.worldometers.info/world-population/us-population/","accessed":{"date-parts":[["2022","11","11"]]},"author":[{"dropping-particle":"","family":"2022","given":"Worldometer","non-dropping-particle":"","parse-names":false,"suffix":""}],"id":"ITEM-2","issued":{"date-parts":[["0"]]},"title":"United States Population (2022) - Worldometer","type":"webpage"},"uris":["http://www.mendeley.com/documents/?uuid=16c4bc3d-4cc5-31ca-a79f-5a7a2da3325b"]}],"mendeley":{"formattedCitation":"(&lt;i&gt;1&lt;/i&gt;, &lt;i&gt;2&lt;/i&gt;)","plainTextFormattedCitation":"(1, 2)","previouslyFormattedCitation":"(&lt;i&gt;1&lt;/i&gt;, &lt;i&gt;2&lt;/i&gt;)"},"properties":{"noteIndex":0},"schema":"https://github.com/citation-style-language/schema/raw/master/csl-citation.json"}</w:instrText>
      </w:r>
      <w:r w:rsidR="00307824">
        <w:fldChar w:fldCharType="separate"/>
      </w:r>
      <w:r w:rsidR="00307824" w:rsidRPr="00307824">
        <w:rPr>
          <w:noProof/>
        </w:rPr>
        <w:t>(</w:t>
      </w:r>
      <w:r w:rsidR="00307824" w:rsidRPr="00307824">
        <w:rPr>
          <w:i/>
          <w:noProof/>
        </w:rPr>
        <w:t>1</w:t>
      </w:r>
      <w:r w:rsidR="00307824" w:rsidRPr="00307824">
        <w:rPr>
          <w:noProof/>
        </w:rPr>
        <w:t xml:space="preserve">, </w:t>
      </w:r>
      <w:r w:rsidR="00307824" w:rsidRPr="00307824">
        <w:rPr>
          <w:i/>
          <w:noProof/>
        </w:rPr>
        <w:t>2</w:t>
      </w:r>
      <w:r w:rsidR="00307824" w:rsidRPr="00307824">
        <w:rPr>
          <w:noProof/>
        </w:rPr>
        <w:t>)</w:t>
      </w:r>
      <w:r w:rsidR="00307824">
        <w:fldChar w:fldCharType="end"/>
      </w:r>
      <w:r w:rsidRPr="00C2277B">
        <w:t>. The energy consumption in the US can be mainly attributed to following sectors: residential use (21%), commercial use (18%), transportation use (29%) and industrial use (32%)</w:t>
      </w:r>
      <w:r w:rsidR="0082090F">
        <w:t xml:space="preserve"> </w:t>
      </w:r>
      <w:r w:rsidR="009D3EDC">
        <w:fldChar w:fldCharType="begin" w:fldLock="1"/>
      </w:r>
      <w:r w:rsidR="00812451">
        <w:instrText>ADDIN CSL_CITATION {"citationItems":[{"id":"ITEM-1","itemData":{"URL":"https://rpsc.energy.gov/energy-data-facts","accessed":{"date-parts":[["2021","7","26"]]},"author":[{"dropping-particle":"","family":"US-DOE","given":"2019","non-dropping-particle":"","parse-names":false,"suffix":""}],"id":"ITEM-1","issued":{"date-parts":[["0"]]},"title":"Energy Data Facts | Residential Program Solution Center","type":"webpage"},"uris":["http://www.mendeley.com/documents/?uuid=91d15dd6-9563-3fcb-a2a4-e0dfce034c01"]},{"id":"ITEM-2","itemData":{"URL":"https://www.eia.gov/totalenergy/data/browser/index.php?tbl=T02.01#/?f=A&amp;start=2019&amp;end=2020&amp;charted=3-6-9-12","accessed":{"date-parts":[["2022","5","10"]]},"author":[{"dropping-particle":"","family":"US-EIA","given":"2019","non-dropping-particle":"","parse-names":false,"suffix":""}],"id":"ITEM-2","issued":{"date-parts":[["0"]]},"title":"U.S. Energy Information Administration - EIA - Independent Statistics and Analysis","type":"webpage"},"uris":["http://www.mendeley.com/documents/?uuid=c6ed2f9d-1fa3-39f1-9c36-dc723fd729fc"]}],"mendeley":{"formattedCitation":"(&lt;i&gt;3&lt;/i&gt;, &lt;i&gt;4&lt;/i&gt;)","plainTextFormattedCitation":"(3, 4)","previouslyFormattedCitation":"(&lt;i&gt;3&lt;/i&gt;, &lt;i&gt;4&lt;/i&gt;)"},"properties":{"noteIndex":0},"schema":"https://github.com/citation-style-language/schema/raw/master/csl-citation.json"}</w:instrText>
      </w:r>
      <w:r w:rsidR="009D3EDC">
        <w:fldChar w:fldCharType="separate"/>
      </w:r>
      <w:r w:rsidR="009D3EDC" w:rsidRPr="009D3EDC">
        <w:rPr>
          <w:noProof/>
        </w:rPr>
        <w:t>(</w:t>
      </w:r>
      <w:r w:rsidR="009D3EDC" w:rsidRPr="009D3EDC">
        <w:rPr>
          <w:i/>
          <w:noProof/>
        </w:rPr>
        <w:t>3</w:t>
      </w:r>
      <w:r w:rsidR="009D3EDC" w:rsidRPr="009D3EDC">
        <w:rPr>
          <w:noProof/>
        </w:rPr>
        <w:t xml:space="preserve">, </w:t>
      </w:r>
      <w:r w:rsidR="009D3EDC" w:rsidRPr="009D3EDC">
        <w:rPr>
          <w:i/>
          <w:noProof/>
        </w:rPr>
        <w:t>4</w:t>
      </w:r>
      <w:r w:rsidR="009D3EDC" w:rsidRPr="009D3EDC">
        <w:rPr>
          <w:noProof/>
        </w:rPr>
        <w:t>)</w:t>
      </w:r>
      <w:r w:rsidR="009D3EDC">
        <w:fldChar w:fldCharType="end"/>
      </w:r>
      <w:r w:rsidR="0066603F">
        <w:t>.</w:t>
      </w:r>
      <w:r w:rsidRPr="00C2277B">
        <w:t xml:space="preserve"> Given how individual mobility and activity participation influences energy use, it is not surprising that energy consumption in residential, commercial and transport sectors is intertwined. For instance, households that pursue longer commutes are likely to expend larger energy for transportation and are likely to expend lesser energy at their residence. Similarly, individuals working longer hours at office would contribute to increased energy consumption at commercial buildings and reduced energy use (at least from one individual) in the residence. The intricate relationship among these three sectors became prominent with the ongoing COVID-19 pandemic. Residential energy use increased by 8% during COVID-19 lockdown and/or mobility restrictions (between April to August 2020), while commercial and transportation related energy usage decreased 8% and 21%, respectively</w:t>
      </w:r>
      <w:r w:rsidR="007B2EEC">
        <w:t xml:space="preserve"> </w:t>
      </w:r>
      <w:r w:rsidR="00812451">
        <w:fldChar w:fldCharType="begin" w:fldLock="1"/>
      </w:r>
      <w:r w:rsidR="006950B3">
        <w:instrText>ADDIN CSL_CITATION {"citationItems":[{"id":"ITEM-1","itemData":{"DOI":"10.1371/journal.pone.0249133","ISSN":"19326203","PMID":"33793611","abstract":"Background Several research efforts have evaluated the impact of various factors including a) socio-demographics, (b) health indicators, (c) mobility trends, and (d) health care infrastructure attributes on COVID-19 transmission and mortality rate. However, earlier research focused only on a subset of variable groups (predominantly one or two) that can contribute to the COVID-19 transmission/mortality rate. The current study effort is designed to remedy this by analyzing COVID-19 transmission/mortality rates considering a comprehensive set of factors in a unified framework. Methods and findings We study two per capita dependent variables: (1) daily COVID-19 transmission rates and (2) total COVID-19 mortality rates. The first variable is modeled using a linear mixed model while the later dimension is analyzed using a linear regression approach. The model results are augmented with a sensitivity analysis to predict the impact of mobility restrictions at a county level. Several county level factors including proportion of African-Americans, income inequality, health indicators associated with Asthma, Cancer, HIV and heart disease, percentage of stay at home individuals, testing infrastructure and Intensive Care Unit capacity impact transmission and/or mortality rates. From the policy analysis, we find that enforcing a stay at home order that can ensure a 50% stay at home rate can result in a potential reduction of about 33% in daily cases. Conclusions The model framework developed can be employed by government agencies to evaluate the influence of reduced mobility on transmission rates at a county level while accommodating for various county specific factors. Based on our policy analysis, the study findings support a county level stay at home order for regions currently experiencing a surge in transmission. The model framework can also be employed to identify vulnerable counties that need to be prioritized based on health indicators for current support and/or preferential vaccination plans (when available).","author":[{"dropping-particle":"","family":"Bhowmik","given":"Tanmoy","non-dropping-particle":"","parse-names":false,"suffix":""},{"dropping-particle":"","family":"Tirtha","given":"Sudipta Dey","non-dropping-particle":"","parse-names":false,"suffix":""},{"dropping-particle":"","family":"Iraganaboina","given":"Naveen Chandra","non-dropping-particle":"","parse-names":false,"suffix":""},{"dropping-particle":"","family":"Eluru","given":"Naveen","non-dropping-particle":"","parse-names":false,"suffix":""}],"container-title":"PLoS ONE","id":"ITEM-1","issue":"4 April","issued":{"date-parts":[["2021"]]},"title":"A comprehensive analysis of COVID-19 transmission and mortality rates at the county level in the United States considering socio-demographics, health indicators, mobility trends and health care infrastructure attributes","type":"article-journal","volume":"16"},"uris":["http://www.mendeley.com/documents/?uuid=f351c73a-be65-3c50-8c60-c2e9ac1a09ce"]},{"id":"ITEM-2","itemData":{"URL":"https://www.eia.gov/totalenergy/data/monthly/","accessed":{"date-parts":[["2022","5","10"]]},"author":[{"dropping-particle":"","family":"US-EIA2021","given":"","non-dropping-particle":"","parse-names":false,"suffix":""}],"id":"ITEM-2","issued":{"date-parts":[["0"]]},"title":"Total Energy Monthly Data - U.S. Energy Information Administration (EIA)","type":"webpage"},"uris":["http://www.mendeley.com/documents/?uuid=08f5e3a9-c736-347c-b577-5db53d9d0e2b"]}],"mendeley":{"formattedCitation":"(&lt;i&gt;5&lt;/i&gt;, &lt;i&gt;6&lt;/i&gt;)","plainTextFormattedCitation":"(5, 6)","previouslyFormattedCitation":"(&lt;i&gt;5&lt;/i&gt;, &lt;i&gt;6&lt;/i&gt;)"},"properties":{"noteIndex":0},"schema":"https://github.com/citation-style-language/schema/raw/master/csl-citation.json"}</w:instrText>
      </w:r>
      <w:r w:rsidR="00812451">
        <w:fldChar w:fldCharType="separate"/>
      </w:r>
      <w:r w:rsidR="00812451" w:rsidRPr="00812451">
        <w:rPr>
          <w:noProof/>
        </w:rPr>
        <w:t>(</w:t>
      </w:r>
      <w:r w:rsidR="00812451" w:rsidRPr="00812451">
        <w:rPr>
          <w:i/>
          <w:noProof/>
        </w:rPr>
        <w:t>5</w:t>
      </w:r>
      <w:r w:rsidR="00812451" w:rsidRPr="00812451">
        <w:rPr>
          <w:noProof/>
        </w:rPr>
        <w:t xml:space="preserve">, </w:t>
      </w:r>
      <w:r w:rsidR="00812451" w:rsidRPr="00812451">
        <w:rPr>
          <w:i/>
          <w:noProof/>
        </w:rPr>
        <w:t>6</w:t>
      </w:r>
      <w:r w:rsidR="00812451" w:rsidRPr="00812451">
        <w:rPr>
          <w:noProof/>
        </w:rPr>
        <w:t>)</w:t>
      </w:r>
      <w:r w:rsidR="00812451">
        <w:fldChar w:fldCharType="end"/>
      </w:r>
      <w:r w:rsidR="00812451">
        <w:t>.</w:t>
      </w:r>
      <w:r w:rsidRPr="00C2277B">
        <w:t xml:space="preserve"> </w:t>
      </w:r>
    </w:p>
    <w:p w14:paraId="7DBB8BD2" w14:textId="40697279" w:rsidR="006B11B9" w:rsidRDefault="006E6AF7" w:rsidP="006950B3">
      <w:pPr>
        <w:ind w:firstLine="720"/>
      </w:pPr>
      <w:r>
        <w:t xml:space="preserve">With the </w:t>
      </w:r>
      <w:r w:rsidR="00D078FD">
        <w:t xml:space="preserve">growing adoption of electric vehicles (EVs), the intricate relationship between energy consumption across sectors will be </w:t>
      </w:r>
      <w:r w:rsidR="006B11B9">
        <w:t>further strengthened</w:t>
      </w:r>
      <w:r w:rsidR="005200B9">
        <w:t xml:space="preserve"> </w:t>
      </w:r>
      <w:r w:rsidR="006950B3">
        <w:fldChar w:fldCharType="begin" w:fldLock="1"/>
      </w:r>
      <w:r w:rsidR="003426CE">
        <w:instrText>ADDIN CSL_CITATION {"citationItems":[{"id":"ITEM-1","itemData":{"author":[{"dropping-particle":"","family":"Electrek","given":"","non-dropping-particle":"","parse-names":false,"suffix":""}],"id":"ITEM-1","issued":{"date-parts":[["0"]]},"title":"Global market share of electric cars more than doubled in 2021 as the EV revolution gains steam - Electrek","type":"speech"},"uris":["http://www.mendeley.com/documents/?uuid=967a6687-0f76-35f1-b716-0eab274c1c2b"]},{"id":"ITEM-2","itemData":{"DOI":"10.1016/j.enpol.2019.111103","ISSN":"03014215","abstract":"The last decade was marked by a new boom of popularity for electric transport. Massive government support helped increase EV annual sales from just 2 to over 753 thousands worldwide over the ten years. Many countries and private enterprises hold extremely high hopes for electric transport, predicting the imminent abandonment of the internal combustion engines (ICE). Our research shows that in 2018 EVs are yet still unable to compete on equal footing with conventional cars. However, should government and auto manufacturers maintain the current pace of development, true competitiveness between ICE and electric vehicles can be achieved by 2035 even in the low-oil-price environment. Our calculations indicate that by 2040, depending on the scenario, the EVs can secure an 11–28% share of the global road transport fleet. This will lead to an additional increase in global electricity consumption of 11–20%. The challenge, however, is the adaptation of power grid to the growing demand peaks due to EVs charging patterns. To maintain the course on “green” energy, global leaders in EV adoption need to double the efforts on development and implementation of energy storage technologies, otherwise, the spread of electric cars will lead to more fossil fuel consumption.","author":[{"dropping-particle":"","family":"Kapustin","given":"Nikita O.","non-dropping-particle":"","parse-names":false,"suffix":""},{"dropping-particle":"","family":"Grushevenko","given":"Dmitry A.","non-dropping-particle":"","parse-names":false,"suffix":""}],"container-title":"Energy Policy","id":"ITEM-2","issued":{"date-parts":[["2020","2","1"]]},"page":"111103","publisher":"Elsevier","title":"Long-term electric vehicles outlook and their potential impact on electric grid","type":"article-journal","volume":"137"},"uris":["http://www.mendeley.com/documents/?uuid=5129406e-7bf4-34cd-a31c-ed78c3cf1664"]}],"mendeley":{"formattedCitation":"(&lt;i&gt;7&lt;/i&gt;, &lt;i&gt;8&lt;/i&gt;)","plainTextFormattedCitation":"(7, 8)","previouslyFormattedCitation":"(&lt;i&gt;7&lt;/i&gt;, &lt;i&gt;8&lt;/i&gt;)"},"properties":{"noteIndex":0},"schema":"https://github.com/citation-style-language/schema/raw/master/csl-citation.json"}</w:instrText>
      </w:r>
      <w:r w:rsidR="006950B3">
        <w:fldChar w:fldCharType="separate"/>
      </w:r>
      <w:r w:rsidR="006950B3" w:rsidRPr="006950B3">
        <w:rPr>
          <w:noProof/>
        </w:rPr>
        <w:t>(</w:t>
      </w:r>
      <w:r w:rsidR="006950B3" w:rsidRPr="006950B3">
        <w:rPr>
          <w:i/>
          <w:noProof/>
        </w:rPr>
        <w:t>7</w:t>
      </w:r>
      <w:r w:rsidR="006950B3" w:rsidRPr="006950B3">
        <w:rPr>
          <w:noProof/>
        </w:rPr>
        <w:t xml:space="preserve">, </w:t>
      </w:r>
      <w:r w:rsidR="006950B3" w:rsidRPr="006950B3">
        <w:rPr>
          <w:i/>
          <w:noProof/>
        </w:rPr>
        <w:t>8</w:t>
      </w:r>
      <w:r w:rsidR="006950B3" w:rsidRPr="006950B3">
        <w:rPr>
          <w:noProof/>
        </w:rPr>
        <w:t>)</w:t>
      </w:r>
      <w:r w:rsidR="006950B3">
        <w:fldChar w:fldCharType="end"/>
      </w:r>
      <w:r w:rsidR="006950B3">
        <w:t xml:space="preserve">. </w:t>
      </w:r>
      <w:r w:rsidR="006B11B9">
        <w:t xml:space="preserve">The uptake of EVs </w:t>
      </w:r>
      <w:r w:rsidR="00D078FD">
        <w:t>and the potential</w:t>
      </w:r>
      <w:r w:rsidR="006B11B9">
        <w:t xml:space="preserve"> energy source diversification (such as solar and wind energy) would result in a transformation of energy consumption and distribution patterns across the</w:t>
      </w:r>
      <w:r w:rsidR="00D078FD">
        <w:t xml:space="preserve"> world</w:t>
      </w:r>
      <w:r w:rsidR="00BC610D">
        <w:t xml:space="preserve"> </w:t>
      </w:r>
      <w:r w:rsidR="00BC610D">
        <w:fldChar w:fldCharType="begin" w:fldLock="1"/>
      </w:r>
      <w:r w:rsidR="003426CE">
        <w:instrText>ADDIN CSL_CITATION {"citationItems":[{"id":"ITEM-1","itemData":{"DOI":"10.1016/j.enpol.2019.111103","ISSN":"03014215","abstract":"The last decade was marked by a new boom of popularity for electric transport. Massive government support helped increase EV annual sales from just 2 to over 753 thousands worldwide over the ten years. Many countries and private enterprises hold extremely high hopes for electric transport, predicting the imminent abandonment of the internal combustion engines (ICE). Our research shows that in 2018 EVs are yet still unable to compete on equal footing with conventional cars. However, should government and auto manufacturers maintain the current pace of development, true competitiveness between ICE and electric vehicles can be achieved by 2035 even in the low-oil-price environment. Our calculations indicate that by 2040, depending on the scenario, the EVs can secure an 11–28% share of the global road transport fleet. This will lead to an additional increase in global electricity consumption of 11–20%. The challenge, however, is the adaptation of power grid to the growing demand peaks due to EVs charging patterns. To maintain the course on “green” energy, global leaders in EV adoption need to double the efforts on development and implementation of energy storage technologies, otherwise, the spread of electric cars will lead to more fossil fuel consumption.","author":[{"dropping-particle":"","family":"Kapustin","given":"Nikita O.","non-dropping-particle":"","parse-names":false,"suffix":""},{"dropping-particle":"","family":"Grushevenko","given":"Dmitry A.","non-dropping-particle":"","parse-names":false,"suffix":""}],"container-title":"Energy Policy","id":"ITEM-1","issued":{"date-parts":[["2020","2","1"]]},"page":"111103","publisher":"Elsevier","title":"Long-term electric vehicles outlook and their potential impact on electric grid","type":"article-journal","volume":"137"},"uris":["http://www.mendeley.com/documents/?uuid=5129406e-7bf4-34cd-a31c-ed78c3cf1664"]}],"mendeley":{"formattedCitation":"(&lt;i&gt;8&lt;/i&gt;)","plainTextFormattedCitation":"(8)","previouslyFormattedCitation":"(&lt;i&gt;8&lt;/i&gt;)"},"properties":{"noteIndex":0},"schema":"https://github.com/citation-style-language/schema/raw/master/csl-citation.json"}</w:instrText>
      </w:r>
      <w:r w:rsidR="00BC610D">
        <w:fldChar w:fldCharType="separate"/>
      </w:r>
      <w:r w:rsidR="006950B3" w:rsidRPr="006950B3">
        <w:rPr>
          <w:noProof/>
        </w:rPr>
        <w:t>(</w:t>
      </w:r>
      <w:r w:rsidR="006950B3" w:rsidRPr="006950B3">
        <w:rPr>
          <w:i/>
          <w:noProof/>
        </w:rPr>
        <w:t>8</w:t>
      </w:r>
      <w:r w:rsidR="006950B3" w:rsidRPr="006950B3">
        <w:rPr>
          <w:noProof/>
        </w:rPr>
        <w:t>)</w:t>
      </w:r>
      <w:r w:rsidR="00BC610D">
        <w:fldChar w:fldCharType="end"/>
      </w:r>
      <w:r w:rsidR="006B11B9">
        <w:t xml:space="preserve">. </w:t>
      </w:r>
      <w:r w:rsidR="006B11B9" w:rsidRPr="005743B2">
        <w:t>The demand for charging the electrical vehicles at home</w:t>
      </w:r>
      <w:r w:rsidR="006B11B9">
        <w:t xml:space="preserve">, </w:t>
      </w:r>
      <w:r w:rsidR="006B11B9" w:rsidRPr="005743B2">
        <w:t xml:space="preserve">work </w:t>
      </w:r>
      <w:r w:rsidR="006B11B9">
        <w:t xml:space="preserve">and other potential locations is </w:t>
      </w:r>
      <w:r w:rsidR="00D078FD">
        <w:t xml:space="preserve">also </w:t>
      </w:r>
      <w:r w:rsidR="006B11B9">
        <w:t xml:space="preserve">likely to </w:t>
      </w:r>
      <w:r w:rsidR="006B11B9" w:rsidRPr="005743B2">
        <w:t xml:space="preserve">influence the spatio-temporal nature of the </w:t>
      </w:r>
      <w:r w:rsidR="006B11B9">
        <w:t>existing</w:t>
      </w:r>
      <w:r w:rsidR="006B11B9" w:rsidRPr="005743B2">
        <w:t xml:space="preserve"> electricity demand. </w:t>
      </w:r>
      <w:r w:rsidR="006B11B9">
        <w:t>It is possible that the current demand on the grid could be rapidly altered with higher residential and commercial demand.</w:t>
      </w:r>
      <w:r w:rsidR="00984B03">
        <w:t xml:space="preserve"> There is a growing need for </w:t>
      </w:r>
      <w:r w:rsidR="004F428C">
        <w:t xml:space="preserve">the development of modeling frameworks that provide </w:t>
      </w:r>
      <w:r w:rsidR="004F428C">
        <w:lastRenderedPageBreak/>
        <w:t xml:space="preserve">insights on energy use and potential future energy demand evolution. </w:t>
      </w:r>
      <w:r w:rsidR="00C745F8">
        <w:t xml:space="preserve">A major bottleneck for model framework development is the </w:t>
      </w:r>
      <w:r w:rsidR="00B26BA7">
        <w:t>unavailability of “perfect” data.</w:t>
      </w:r>
    </w:p>
    <w:p w14:paraId="7FA99760" w14:textId="538A4DCF" w:rsidR="00334E4E" w:rsidRDefault="00B52467" w:rsidP="00EF79E6">
      <w:pPr>
        <w:ind w:firstLine="720"/>
      </w:pPr>
      <w:r>
        <w:t xml:space="preserve">Recent </w:t>
      </w:r>
      <w:r w:rsidR="00ED6351">
        <w:t xml:space="preserve">technological </w:t>
      </w:r>
      <w:r>
        <w:t xml:space="preserve">advances </w:t>
      </w:r>
      <w:r w:rsidR="00E159F5">
        <w:t>and their adoption</w:t>
      </w:r>
      <w:r>
        <w:t xml:space="preserve"> including </w:t>
      </w:r>
      <w:r w:rsidR="005A77B5">
        <w:t xml:space="preserve">sensing technology, </w:t>
      </w:r>
      <w:r w:rsidR="00FF4CA8">
        <w:t xml:space="preserve">smart energy sensors, </w:t>
      </w:r>
      <w:r>
        <w:t>connected and autonomous vehicles, shared mobility</w:t>
      </w:r>
      <w:r w:rsidR="0018294A">
        <w:t xml:space="preserve"> (bike sharing,</w:t>
      </w:r>
      <w:r w:rsidR="0043297E">
        <w:t xml:space="preserve"> scooter sharing and transportation network companies),</w:t>
      </w:r>
      <w:r>
        <w:t xml:space="preserve"> naturalistic driving studies, and </w:t>
      </w:r>
      <w:r w:rsidR="00331407">
        <w:t>location-based</w:t>
      </w:r>
      <w:r>
        <w:t xml:space="preserve"> smartphone data</w:t>
      </w:r>
      <w:r w:rsidR="0018294A">
        <w:t xml:space="preserve"> have </w:t>
      </w:r>
      <w:r w:rsidR="00A52E0F">
        <w:t>resulted in large volumes of data being collected</w:t>
      </w:r>
      <w:r w:rsidR="00A33E48">
        <w:t>. Th</w:t>
      </w:r>
      <w:r w:rsidR="00B26BA7">
        <w:t>is</w:t>
      </w:r>
      <w:r w:rsidR="00A33E48">
        <w:t xml:space="preserve"> </w:t>
      </w:r>
      <w:r w:rsidR="00334E4E">
        <w:t>data explosion</w:t>
      </w:r>
      <w:r w:rsidR="00A33E48">
        <w:t xml:space="preserve"> has shifted research challenges </w:t>
      </w:r>
      <w:r w:rsidR="007C6D48">
        <w:t xml:space="preserve">in </w:t>
      </w:r>
      <w:r w:rsidR="00A26087">
        <w:t xml:space="preserve">multiple </w:t>
      </w:r>
      <w:r w:rsidR="007C52EA">
        <w:t xml:space="preserve">fields </w:t>
      </w:r>
      <w:r w:rsidR="00A33E48">
        <w:t xml:space="preserve">from </w:t>
      </w:r>
      <w:r w:rsidR="007C6D48">
        <w:t xml:space="preserve">modeling with limited data to </w:t>
      </w:r>
      <w:r w:rsidR="00FB47CA">
        <w:t xml:space="preserve">developing </w:t>
      </w:r>
      <w:r w:rsidR="00331407">
        <w:t xml:space="preserve">modeling </w:t>
      </w:r>
      <w:r w:rsidR="00FB47CA">
        <w:t xml:space="preserve">approaches that support </w:t>
      </w:r>
      <w:r w:rsidR="00A26087">
        <w:t xml:space="preserve">effective utilization of </w:t>
      </w:r>
      <w:r w:rsidR="00FB47CA">
        <w:t xml:space="preserve">the </w:t>
      </w:r>
      <w:r w:rsidR="00A26087">
        <w:t>abundant</w:t>
      </w:r>
      <w:r w:rsidR="00A33E48">
        <w:t xml:space="preserve"> data</w:t>
      </w:r>
      <w:r w:rsidR="00B712FD">
        <w:t xml:space="preserve">. </w:t>
      </w:r>
      <w:bookmarkStart w:id="0" w:name="_Hlk78652538"/>
      <w:r w:rsidR="00B712FD">
        <w:t xml:space="preserve">The current research effort is focused on improving effective use of the </w:t>
      </w:r>
      <w:r w:rsidR="00BC43E1">
        <w:t>multiple disparate sources of</w:t>
      </w:r>
      <w:r w:rsidR="00B712FD">
        <w:t xml:space="preserve"> data available </w:t>
      </w:r>
      <w:r w:rsidR="00B26BA7">
        <w:t xml:space="preserve">for energy use modeling </w:t>
      </w:r>
      <w:r w:rsidR="00B712FD">
        <w:t xml:space="preserve">by proposing a </w:t>
      </w:r>
      <w:r w:rsidR="005F7B2F">
        <w:t xml:space="preserve">novel </w:t>
      </w:r>
      <w:r w:rsidR="00B712FD">
        <w:t xml:space="preserve">maximum likelihood based probabilistic data fusion approach. </w:t>
      </w:r>
      <w:bookmarkEnd w:id="0"/>
    </w:p>
    <w:p w14:paraId="24276BC1" w14:textId="3BD21DF5" w:rsidR="008B1904" w:rsidRDefault="004C6C0D" w:rsidP="00C5763A">
      <w:pPr>
        <w:ind w:firstLine="720"/>
      </w:pPr>
      <w:bookmarkStart w:id="1" w:name="_Hlk78656767"/>
      <w:r>
        <w:t xml:space="preserve">Data fusion algorithms refers to the techniques of integrating two or more distinct data </w:t>
      </w:r>
      <w:r w:rsidR="00926422">
        <w:t xml:space="preserve">sources into a </w:t>
      </w:r>
      <w:r w:rsidR="00BC43E1">
        <w:t xml:space="preserve">fused </w:t>
      </w:r>
      <w:r w:rsidR="001D1B22">
        <w:t xml:space="preserve">data </w:t>
      </w:r>
      <w:r w:rsidR="00F61639" w:rsidRPr="00B950A6">
        <w:t>that offers enriched information (additional explanatory variables) compared to the individual data sources</w:t>
      </w:r>
      <w:bookmarkEnd w:id="1"/>
      <w:r w:rsidR="00B950A6">
        <w:t xml:space="preserve"> </w:t>
      </w:r>
      <w:r w:rsidR="00B950A6">
        <w:fldChar w:fldCharType="begin" w:fldLock="1"/>
      </w:r>
      <w:r w:rsidR="00114AA7">
        <w:instrText>ADDIN CSL_CITATION {"citationItems":[{"id":"ITEM-1","itemData":{"URL":"https://www.sciencedirect.com/topics/computer-science/data-fusion","accessed":{"date-parts":[["2021","7","24"]]},"id":"ITEM-1","issued":{"date-parts":[["0"]]},"title":"Data Fusion - an overview | ScienceDirect Topics","type":"webpage"},"uris":["http://www.mendeley.com/documents/?uuid=b4452ecb-6056-306a-be91-4ca701f5245b"]}],"mendeley":{"formattedCitation":"(&lt;i&gt;9&lt;/i&gt;)","plainTextFormattedCitation":"(9)","previouslyFormattedCitation":"(&lt;i&gt;9&lt;/i&gt;)"},"properties":{"noteIndex":0},"schema":"https://github.com/citation-style-language/schema/raw/master/csl-citation.json"}</w:instrText>
      </w:r>
      <w:r w:rsidR="00B950A6">
        <w:fldChar w:fldCharType="separate"/>
      </w:r>
      <w:r w:rsidR="00B950A6" w:rsidRPr="00B950A6">
        <w:rPr>
          <w:noProof/>
        </w:rPr>
        <w:t>(</w:t>
      </w:r>
      <w:r w:rsidR="00B950A6" w:rsidRPr="00B950A6">
        <w:rPr>
          <w:i/>
          <w:noProof/>
        </w:rPr>
        <w:t>9</w:t>
      </w:r>
      <w:r w:rsidR="00B950A6" w:rsidRPr="00B950A6">
        <w:rPr>
          <w:noProof/>
        </w:rPr>
        <w:t>)</w:t>
      </w:r>
      <w:r w:rsidR="00B950A6">
        <w:fldChar w:fldCharType="end"/>
      </w:r>
      <w:r w:rsidR="00F61639" w:rsidRPr="00B950A6">
        <w:t xml:space="preserve">. </w:t>
      </w:r>
      <w:r w:rsidR="00F97B88" w:rsidRPr="00B950A6">
        <w:t xml:space="preserve">The algorithms can be simple </w:t>
      </w:r>
      <w:r w:rsidR="00DC2CF5" w:rsidRPr="00B950A6">
        <w:t>merging efforts across multiple datasets</w:t>
      </w:r>
      <w:r w:rsidR="00F97B88" w:rsidRPr="00B950A6">
        <w:t xml:space="preserve">. </w:t>
      </w:r>
      <w:r w:rsidR="00310A6C" w:rsidRPr="00B950A6">
        <w:t>Let us consider the</w:t>
      </w:r>
      <w:r w:rsidR="00310A6C" w:rsidRPr="00310A6C">
        <w:t xml:space="preserve"> compilation of a typical residential energy demand dataset. Utility companies compile energy use data using a smart energy sensor system with detailed information on energy demand in continuous time while also compiling residential unit characteristics (such as floor area and the number of bedrooms).</w:t>
      </w:r>
      <w:r w:rsidR="00F37D92">
        <w:t xml:space="preserve"> </w:t>
      </w:r>
      <w:r w:rsidR="005C6782">
        <w:t xml:space="preserve">The data also has </w:t>
      </w:r>
      <w:r w:rsidR="00B14143">
        <w:t>unique</w:t>
      </w:r>
      <w:r w:rsidR="005C6782">
        <w:t xml:space="preserve"> information in terms of the </w:t>
      </w:r>
      <w:r w:rsidR="00CF1357">
        <w:t xml:space="preserve">residential unit </w:t>
      </w:r>
      <w:r w:rsidR="00101054">
        <w:t xml:space="preserve">location. </w:t>
      </w:r>
      <w:r w:rsidR="00423624">
        <w:t>Employing</w:t>
      </w:r>
      <w:r w:rsidR="00101054">
        <w:t xml:space="preserve"> the location </w:t>
      </w:r>
      <w:r w:rsidR="00423624">
        <w:t>information</w:t>
      </w:r>
      <w:r w:rsidR="00101054">
        <w:t xml:space="preserve">, the </w:t>
      </w:r>
      <w:r w:rsidR="00701997">
        <w:t>data</w:t>
      </w:r>
      <w:r w:rsidR="00423624">
        <w:t>set</w:t>
      </w:r>
      <w:r w:rsidR="00701997">
        <w:t xml:space="preserve"> can be augmented with a </w:t>
      </w:r>
      <w:r w:rsidR="00C5189C">
        <w:t xml:space="preserve">Weather and </w:t>
      </w:r>
      <w:r w:rsidR="00701997">
        <w:t xml:space="preserve">Geographic Information System (GIS) file that provides location specific characteristics such as </w:t>
      </w:r>
      <w:r w:rsidR="00C86635">
        <w:t>temperature and precipitation</w:t>
      </w:r>
      <w:r w:rsidR="00701997">
        <w:t xml:space="preserve">. </w:t>
      </w:r>
      <w:r w:rsidR="00F95C76">
        <w:t xml:space="preserve">The </w:t>
      </w:r>
      <w:r w:rsidR="00B14143">
        <w:t>merging of data</w:t>
      </w:r>
      <w:r w:rsidR="00F95C76">
        <w:t xml:space="preserve"> </w:t>
      </w:r>
      <w:r w:rsidR="00B14143">
        <w:t>described</w:t>
      </w:r>
      <w:r w:rsidR="00F95C76">
        <w:t xml:space="preserve"> her</w:t>
      </w:r>
      <w:r w:rsidR="00B14143">
        <w:t>e</w:t>
      </w:r>
      <w:r w:rsidR="00F95C76">
        <w:t xml:space="preserve"> is a simple, deterministic fusion. Given the location</w:t>
      </w:r>
      <w:r w:rsidR="008B7987">
        <w:t>, using GIS</w:t>
      </w:r>
      <w:r w:rsidR="00C86635">
        <w:t xml:space="preserve"> and appropriate weather data</w:t>
      </w:r>
      <w:r w:rsidR="0052292E">
        <w:t>,</w:t>
      </w:r>
      <w:r w:rsidR="008B7987">
        <w:t xml:space="preserve"> the analyst can query</w:t>
      </w:r>
      <w:r w:rsidR="00D17B81">
        <w:t xml:space="preserve"> or cross-reference</w:t>
      </w:r>
      <w:r w:rsidR="008B7987">
        <w:t xml:space="preserve"> for </w:t>
      </w:r>
      <w:r w:rsidR="00C86635">
        <w:t xml:space="preserve">weather </w:t>
      </w:r>
      <w:r w:rsidR="008B7987">
        <w:t xml:space="preserve">characteristics and append them </w:t>
      </w:r>
      <w:r w:rsidR="008B7987">
        <w:lastRenderedPageBreak/>
        <w:t xml:space="preserve">to the </w:t>
      </w:r>
      <w:r w:rsidR="00C86635">
        <w:t xml:space="preserve">energy demand </w:t>
      </w:r>
      <w:r w:rsidR="008B7987">
        <w:t xml:space="preserve">record. </w:t>
      </w:r>
      <w:r w:rsidR="00863EFB">
        <w:t xml:space="preserve">The data fusion described is typically </w:t>
      </w:r>
      <w:r w:rsidR="00F04C13">
        <w:t xml:space="preserve">devoid of uncertainty (as long as the appropriate </w:t>
      </w:r>
      <w:r w:rsidR="00C5189C">
        <w:t xml:space="preserve">data processing </w:t>
      </w:r>
      <w:r w:rsidR="00F04C13">
        <w:t>steps are employed)</w:t>
      </w:r>
      <w:r w:rsidR="00C34E26">
        <w:t xml:space="preserve"> and</w:t>
      </w:r>
      <w:r w:rsidR="00266EB3">
        <w:t xml:space="preserve"> well defined as there are attributes that can be used to match data across these multiple datasets</w:t>
      </w:r>
      <w:r w:rsidR="003050C7">
        <w:t>.</w:t>
      </w:r>
      <w:r w:rsidR="00822474">
        <w:t xml:space="preserve"> Any </w:t>
      </w:r>
      <w:r w:rsidR="003019B9">
        <w:t xml:space="preserve">data </w:t>
      </w:r>
      <w:r w:rsidR="00822474">
        <w:t xml:space="preserve">analysis in recent </w:t>
      </w:r>
      <w:r w:rsidR="00814321">
        <w:t>years include</w:t>
      </w:r>
      <w:r w:rsidR="00D17B81">
        <w:t>s</w:t>
      </w:r>
      <w:r w:rsidR="00814321">
        <w:t xml:space="preserve"> such simple data fusion procedures. </w:t>
      </w:r>
    </w:p>
    <w:p w14:paraId="61D291A2" w14:textId="55EAEA2E" w:rsidR="00460A26" w:rsidRDefault="00ED0C80" w:rsidP="00C5763A">
      <w:pPr>
        <w:ind w:firstLine="720"/>
        <w:rPr>
          <w:rFonts w:cs="Times New Roman"/>
          <w:lang w:val="en-US"/>
        </w:rPr>
      </w:pPr>
      <w:bookmarkStart w:id="2" w:name="_Hlk78652579"/>
      <w:bookmarkStart w:id="3" w:name="_Hlk78656872"/>
      <w:r>
        <w:t xml:space="preserve">The proposed research is geared towards fusing databases that are not relatable </w:t>
      </w:r>
      <w:r w:rsidR="008B1904">
        <w:t>because of the inherent differences across these datasets.</w:t>
      </w:r>
      <w:bookmarkEnd w:id="2"/>
      <w:r w:rsidR="008B1904">
        <w:t xml:space="preserve"> </w:t>
      </w:r>
      <w:bookmarkEnd w:id="3"/>
      <w:r w:rsidR="008B1904">
        <w:t xml:space="preserve">For these </w:t>
      </w:r>
      <w:r w:rsidR="008B1904" w:rsidRPr="00FE3030">
        <w:rPr>
          <w:i/>
          <w:iCs/>
        </w:rPr>
        <w:t>uniquely unmatched datasets</w:t>
      </w:r>
      <w:r w:rsidR="008B1904">
        <w:t>, t</w:t>
      </w:r>
      <w:r w:rsidR="00460A26">
        <w:t xml:space="preserve">here is </w:t>
      </w:r>
      <w:r w:rsidR="00DC2CF5">
        <w:t xml:space="preserve">a </w:t>
      </w:r>
      <w:r w:rsidR="00460A26">
        <w:t>significant need for a behavioral data fusion approach</w:t>
      </w:r>
      <w:r w:rsidR="00654CA4">
        <w:t xml:space="preserve"> </w:t>
      </w:r>
      <w:r w:rsidR="007F0660">
        <w:t xml:space="preserve">across various domains including </w:t>
      </w:r>
      <w:r w:rsidR="00C5189C">
        <w:t xml:space="preserve">energy demand analysis </w:t>
      </w:r>
      <w:r w:rsidR="00C04468">
        <w:fldChar w:fldCharType="begin" w:fldLock="1"/>
      </w:r>
      <w:r w:rsidR="00812451">
        <w:instrText>ADDIN CSL_CITATION {"citationItems":[{"id":"ITEM-1","itemData":{"DOI":"10.1016/j.apenergy.2021.117775","ISSN":"03062619","abstract":"Despite the variety of sensors that can be used in a smart home or office setup, for monitoring energy consumption and assisting users to save energy, their usefulness is limited when they are not properly integrated into the daily activities of humans. Energy-saving applications in such environments can benefit from the use of sensors and actuators when data are properly fused with previous knowledge about user habits and feedback about current user preferences. In this article, we present an online recommender system implemented in the EM3 platform, a platform for Consumer Engagement Toward Energy-Saving Behavior. The recommender system uniquely fuses sensors’ data with user habits and user feedback and provides personalized recommendations for energy efficiency at the right moment. The user response to the recommendations directly triggers actuators that perform energy-saving actions and is recorded and processed for refining future recommendations. The EM3 recommendation engine continuously evaluates the three inputs (i.e. sensor data, user habits, user feedback) and identifies the micro-moments that maximize the need for the recommended action and thus the recommendation acceptance. We evaluate the efficiency of the proposed recommender system, which is based on a stacked-LSTM for fusing multi-sensor data streams, in several scenarios, and the observed accuracy on predicting the right moment to send a recommendation to the user ranged from 93% to 97%.","author":[{"dropping-particle":"","family":"Varlamis","given":"Iraklis","non-dropping-particle":"","parse-names":false,"suffix":""},{"dropping-particle":"","family":"Sardianos","given":"Christos","non-dropping-particle":"","parse-names":false,"suffix":""},{"dropping-particle":"","family":"Chronis","given":"Christos","non-dropping-particle":"","parse-names":false,"suffix":""},{"dropping-particle":"","family":"Dimitrakopoulos","given":"George","non-dropping-particle":"","parse-names":false,"suffix":""},{"dropping-particle":"","family":"Himeur","given":"Yassine","non-dropping-particle":"","parse-names":false,"suffix":""},{"dropping-particle":"","family":"Alsalemi","given":"Abdullah","non-dropping-particle":"","parse-names":false,"suffix":""},{"dropping-particle":"","family":"Bensaali","given":"Faycal","non-dropping-particle":"","parse-names":false,"suffix":""},{"dropping-particle":"","family":"Amira","given":"Abbes","non-dropping-particle":"","parse-names":false,"suffix":""}],"container-title":"Applied Energy","id":"ITEM-1","issued":{"date-parts":[["2022","1","1"]]},"page":"117775","publisher":"Elsevier","title":"Smart fusion of sensor data and human feedback for personalized energy-saving recommendations","type":"article-journal","volume":"305"},"uris":["http://www.mendeley.com/documents/?uuid=9631c4a0-b2fe-34af-8ed2-f44fe351729b"]},{"id":"ITEM-2","itemData":{"DOI":"10.1016/j.apenergy.2019.02.066","ISSN":"03062619","abstract":"Heating, Ventilation, and Air Conditioning (HVAC) is a major energy consumer in buildings. The predictive control has demonstrated a potential to reduce HVAC energy use. To facilitate predictive HVAC control, internal heat gains prediction is required. In this study, we applied Long Short-Term Memory Networks, a special form of deep neural network, to predict miscellaneous electric loads, lighting loads, occupant counts and internal heat gains in two United States office buildings. Compared with the predetermined schedules used in American Society of Heating, Refrigerating and Air-Conditioning Engineers (ASHRAE) standard 90.1, the Long Short-Term Memory Networks method could reduce the prediction errors of internal heat gains from 12% to 8% in Building A, and from 26% to 16% in Building B. It was also found that for internal heat gains prediction, miscellaneous electric loads is a more important feature than occupant counts for two reasons. First, miscellaneous electric loads is the best proxy variable for internal heat gains, as it is the major component of and has the highest correlation coefficient with the internal heat gains. Second, miscellaneous electric loads contain valuable information to predict occupant count, while occupant count could not help improve miscellaneous electric loads prediction. These findings could help researchers and practitioners select the most relevant features to more accurately predict internal heat gains for the implementation of predictive HVAC control in buildings.","author":[{"dropping-particle":"","family":"Wang","given":"Zhe","non-dropping-particle":"","parse-names":false,"suffix":""},{"dropping-particle":"","family":"Hong","given":"Tianzhen","non-dropping-particle":"","parse-names":false,"suffix":""},{"dropping-particle":"","family":"Piette","given":"Mary Ann","non-dropping-particle":"","parse-names":false,"suffix":""}],"container-title":"Applied Energy","id":"ITEM-2","issued":{"date-parts":[["2019","4","15"]]},"page":"386-398","publisher":"Elsevier","title":"Data fusion in predicting internal heat gains for office buildings through a deep learning approach","type":"article-journal","volume":"240"},"uris":["http://www.mendeley.com/documents/?uuid=6a78149d-aec1-3318-bcad-f794f39e314f"]},{"id":"ITEM-3","itemData":{"DOI":"10.1016/j.enbuild.2019.05.002","ISSN":"03787788","abstract":"The paper aims to achieve the modelling of climate change effects on heating and cooling in the building sector, through the use of the available Intergovernmental Panel on Climate Change forecasted data. Data from several different climate models will be fused with regards to mean air temperature, wind speed and horizontal solar radiation. Several climatic models data were analysed ranging from January 2006 to December 2100. Rather than considering each model in isolation, we propose a data fusion approach for providing a robust combined model for morphing an existing weather data file. The final aim is simulating future energy use for heating and cooling of a reference building as a consequence of the expected climate changes. We compare results, in terms of robustness to overfitting, for two different fusion methodologies, based on the comparison between errors on punctual historical data or prediction models that can be obtained by each climate simulator and by the actual ERA-INTERIM data set. Finally, we map the new aggregated data into a prediction trace of heating and cooling energy requirements. The expected energy demand is in the range of the one provided by single climate models, with a variability that reaches up to the 10% of the overall energy requirements. The approach proposed is an advancement as it allows to achieve better fits with existing re-analysis data if compared to specific global circulation models output data. Thus a more reliable estimation of energy use for heating and cooling can be achieved.","author":[{"dropping-particle":"","family":"Guarino","given":"Francesco","non-dropping-particle":"","parse-names":false,"suffix":""},{"dropping-particle":"","family":"Croce","given":"Daniele","non-dropping-particle":"","parse-names":false,"suffix":""},{"dropping-particle":"","family":"Tinnirello","given":"Ilenia","non-dropping-particle":"","parse-names":false,"suffix":""},{"dropping-particle":"","family":"Cellura","given":"Maurizio","non-dropping-particle":"","parse-names":false,"suffix":""}],"container-title":"Energy and Buildings","id":"ITEM-3","issued":{"date-parts":[["2019","8","1"]]},"page":"240-254","publisher":"Elsevier","title":"Data fusion analysis applied to different climate change models: An application to the energy consumptions of a building office","type":"article-journal","volume":"196"},"uris":["http://www.mendeley.com/documents/?uuid=26fabc4a-9434-3456-8e65-c49f11fae387"]},{"id":"ITEM-4","itemData":{"author":[{"dropping-particle":"","family":"Gouveia","given":"João Pedro","non-dropping-particle":"","parse-names":false,"suffix":""}],"container-title":"Eceee 2015","id":"ITEM-4","issue":"1983","issued":{"date-parts":[["2015"]]},"page":"957-966","title":"Understanding electricity consumption patterns in households through data fusion of smart meters and door-to-door surveys","type":"article-journal"},"uris":["http://www.mendeley.com/documents/?uuid=a615fac7-b2f2-41fb-bc1f-2bc404a650c2"]},{"id":"ITEM-5","itemData":{"DOI":"10.1016/j.inffus.2020.07.003","ISSN":"15662535","abstract":"Recently, tremendous interest has been devoted to develop data fusion strategies for energy efficiency in buildings, where various kinds of information can be processed. However, applying the appropriate data fusion strategy to design an efficient energy efficiency system is not straightforward; it requires a priori knowledge of existing fusion strategies, their applications and their properties. To this regard, seeking to provide the energy research community with a better understanding of data fusion strategies in building energy saving systems, their principles, advantages, and potential applications, this paper proposes an extensive survey of existing data fusion mechanisms deployed to reduce excessive consumption and promote sustainability. We investigate their conceptualizations, advantages, challenges and drawbacks, as well as performing a taxonomy of existing data fusion strategies and other contributing factors. Following, a comprehensive comparison of the state-of-the-art data fusion based energy efficiency frameworks is conducted using various parameters, including data fusion level, data fusion techniques, behavioral change influencer, behavioral change incentive, recorded data, platform architecture, IoT technology and application scenario. Moreover, a novel method for electrical appliance identification is proposed based on the fusion of 2D local texture descriptors, where 1D power signals are transformed into 2D space and treated as images. The empirical evaluation, conducted on three real datasets, shows promising performance, in which up to 99.68% accuracy and 99.52% F1 score have been attained. In addition, various open research challenges and future orientations to improve data fusion based energy efficiency ecosystems are explored.","author":[{"dropping-particle":"","family":"Himeur","given":"Yassine","non-dropping-particle":"","parse-names":false,"suffix":""},{"dropping-particle":"","family":"Alsalemi","given":"Abdullah","non-dropping-particle":"","parse-names":false,"suffix":""},{"dropping-particle":"","family":"Al-Kababji","given":"Ayman","non-dropping-particle":"","parse-names":false,"suffix":""},{"dropping-particle":"","family":"Bensaali","given":"Faycal","non-dropping-particle":"","parse-names":false,"suffix":""},{"dropping-particle":"","family":"Amira","given":"Abbes","non-dropping-particle":"","parse-names":false,"suffix":""}],"container-title":"Information Fusion","id":"ITEM-5","issued":{"date-parts":[["2020","12","1"]]},"page":"99-120","publisher":"Elsevier","title":"Data fusion strategies for energy efficiency in buildings: Overview, challenges and novel orientations","type":"article-journal","volume":"64"},"uris":["http://www.mendeley.com/documents/?uuid=90808168-d14e-3c16-b47c-ead3011ac32d"]}],"mendeley":{"formattedCitation":"(&lt;i&gt;10&lt;/i&gt;–&lt;i&gt;14&lt;/i&gt;)","plainTextFormattedCitation":"(10–14)","previouslyFormattedCitation":"(&lt;i&gt;10&lt;/i&gt;–&lt;i&gt;14&lt;/i&gt;)"},"properties":{"noteIndex":0},"schema":"https://github.com/citation-style-language/schema/raw/master/csl-citation.json"}</w:instrText>
      </w:r>
      <w:r w:rsidR="00C04468">
        <w:fldChar w:fldCharType="separate"/>
      </w:r>
      <w:r w:rsidR="009D3EDC" w:rsidRPr="009D3EDC">
        <w:rPr>
          <w:noProof/>
        </w:rPr>
        <w:t>(</w:t>
      </w:r>
      <w:r w:rsidR="009D3EDC" w:rsidRPr="009D3EDC">
        <w:rPr>
          <w:i/>
          <w:noProof/>
        </w:rPr>
        <w:t>10</w:t>
      </w:r>
      <w:r w:rsidR="009D3EDC" w:rsidRPr="009D3EDC">
        <w:rPr>
          <w:noProof/>
        </w:rPr>
        <w:t>–</w:t>
      </w:r>
      <w:r w:rsidR="009D3EDC" w:rsidRPr="009D3EDC">
        <w:rPr>
          <w:i/>
          <w:noProof/>
        </w:rPr>
        <w:t>14</w:t>
      </w:r>
      <w:r w:rsidR="009D3EDC" w:rsidRPr="009D3EDC">
        <w:rPr>
          <w:noProof/>
        </w:rPr>
        <w:t>)</w:t>
      </w:r>
      <w:r w:rsidR="00C04468">
        <w:fldChar w:fldCharType="end"/>
      </w:r>
      <w:r w:rsidR="00C5189C">
        <w:t xml:space="preserve">, </w:t>
      </w:r>
      <w:r w:rsidR="00460A26">
        <w:t>mobility pattern</w:t>
      </w:r>
      <w:r w:rsidR="007F0660">
        <w:t xml:space="preserve"> analysis</w:t>
      </w:r>
      <w:r w:rsidR="00460A26">
        <w:t xml:space="preserve"> </w:t>
      </w:r>
      <w:r w:rsidR="00460A26">
        <w:fldChar w:fldCharType="begin" w:fldLock="1"/>
      </w:r>
      <w:r w:rsidR="00812451">
        <w:instrText>ADDIN CSL_CITATION {"citationItems":[{"id":"ITEM-1","itemData":{"DOI":"10.1155/2020/5321385","ISSN":"20423195","abstract":"A key issue to understand urban system is to characterize the activity dynamics in a city - when, where, what, and how activities happen in a city. To better understand the urban activity dynamics, city-wide and multiday activity participation sequence data, namely, activity chain as well as suitable spatiotemporal models, are needed. The commonly used household travel survey data in activity analysis suffers from limited sample size and temporal coverage. The emergence of large-scale spatiotemporal data in urban areas, such as mobile phone data, provides a new opportunity to infer urban activities and the underlying dynamics. However, the challenge is the absence of labeled activity information in mobile phone data. Consequently, how to fuse the useful information in household survey data and mobile phone data to build city-wide, multiday, and all-time activity chains becomes an important research question. Moreover, the multidimension structure of the activity data (e.g., location, start time, duration, type) makes the extraction of spatiotemporal activity patterns another difficult problem. In this study, the authors first introduce an activity chain inference model based on tensor decomposition to infer the missing activity labels in large-scale and multiday activity data, and then develop a spatiotemporal event clustering model based on DBSCAN, called STE-DBSCAN, to identify the spatiotemporal activity patterns. The proposed approaches achieved good accuracy and produced patterns with a high level of interpretability.","author":[{"dropping-particle":"","family":"Yang","given":"Chao","non-dropping-particle":"","parse-names":false,"suffix":""},{"dropping-particle":"","family":"Zhang","given":"Yuliang","non-dropping-particle":"","parse-names":false,"suffix":""},{"dropping-particle":"","family":"Zhan","given":"Xianyuan","non-dropping-particle":"","parse-names":false,"suffix":""},{"dropping-particle":"V.","family":"Ukkusuri","given":"Satish","non-dropping-particle":"","parse-names":false,"suffix":""},{"dropping-particle":"","family":"Chen","given":"Yifan","non-dropping-particle":"","parse-names":false,"suffix":""}],"container-title":"Journal of Advanced Transportation","id":"ITEM-1","issued":{"date-parts":[["2020"]]},"publisher":"Hindawi Limited","title":"Fusing Mobile Phone and Travel Survey Data to Model Urban Activity Dynamics","type":"article-journal","volume":"2020"},"uris":["http://www.mendeley.com/documents/?uuid=25e55dee-c0b2-308e-8fa6-3ed7a3c40d1d"]},{"id":"ITEM-2","itemData":{"DOI":"10.1016/j.trpro.2018.12.211","ISSN":"23521465","abstract":"OD matrices that describe mobility patterns provide major input to most transport analysis models. Since OD matrices are not yet directly observable, they are usually estimated indirectly. Data from new sources such as mobile phone records and GPS traces from mobile apps are emerging alternatives that allow for cheaper and timely estimates. However, they are still hindered by weaknesses that must be studied for use as input to transportation models. This paper presents a case study using mobility data from mobile phone records, with the goal of establishing a methodology for validating the obtained OD matrices and generating the appropriate input for traffic assignment models. Spatial and temporal consistency of OD data elaborated from mobile records has been proved to be useful for transportation modelling needs.","author":[{"dropping-particle":"","family":"Montero","given":"L.","non-dropping-particle":"","parse-names":false,"suffix":""},{"dropping-particle":"","family":"Ros-Roca","given":"X.","non-dropping-particle":"","parse-names":false,"suffix":""},{"dropping-particle":"","family":"Herranz","given":"R.","non-dropping-particle":"","parse-names":false,"suffix":""},{"dropping-particle":"","family":"Barceló","given":"J.","non-dropping-particle":"","parse-names":false,"suffix":""}],"container-title":"Transportation Research Procedia","id":"ITEM-2","issued":{"date-parts":[["2019","1","1"]]},"page":"417-424","publisher":"Elsevier","title":"Fusing mobile phone data with other data sources to generate input OD matrices for transport models","type":"article-journal","volume":"37"},"uris":["http://www.mendeley.com/documents/?uuid=c14c547d-ea13-3652-9ffd-06c8ed1f7130"]},{"id":"ITEM-3","itemData":{"author":[{"dropping-particle":"","family":"Sivakumar","given":"Aruna","non-dropping-particle":"","parse-names":false,"suffix":""},{"dropping-particle":"","family":"Polak","given":"John","non-dropping-particle":"","parse-names":false,"suffix":""}],"id":"ITEM-3","issued":{"date-parts":[["2013"]]},"title":"An exploration of data pooling techniques : Modelling activity participation and household technology holdings Abstract :","type":"article-journal","volume":"7228"},"uris":["http://www.mendeley.com/documents/?uuid=b8f73b15-60e7-38cd-b6fd-6db5017d7055"]}],"mendeley":{"formattedCitation":"(&lt;i&gt;15&lt;/i&gt;–&lt;i&gt;17&lt;/i&gt;)","plainTextFormattedCitation":"(15–17)","previouslyFormattedCitation":"(&lt;i&gt;15&lt;/i&gt;–&lt;i&gt;17&lt;/i&gt;)"},"properties":{"noteIndex":0},"schema":"https://github.com/citation-style-language/schema/raw/master/csl-citation.json"}</w:instrText>
      </w:r>
      <w:r w:rsidR="00460A26">
        <w:fldChar w:fldCharType="separate"/>
      </w:r>
      <w:r w:rsidR="009D3EDC" w:rsidRPr="009D3EDC">
        <w:rPr>
          <w:noProof/>
        </w:rPr>
        <w:t>(</w:t>
      </w:r>
      <w:r w:rsidR="009D3EDC" w:rsidRPr="009D3EDC">
        <w:rPr>
          <w:i/>
          <w:noProof/>
        </w:rPr>
        <w:t>15</w:t>
      </w:r>
      <w:r w:rsidR="009D3EDC" w:rsidRPr="009D3EDC">
        <w:rPr>
          <w:noProof/>
        </w:rPr>
        <w:t>–</w:t>
      </w:r>
      <w:r w:rsidR="009D3EDC" w:rsidRPr="009D3EDC">
        <w:rPr>
          <w:i/>
          <w:noProof/>
        </w:rPr>
        <w:t>17</w:t>
      </w:r>
      <w:r w:rsidR="009D3EDC" w:rsidRPr="009D3EDC">
        <w:rPr>
          <w:noProof/>
        </w:rPr>
        <w:t>)</w:t>
      </w:r>
      <w:r w:rsidR="00460A26">
        <w:fldChar w:fldCharType="end"/>
      </w:r>
      <w:r w:rsidR="00460A26">
        <w:t xml:space="preserve">, freight movement </w:t>
      </w:r>
      <w:r w:rsidR="007F0660">
        <w:t xml:space="preserve">modeling </w:t>
      </w:r>
      <w:r w:rsidR="00460A26">
        <w:fldChar w:fldCharType="begin" w:fldLock="1"/>
      </w:r>
      <w:r w:rsidR="00812451">
        <w:instrText>ADDIN CSL_CITATION {"citationItems":[{"id":"ITEM-1","itemData":{"abstract":"In the past, regional transportation planners primarily focused on passenger traffic demand and forecast modeling. Many metropolitan areas were unable to include freight in regional planning due to lacking of data. With the growing freight movement and its significant impact on regional and national economy, many planning agencies are investing more resources on integrating freight into transportation planning and using freight models to better support transportation decision making. Data is critical to derive parameters and support analysis processes in developing a model. However, freight data acquisition, due to the proprietary nature of data, has been an ongoing challenge. Existing public freight data is insufficient to support advanced freight modeling. Collecting additional data or identifying new data sources is essential to support effective freight modeling and planning. The FHWA has established a partnership with the American Transportation Research Institute (ATRI) to measure truck travel speed on freight-significant corridors since 2002. This paper explores the feasibility of generating truck performance measures that can be fed to freight models. As an example, 12-month of private truck GPS data from ATRI and traffic data from state DOTs were utilized to study trucking activity, level of congestion, and travel time reliability along the I94/90 corridor between the Twin Cities and Chicago. The data analysis methodology demonstrated the capability of using truck GPS data to generate performance measures for potential applications such as measuring truck travel time reliability, evaluating impact of congestion on cost of freight, identifying truck stop or parking facility needs, and studying the impact of traffic volume with respect to speed gap difference between passenger vehicles and trucks. Resulting performance indices can thereafter be utilized to support freight modeling, planning and decision making.","author":[{"dropping-particle":"","family":"Liao","given":"Chen-Fu","non-dropping-particle":"","parse-names":false,"suffix":""}],"id":"ITEM-1","issued":{"date-parts":[["2016"]]},"title":"Fusing Public and Private Truck Data to Support Regional Freight Planning and Modeling Traffic Information for People with Vision Impairment View project Fusing Public and Private Truck Data to Support Regional Freight Planning and Modeling","type":"article-journal"},"uris":["http://www.mendeley.com/documents/?uuid=5a6d1f4b-8f14-39a7-8d06-ced0e7260e9a"]},{"id":"ITEM-2","itemData":{"DOI":"10.1061/jtepbs.0000294","ISSN":"2473-2907","abstract":"© 2019 American Society of Civil Engineers. A major hurdle in freight demand modeling has always been the lack of adequate data on freight movements for different industry sectors for planning applications. Both Freight Analysis Framework (FAF) and Transearch (TS) databases contain annualized commodity flow data. However, the representations of commodity flows in the two databases are inherently different. FAF flows represent estimated transportation network flows, whereas TS flows represent production-consumption commodity flows. This study aims to develop a fused database from FAF and TS to determine transportation network flows at a fine spatial resolution (county level) while accommodating production and consumption behavioral trends (provided by TS). To this end, a joint econometric model framework embedded within a network flow approach and grounded in a maximum-likelihood technique is formulated to estimate county-level commodity flows. The algorithm is implemented for the commodity flow information from 2012 FAF data and 2011 TS databases to generate transportation network flows for 67 counties in Florida. The proposed approach may be able to circumvent the need to purchase expensive TS databases in the future.","author":[{"dropping-particle":"","family":"Momtaz","given":"Salah Uddin","non-dropping-particle":"","parse-names":false,"suffix":""},{"dropping-particle":"","family":"Eluru","given":"Naveen","non-dropping-particle":"","parse-names":false,"suffix":""},{"dropping-particle":"","family":"Anowar","given":"Sabreena","non-dropping-particle":"","parse-names":false,"suffix":""},{"dropping-particle":"","family":"Keya","given":"Nowreen","non-dropping-particle":"","parse-names":false,"suffix":""},{"dropping-particle":"","family":"Dey","given":"Bibhas Kumar","non-dropping-particle":"","parse-names":false,"suffix":""},{"dropping-particle":"","family":"Pinjari","given":"Abdul","non-dropping-particle":"","parse-names":false,"suffix":""},{"dropping-particle":"","family":"Tabatabaee","given":"S. Frank","non-dropping-particle":"","parse-names":false,"suffix":""}],"container-title":"Journal of Transportation Engineering, Part A: Systems","id":"ITEM-2","issue":"2","issued":{"date-parts":[["2020"]]},"page":"04019070","title":"Fusing Freight Analysis Framework and Transearch Data: Econometric Data Fusion Approach with Application to Florida","type":"article-journal","volume":"146"},"uris":["http://www.mendeley.com/documents/?uuid=6d0c7e5e-5b32-38ad-9d34-f716d258b175"]},{"id":"ITEM-3","itemData":{"DOI":"10.1016/j.tre.2020.101890","ISSN":"13665545","abstract":"Knowledge of spatial distributions of weight-categorized truck flows in a region is critical to the understanding of movements of empty or partially-loaded trucks and devising appropriate strategies to reduce empty or partially-loaded truck flows and improve truck utilization efficiency in the region. However, such disaggregated information cannot be directly obtained from existing data sources and models. In this paper, we propose a compact model for estimating weight-categorized truck origin–destination (OD) flows and link-level truck counts by fusing several freight datasets. The proposed model minimizes the squared errors between the estimated and observed truck OD flows and link volumes considering the flow conservation of trucks and commodity weights. To illustrate a real-world application of this model, a case study is conducted to estimate the spatial distribution of empty or partially-loaded truck flows into, within, and out of the State of Florida. With the case study results, high production- and attraction-zones of empty or partially-loaded truck trips are also identified. Such results can potentially inform freight planning and policy decisions to learn spatial patterns of empty or partially-loaded backhauling truck flows and devise countermeasures to reduce such flows and improve freight transportation efficiency. This is particularly relevant to a terminal state such as Florida that has large volumes of back-hauling truck flow.","author":[{"dropping-particle":"","family":"Zhao","given":"Dongfang","non-dropping-particle":"","parse-names":false,"suffix":""},{"dropping-particle":"","family":"Balusu","given":"Suryaprasanna Kumar","non-dropping-particle":"","parse-names":false,"suffix":""},{"dropping-particle":"","family":"Sheela","given":"Parvathy Vinod","non-dropping-particle":"","parse-names":false,"suffix":""},{"dropping-particle":"","family":"Li","given":"Xiaopeng","non-dropping-particle":"","parse-names":false,"suffix":""},{"dropping-particle":"","family":"Pinjari","given":"Abdul Rawoof","non-dropping-particle":"","parse-names":false,"suffix":""},{"dropping-particle":"","family":"Eluru","given":"Naveen","non-dropping-particle":"","parse-names":false,"suffix":""}],"container-title":"Transportation Research Part E: Logistics and Transportation Review","id":"ITEM-3","issued":{"date-parts":[["2020","4","1"]]},"page":"101890","publisher":"Pergamon","title":"Weight-categorized truck flow estimation: A data-fusion approach and a Florida case study","type":"article-journal","volume":"136"},"uris":["http://www.mendeley.com/documents/?uuid=0cf7f9b6-2e6c-3c44-a7a9-a9382ecf494e"]}],"mendeley":{"formattedCitation":"(&lt;i&gt;18&lt;/i&gt;–&lt;i&gt;20&lt;/i&gt;)","plainTextFormattedCitation":"(18–20)","previouslyFormattedCitation":"(&lt;i&gt;18&lt;/i&gt;–&lt;i&gt;20&lt;/i&gt;)"},"properties":{"noteIndex":0},"schema":"https://github.com/citation-style-language/schema/raw/master/csl-citation.json"}</w:instrText>
      </w:r>
      <w:r w:rsidR="00460A26">
        <w:fldChar w:fldCharType="separate"/>
      </w:r>
      <w:r w:rsidR="009D3EDC" w:rsidRPr="009D3EDC">
        <w:rPr>
          <w:noProof/>
        </w:rPr>
        <w:t>(</w:t>
      </w:r>
      <w:r w:rsidR="009D3EDC" w:rsidRPr="009D3EDC">
        <w:rPr>
          <w:i/>
          <w:noProof/>
        </w:rPr>
        <w:t>18</w:t>
      </w:r>
      <w:r w:rsidR="009D3EDC" w:rsidRPr="009D3EDC">
        <w:rPr>
          <w:noProof/>
        </w:rPr>
        <w:t>–</w:t>
      </w:r>
      <w:r w:rsidR="009D3EDC" w:rsidRPr="009D3EDC">
        <w:rPr>
          <w:i/>
          <w:noProof/>
        </w:rPr>
        <w:t>20</w:t>
      </w:r>
      <w:r w:rsidR="009D3EDC" w:rsidRPr="009D3EDC">
        <w:rPr>
          <w:noProof/>
        </w:rPr>
        <w:t>)</w:t>
      </w:r>
      <w:r w:rsidR="00460A26">
        <w:fldChar w:fldCharType="end"/>
      </w:r>
      <w:r w:rsidR="00460A26">
        <w:t xml:space="preserve">; </w:t>
      </w:r>
      <w:r w:rsidR="007F0660">
        <w:t xml:space="preserve">disaster </w:t>
      </w:r>
      <w:r w:rsidR="00460A26">
        <w:t xml:space="preserve">evacuation planning </w:t>
      </w:r>
      <w:r w:rsidR="00460A26">
        <w:fldChar w:fldCharType="begin" w:fldLock="1"/>
      </w:r>
      <w:r w:rsidR="00812451">
        <w:instrText>ADDIN CSL_CITATION {"citationItems":[{"id":"ITEM-1","itemData":{"DOI":"10.1061/(ASCE)NH.1527-6996.0000354","abstract":"Evacuations are the most effective protective strategy adopted to minimize the deadly threat of an incoming hurricane. The study of evacuations has a long history in the United States, and the scientific community has acquired an in-depth understanding of the associated processes. However, there are limitations in the traditional methods of studying evacuation behavior, such as survey questionnaires and traffic counts, which sometimes fail to efficiently produce the results that emergency managers need. The development of innovative methods for the study of evacuation decision-making, such as the use of so-called big data analytics, offers an opportunity to complement traditional approaches in evacuation behavior research as well as advancing understudied aspects of evacuation behavior. Applied to Hurricane Matthew in South Carolina and Hurricane Irma in Florida, the findings presented in this article reveal that geotagged tweets provide a representative sample of individuals in the age range of 18-54 years, complementing elderly-biased questionnaire survey samples. The combination of questionnaire and Twitter methods found no gender effect on evacuation decision-making but confirmed a significant positive association with residential status. Additionally, the authors observed differential behavior with respect to race/ethnicity and age predictors in the two areas of study. The validity of Twitter is confirmed in connection with exploring certain aspects of evacuation behavior, illustrating a new and rich data source for researchers in this field.","author":[{"dropping-particle":"","family":"Martín","given":"Yago","non-dropping-particle":"","parse-names":false,"suffix":""},{"dropping-particle":"","family":"Cutter","given":"Susan L","non-dropping-particle":"","parse-names":false,"suffix":""},{"dropping-particle":"","family":"Li","given":"Zhenlong","non-dropping-particle":"","parse-names":false,"suffix":""}],"id":"ITEM-1","issued":{"date-parts":[["2020"]]},"title":"Bridging Twitter and Survey Data for Evacuation Assessment of Hurricane Matthew and Hurricane Irma","type":"article-journal"},"uris":["http://www.mendeley.com/documents/?uuid=a30c1491-c306-375b-bb52-003c2c7241f5"]}],"mendeley":{"formattedCitation":"(&lt;i&gt;21&lt;/i&gt;)","plainTextFormattedCitation":"(21)","previouslyFormattedCitation":"(&lt;i&gt;21&lt;/i&gt;)"},"properties":{"noteIndex":0},"schema":"https://github.com/citation-style-language/schema/raw/master/csl-citation.json"}</w:instrText>
      </w:r>
      <w:r w:rsidR="00460A26">
        <w:fldChar w:fldCharType="separate"/>
      </w:r>
      <w:r w:rsidR="009D3EDC" w:rsidRPr="009D3EDC">
        <w:rPr>
          <w:noProof/>
        </w:rPr>
        <w:t>(</w:t>
      </w:r>
      <w:r w:rsidR="009D3EDC" w:rsidRPr="009D3EDC">
        <w:rPr>
          <w:i/>
          <w:noProof/>
        </w:rPr>
        <w:t>21</w:t>
      </w:r>
      <w:r w:rsidR="009D3EDC" w:rsidRPr="009D3EDC">
        <w:rPr>
          <w:noProof/>
        </w:rPr>
        <w:t>)</w:t>
      </w:r>
      <w:r w:rsidR="00460A26">
        <w:fldChar w:fldCharType="end"/>
      </w:r>
      <w:r w:rsidR="00460A26">
        <w:t xml:space="preserve"> </w:t>
      </w:r>
      <w:r w:rsidR="007F0660">
        <w:t xml:space="preserve">and </w:t>
      </w:r>
      <w:r w:rsidR="00460A26">
        <w:t xml:space="preserve">traffic safety </w:t>
      </w:r>
      <w:r w:rsidR="00460A26">
        <w:fldChar w:fldCharType="begin" w:fldLock="1"/>
      </w:r>
      <w:r w:rsidR="00812451">
        <w:instrText>ADDIN CSL_CITATION {"citationItems":[{"id":"ITEM-1","itemData":{"DOI":"10.1016/j.aap.2015.08.009","ISSN":"00014575","PMID":"26342892","abstract":"Fatality Analysis Reporting System (FARS) and Generalized Estimates System (GES) data are most commonly used datasets to examine motor vehicle occupant injury severity in the United States (US). The FARS dataset focuses exclusively on fatal crashes, but provides detailed information on the continuum of fatality (a spectrum ranging from a death occurring within thirty days of the crash up to instantaneous death). While such data is beneficial for understanding fatal crashes, it inherently excludes crashes without fatalities. Hence, the exogenous factors identified as critical in contributing (or reducing) to fatality in the FARS data might possibly offer different effects on non-fatal crash severity levels when a truly random sample of crashes is considered. The GES data fills this gap by compiling data on a sample of roadway crashes involving all possible severity consequences providing a more representative sample of traffic crashes in the US. FARS data provides a continuous timeline of the fatal occurrences from the time to crash - as opposed to considering all fatalities to be the same. This allows an analysis of the survival time of victims before their death. The GES, on the other hand, does not offer such detailed information except identifying who died in the crash. The challenge in obtaining representative estimates for the crash population is the lack of readily available \"appropriate\" data that contains information available in both GES and FARS datasets. One way to address this issue is to replace the fatal crashes in the GES data with fatal crashes from FARS data thus augmenting the GES data sample with a very refined categorization of fatal crashes. The sample thus formed, if statistically valid, will provide us with a reasonable representation of the crash population. This paper focuses on developing a framework for pooling of data from FARS and GES data. The validation of the pooled sample against the original GES sample (unpooled sample) is carried out through two methods: (1) univariate sample comparison and (2) econometric model parameter estimate comparison. The validation exercise indicates that parameter estimates obtained using the pooled data model closely resemble the parameter estimates obtained using the unpooled data. After we confirm that the differences in model estimates obtained using the pooled and unpooled data are within an acceptable margin, we also simultaneously examine the whole spectrum of injury severity on an ele…","author":[{"dropping-particle":"","family":"Yasmin","given":"Shamsunnahar","non-dropping-particle":"","parse-names":false,"suffix":""},{"dropping-particle":"","family":"Eluru","given":"Naveen","non-dropping-particle":"","parse-names":false,"suffix":""},{"dropping-particle":"","family":"Pinjari","given":"Abdul R.","non-dropping-particle":"","parse-names":false,"suffix":""}],"container-title":"Accident Analysis and Prevention","id":"ITEM-1","issued":{"date-parts":[["2015","11","1"]]},"page":"112-127","publisher":"Pergamon","title":"Pooling data from fatality analysis reporting system (FARS) and generalized estimates system (GES) to explore the continuum of injury severity spectrum","type":"article-journal","volume":"84"},"uris":["http://www.mendeley.com/documents/?uuid=69cea4eb-287a-3213-b230-ebc5f2e06f05"]}],"mendeley":{"formattedCitation":"(&lt;i&gt;22&lt;/i&gt;)","plainTextFormattedCitation":"(22)","previouslyFormattedCitation":"(&lt;i&gt;22&lt;/i&gt;)"},"properties":{"noteIndex":0},"schema":"https://github.com/citation-style-language/schema/raw/master/csl-citation.json"}</w:instrText>
      </w:r>
      <w:r w:rsidR="00460A26">
        <w:fldChar w:fldCharType="separate"/>
      </w:r>
      <w:r w:rsidR="009D3EDC" w:rsidRPr="009D3EDC">
        <w:rPr>
          <w:noProof/>
        </w:rPr>
        <w:t>(</w:t>
      </w:r>
      <w:r w:rsidR="009D3EDC" w:rsidRPr="009D3EDC">
        <w:rPr>
          <w:i/>
          <w:noProof/>
        </w:rPr>
        <w:t>22</w:t>
      </w:r>
      <w:r w:rsidR="009D3EDC" w:rsidRPr="009D3EDC">
        <w:rPr>
          <w:noProof/>
        </w:rPr>
        <w:t>)</w:t>
      </w:r>
      <w:r w:rsidR="00460A26">
        <w:fldChar w:fldCharType="end"/>
      </w:r>
      <w:r w:rsidR="00460A26">
        <w:t xml:space="preserve">. </w:t>
      </w:r>
      <w:r w:rsidR="00B852CD">
        <w:t>With increasing share o</w:t>
      </w:r>
      <w:r w:rsidR="0009165D">
        <w:t>f</w:t>
      </w:r>
      <w:r w:rsidR="00B852CD">
        <w:t xml:space="preserve"> energy use for mobility (with EVs), it is important to examine </w:t>
      </w:r>
      <w:r w:rsidR="00862619">
        <w:t xml:space="preserve">how transportation mobility needs can influence energy use. </w:t>
      </w:r>
      <w:r w:rsidR="00E27BB6">
        <w:t xml:space="preserve">The current research recognizes the potential relationship between energy and transportation datasets and provides an algorithm to </w:t>
      </w:r>
      <w:r w:rsidR="00862619">
        <w:t>enhance</w:t>
      </w:r>
      <w:r w:rsidR="005E4B45">
        <w:t xml:space="preserve"> energy data modeling using information from transportation datasets. The proposed approach is general and can be applied across domains. </w:t>
      </w:r>
      <w:r w:rsidR="00272B0C">
        <w:rPr>
          <w:rFonts w:cs="Times New Roman"/>
          <w:lang w:val="en-US"/>
        </w:rPr>
        <w:t xml:space="preserve">With emerging </w:t>
      </w:r>
      <w:r w:rsidR="00460A26" w:rsidRPr="009A3776">
        <w:rPr>
          <w:rFonts w:cs="Times New Roman"/>
          <w:lang w:val="en-US"/>
        </w:rPr>
        <w:t xml:space="preserve">advances in information technology and communication devices </w:t>
      </w:r>
      <w:r w:rsidR="006D3725">
        <w:rPr>
          <w:rFonts w:cs="Times New Roman"/>
          <w:lang w:val="en-US"/>
        </w:rPr>
        <w:t xml:space="preserve">data from smartphone location </w:t>
      </w:r>
      <w:r w:rsidR="00460A26" w:rsidRPr="009A3776">
        <w:rPr>
          <w:rFonts w:cs="Times New Roman"/>
          <w:lang w:val="en-US"/>
        </w:rPr>
        <w:t>data</w:t>
      </w:r>
      <w:r w:rsidR="006D3725">
        <w:rPr>
          <w:rFonts w:cs="Times New Roman"/>
          <w:lang w:val="en-US"/>
        </w:rPr>
        <w:t xml:space="preserve"> or cell phone OD data</w:t>
      </w:r>
      <w:r w:rsidR="00460A26" w:rsidRPr="009A3776">
        <w:rPr>
          <w:rFonts w:cs="Times New Roman"/>
          <w:lang w:val="en-US"/>
        </w:rPr>
        <w:t xml:space="preserve"> </w:t>
      </w:r>
      <w:r w:rsidR="00F33FD8">
        <w:rPr>
          <w:rFonts w:cs="Times New Roman"/>
          <w:lang w:val="en-US"/>
        </w:rPr>
        <w:t xml:space="preserve">are ideal complements to traditional data by offering improved </w:t>
      </w:r>
      <w:r w:rsidR="00460A26" w:rsidRPr="009A3776">
        <w:rPr>
          <w:rFonts w:cs="Times New Roman"/>
          <w:lang w:val="en-US"/>
        </w:rPr>
        <w:t>spatiotemporal coverage</w:t>
      </w:r>
      <w:r w:rsidR="00460A26">
        <w:rPr>
          <w:rFonts w:cs="Times New Roman"/>
          <w:lang w:val="en-US"/>
        </w:rPr>
        <w:t xml:space="preserve"> </w:t>
      </w:r>
      <w:r w:rsidR="00460A26">
        <w:rPr>
          <w:rFonts w:cs="Times New Roman"/>
          <w:lang w:val="en-US"/>
        </w:rPr>
        <w:fldChar w:fldCharType="begin" w:fldLock="1"/>
      </w:r>
      <w:r w:rsidR="00812451">
        <w:rPr>
          <w:rFonts w:cs="Times New Roman"/>
          <w:lang w:val="en-US"/>
        </w:rPr>
        <w:instrText>ADDIN CSL_CITATION {"citationItems":[{"id":"ITEM-1","itemData":{"DOI":"10.1109/tbdata.2016.2631141","ISSN":"2332-7790","abstract":"In this study, with Singapore as an example, we demonstrate how we can use mobile phone call detail record (CDR) data, which contains millions of anonymous users, to extract individual mobility networks comparable to the activity-based approach. Such an approach is widely used in the transportation planning practice to develop micro urban simulations of individuals’ daily activities and their travel; yet it depends highly on detailed travel survey data to capture individual activity-based behavior. We provide an innovative data mining framework that synthesizes the state-of-the- art techniques in extracting mobility patterns from raw mobile phone CDR data, and design a pipeline that can translate the massive and passive mobile phone records into interpretable spatial human mobility patterns for urban and transportation planning. With growing ubiquitous mobile sensing, and shrinking labor and fiscal resources in the public sector globally, the method presented in this research can be used as a low-cost alternative for transportation and planning agencies to understand the human activity patterns in cities, and provide targeted plans for future sustainable development.","author":[{"dropping-particle":"","family":"Jiang","given":"Shan","non-dropping-particle":"","parse-names":false,"suffix":""},{"dropping-particle":"","family":"Ferreira","given":"Joseph","non-dropping-particle":"","parse-names":false,"suffix":""},{"dropping-particle":"","family":"Gonzalez","given":"Marta C.","non-dropping-particle":"","parse-names":false,"suffix":""}],"container-title":"IEEE Transactions on Big Data","id":"ITEM-1","issue":"2","issued":{"date-parts":[["2016","11","23"]]},"page":"208-219","publisher":"Institute of Electrical and Electronics Engineers (IEEE)","title":"Activity-Based Human Mobility Patterns Inferred from Mobile Phone Data: A Case Study of Singapore","type":"article-journal","volume":"3"},"uris":["http://www.mendeley.com/documents/?uuid=b086fe21-89c8-3c9b-ab57-ba35ddd74aa9"]},{"id":"ITEM-2","itemData":{"DOI":"10.1007/s11116-015-9597-y","ISSN":"15729435","abstract":"Advancements of information, communication and location-aware technologies have made collections of various passively generated datasets possible. These datasets provide new opportunities to understand human mobility patterns at a low cost and large scale. This study presents a home-based approach to understanding human mobility patterns based on a large mobile phone location dataset from Shenzhen, China. First, we estimate each individual’s “home” anchor point, and a modified standard distance (S&lt;inf&gt;D&lt;/inf&gt; &lt;sup&gt;′&lt;/sup&gt;) is proposed to measure the spread of each individual’s activity space centered at this “home” anchor point. We then derive aggregate mobility patterns at mobile phone tower level to describe the distance distribution of S&lt;inf&gt;D&lt;/inf&gt; &lt;sup&gt;′&lt;/sup&gt; for people who share the same “home” anchor point. A hierarchical clustering algorithm is performed and the spatial distributions of the derived clusters are analyzed to highlight areas with similar aggregate human mobility patterns. The results suggest that 43 % of the population sample travelled within a short distance (Formula Presented) during the 13-day study period while 23.9 % of them were associated with a large activity space (S&lt;inf&gt;D&lt;/inf&gt; &lt;sup&gt;′&lt;/sup&gt;≥ 5km). The geographical differences of people’s mobility patterns in Shenzhen are evident. Areas with a large proportion of people who have a small activity space mainly locate in the northern part of Shenzhen such as Baoan and Longgang districts. In the southern part where the economy is highly developed, the percentage of people with a larger activity space is higher in general. The findings could offer useful implications on policy and decision making. The proposed approach can also be used in other studies involving similar spatiotemporal datasets for travel behavior and policy analysis.","author":[{"dropping-particle":"","family":"Xu","given":"Yang","non-dropping-particle":"","parse-names":false,"suffix":""},{"dropping-particle":"","family":"Shaw","given":"Shih Lung","non-dropping-particle":"","parse-names":false,"suffix":""},{"dropping-particle":"","family":"Zhao","given":"Ziliang","non-dropping-particle":"","parse-names":false,"suffix":""},{"dropping-particle":"","family":"Yin","given":"Ling","non-dropping-particle":"","parse-names":false,"suffix":""},{"dropping-particle":"","family":"Fang","given":"Zhixiang","non-dropping-particle":"","parse-names":false,"suffix":""},{"dropping-particle":"","family":"Li","given":"Qingquan","non-dropping-particle":"","parse-names":false,"suffix":""}],"container-title":"Transportation","id":"ITEM-2","issue":"4","issued":{"date-parts":[["2015","3","26"]]},"page":"625-646","publisher":"Springer","title":"Understanding aggregate human mobility patterns using passive mobile phone location data: a home-based approach","type":"article-journal","volume":"42"},"uris":["http://www.mendeley.com/documents/?uuid=e850a7ff-61e6-3194-9d94-6353588c5caa"]}],"mendeley":{"formattedCitation":"(&lt;i&gt;23&lt;/i&gt;, &lt;i&gt;24&lt;/i&gt;)","plainTextFormattedCitation":"(23, 24)","previouslyFormattedCitation":"(&lt;i&gt;23&lt;/i&gt;, &lt;i&gt;24&lt;/i&gt;)"},"properties":{"noteIndex":0},"schema":"https://github.com/citation-style-language/schema/raw/master/csl-citation.json"}</w:instrText>
      </w:r>
      <w:r w:rsidR="00460A26">
        <w:rPr>
          <w:rFonts w:cs="Times New Roman"/>
          <w:lang w:val="en-US"/>
        </w:rPr>
        <w:fldChar w:fldCharType="separate"/>
      </w:r>
      <w:r w:rsidR="009D3EDC" w:rsidRPr="009D3EDC">
        <w:rPr>
          <w:rFonts w:cs="Times New Roman"/>
          <w:noProof/>
          <w:lang w:val="en-US"/>
        </w:rPr>
        <w:t>(</w:t>
      </w:r>
      <w:r w:rsidR="009D3EDC" w:rsidRPr="009D3EDC">
        <w:rPr>
          <w:rFonts w:cs="Times New Roman"/>
          <w:i/>
          <w:noProof/>
          <w:lang w:val="en-US"/>
        </w:rPr>
        <w:t>23</w:t>
      </w:r>
      <w:r w:rsidR="009D3EDC" w:rsidRPr="009D3EDC">
        <w:rPr>
          <w:rFonts w:cs="Times New Roman"/>
          <w:noProof/>
          <w:lang w:val="en-US"/>
        </w:rPr>
        <w:t xml:space="preserve">, </w:t>
      </w:r>
      <w:r w:rsidR="009D3EDC" w:rsidRPr="009D3EDC">
        <w:rPr>
          <w:rFonts w:cs="Times New Roman"/>
          <w:i/>
          <w:noProof/>
          <w:lang w:val="en-US"/>
        </w:rPr>
        <w:t>24</w:t>
      </w:r>
      <w:r w:rsidR="009D3EDC" w:rsidRPr="009D3EDC">
        <w:rPr>
          <w:rFonts w:cs="Times New Roman"/>
          <w:noProof/>
          <w:lang w:val="en-US"/>
        </w:rPr>
        <w:t>)</w:t>
      </w:r>
      <w:r w:rsidR="00460A26">
        <w:rPr>
          <w:rFonts w:cs="Times New Roman"/>
          <w:lang w:val="en-US"/>
        </w:rPr>
        <w:fldChar w:fldCharType="end"/>
      </w:r>
      <w:r w:rsidR="00460A26" w:rsidRPr="009A3776">
        <w:rPr>
          <w:rFonts w:cs="Times New Roman"/>
          <w:lang w:val="en-US"/>
        </w:rPr>
        <w:t>.</w:t>
      </w:r>
      <w:r w:rsidR="00460A26" w:rsidRPr="00123E14">
        <w:rPr>
          <w:rFonts w:cs="Times New Roman"/>
          <w:lang w:val="en-US"/>
        </w:rPr>
        <w:t xml:space="preserve"> </w:t>
      </w:r>
      <w:r w:rsidR="00F33FD8">
        <w:rPr>
          <w:rFonts w:cs="Times New Roman"/>
          <w:lang w:val="en-US"/>
        </w:rPr>
        <w:t xml:space="preserve">At the same time, these data </w:t>
      </w:r>
      <w:r w:rsidR="00024883">
        <w:rPr>
          <w:rFonts w:cs="Times New Roman"/>
          <w:lang w:val="en-US"/>
        </w:rPr>
        <w:t>are</w:t>
      </w:r>
      <w:r w:rsidR="00F33FD8">
        <w:rPr>
          <w:rFonts w:cs="Times New Roman"/>
          <w:lang w:val="en-US"/>
        </w:rPr>
        <w:t xml:space="preserve"> not usually </w:t>
      </w:r>
      <w:r w:rsidR="00024883">
        <w:rPr>
          <w:rFonts w:cs="Times New Roman"/>
          <w:lang w:val="en-US"/>
        </w:rPr>
        <w:t xml:space="preserve">available with person or household level characteristics. Thus, adoption of these data at a decision maker level would require an effective algorithm that can fuse </w:t>
      </w:r>
      <w:r w:rsidR="004C169C">
        <w:rPr>
          <w:rFonts w:cs="Times New Roman"/>
          <w:lang w:val="en-US"/>
        </w:rPr>
        <w:t>this information</w:t>
      </w:r>
      <w:r w:rsidR="00024883">
        <w:rPr>
          <w:rFonts w:cs="Times New Roman"/>
          <w:lang w:val="en-US"/>
        </w:rPr>
        <w:t xml:space="preserve"> with travel survey data. </w:t>
      </w:r>
    </w:p>
    <w:p w14:paraId="4B9D42DA" w14:textId="77777777" w:rsidR="00207DB2" w:rsidRDefault="00207DB2" w:rsidP="00C5763A">
      <w:pPr>
        <w:ind w:firstLine="720"/>
      </w:pPr>
    </w:p>
    <w:p w14:paraId="4E5CF629" w14:textId="22D13634" w:rsidR="00BF0533" w:rsidRDefault="00ED2BCB" w:rsidP="000B26F3">
      <w:pPr>
        <w:pStyle w:val="Heading2"/>
      </w:pPr>
      <w:r>
        <w:lastRenderedPageBreak/>
        <w:t xml:space="preserve">1.2 </w:t>
      </w:r>
      <w:r w:rsidR="00BF0533">
        <w:t>Research Approach</w:t>
      </w:r>
    </w:p>
    <w:p w14:paraId="6DAF498F" w14:textId="583DCBE6" w:rsidR="00556D97" w:rsidRDefault="00654CA4" w:rsidP="00556D97">
      <w:pPr>
        <w:rPr>
          <w:rFonts w:cs="Times New Roman"/>
          <w:lang w:val="en-US"/>
        </w:rPr>
      </w:pPr>
      <w:bookmarkStart w:id="4" w:name="_Hlk78652586"/>
      <w:r>
        <w:t xml:space="preserve">The data fusion algorithm developed in the current research is targeted toward datasets that contain information that is not uniquely matchable. </w:t>
      </w:r>
      <w:bookmarkEnd w:id="4"/>
      <w:r w:rsidR="00194D34">
        <w:t>Con</w:t>
      </w:r>
      <w:r w:rsidR="005B252C">
        <w:t xml:space="preserve">sider </w:t>
      </w:r>
      <w:r w:rsidR="009945F8">
        <w:t xml:space="preserve">data from </w:t>
      </w:r>
      <w:r w:rsidR="00D0225C">
        <w:t xml:space="preserve">a </w:t>
      </w:r>
      <w:bookmarkStart w:id="5" w:name="_Hlk78652999"/>
      <w:r w:rsidR="009945F8" w:rsidRPr="009A3776">
        <w:rPr>
          <w:rFonts w:cs="Times New Roman"/>
          <w:lang w:val="en-US"/>
        </w:rPr>
        <w:t xml:space="preserve">Residential Energy Consumption Survey </w:t>
      </w:r>
      <w:bookmarkEnd w:id="5"/>
      <w:r w:rsidR="009945F8" w:rsidRPr="009A3776">
        <w:rPr>
          <w:rFonts w:cs="Times New Roman"/>
          <w:lang w:val="en-US"/>
        </w:rPr>
        <w:t>(RECS)</w:t>
      </w:r>
      <w:r w:rsidR="0004576D">
        <w:rPr>
          <w:rFonts w:cs="Times New Roman"/>
          <w:lang w:val="en-US"/>
        </w:rPr>
        <w:t xml:space="preserve"> data compiled</w:t>
      </w:r>
      <w:r w:rsidR="00D0225C">
        <w:rPr>
          <w:rFonts w:cs="Times New Roman"/>
          <w:lang w:val="en-US"/>
        </w:rPr>
        <w:t xml:space="preserve"> by </w:t>
      </w:r>
      <w:r w:rsidR="00642912">
        <w:rPr>
          <w:rFonts w:cs="Times New Roman"/>
          <w:lang w:val="en-US"/>
        </w:rPr>
        <w:t xml:space="preserve">US Energy Information Administration (EIA) </w:t>
      </w:r>
      <w:r w:rsidR="009945F8">
        <w:rPr>
          <w:rFonts w:cs="Times New Roman"/>
          <w:lang w:val="en-US"/>
        </w:rPr>
        <w:t xml:space="preserve">that provides energy use information </w:t>
      </w:r>
      <w:r w:rsidR="001274F3">
        <w:rPr>
          <w:rFonts w:cs="Times New Roman"/>
          <w:lang w:val="en-US"/>
        </w:rPr>
        <w:t xml:space="preserve">by fuel type (such as </w:t>
      </w:r>
      <w:r w:rsidR="009945F8">
        <w:rPr>
          <w:rFonts w:cs="Times New Roman"/>
          <w:lang w:val="en-US"/>
        </w:rPr>
        <w:t>electricity</w:t>
      </w:r>
      <w:r w:rsidR="005F439A">
        <w:rPr>
          <w:rFonts w:cs="Times New Roman"/>
          <w:lang w:val="en-US"/>
        </w:rPr>
        <w:t xml:space="preserve"> and </w:t>
      </w:r>
      <w:r w:rsidR="009945F8">
        <w:rPr>
          <w:rFonts w:cs="Times New Roman"/>
          <w:lang w:val="en-US"/>
        </w:rPr>
        <w:t>natural gas</w:t>
      </w:r>
      <w:r w:rsidR="001274F3">
        <w:rPr>
          <w:rFonts w:cs="Times New Roman"/>
          <w:lang w:val="en-US"/>
        </w:rPr>
        <w:t>)</w:t>
      </w:r>
      <w:r w:rsidR="005F439A">
        <w:rPr>
          <w:rFonts w:cs="Times New Roman"/>
          <w:lang w:val="en-US"/>
        </w:rPr>
        <w:t xml:space="preserve"> </w:t>
      </w:r>
      <w:r w:rsidR="00642912">
        <w:rPr>
          <w:rFonts w:cs="Times New Roman"/>
          <w:lang w:val="en-US"/>
        </w:rPr>
        <w:t xml:space="preserve">at </w:t>
      </w:r>
      <w:r w:rsidR="005F439A">
        <w:rPr>
          <w:rFonts w:cs="Times New Roman"/>
          <w:lang w:val="en-US"/>
        </w:rPr>
        <w:t>a residential unit</w:t>
      </w:r>
      <w:r w:rsidR="00F42480">
        <w:rPr>
          <w:rFonts w:cs="Times New Roman"/>
          <w:lang w:val="en-US"/>
        </w:rPr>
        <w:t xml:space="preserve"> </w:t>
      </w:r>
      <w:r w:rsidR="00642912">
        <w:rPr>
          <w:rFonts w:cs="Times New Roman"/>
          <w:lang w:val="en-US"/>
        </w:rPr>
        <w:t xml:space="preserve">resolution </w:t>
      </w:r>
      <w:r w:rsidR="00F42480">
        <w:rPr>
          <w:rFonts w:cs="Times New Roman"/>
          <w:lang w:val="en-US"/>
        </w:rPr>
        <w:t xml:space="preserve">along with </w:t>
      </w:r>
      <w:bookmarkStart w:id="6" w:name="_Hlk78653024"/>
      <w:r w:rsidR="00F42480">
        <w:rPr>
          <w:rFonts w:cs="Times New Roman"/>
          <w:lang w:val="en-US"/>
        </w:rPr>
        <w:t>household level</w:t>
      </w:r>
      <w:bookmarkEnd w:id="6"/>
      <w:r w:rsidR="00F42480">
        <w:rPr>
          <w:rFonts w:cs="Times New Roman"/>
          <w:lang w:val="en-US"/>
        </w:rPr>
        <w:t xml:space="preserve"> information</w:t>
      </w:r>
      <w:r w:rsidR="005F439A">
        <w:rPr>
          <w:rFonts w:cs="Times New Roman"/>
          <w:lang w:val="en-US"/>
        </w:rPr>
        <w:t xml:space="preserve">. </w:t>
      </w:r>
      <w:r w:rsidR="001274F3">
        <w:rPr>
          <w:rFonts w:cs="Times New Roman"/>
          <w:lang w:val="en-US"/>
        </w:rPr>
        <w:t>To understand the</w:t>
      </w:r>
      <w:r w:rsidR="00C0694E">
        <w:rPr>
          <w:rFonts w:cs="Times New Roman"/>
          <w:lang w:val="en-US"/>
        </w:rPr>
        <w:t xml:space="preserve"> determinants of energy use by </w:t>
      </w:r>
      <w:r w:rsidR="001274F3">
        <w:rPr>
          <w:rFonts w:cs="Times New Roman"/>
          <w:lang w:val="en-US"/>
        </w:rPr>
        <w:t xml:space="preserve">fuel type, a linear regression </w:t>
      </w:r>
      <w:r w:rsidR="00EF6F62">
        <w:rPr>
          <w:rFonts w:cs="Times New Roman"/>
          <w:lang w:val="en-US"/>
        </w:rPr>
        <w:t xml:space="preserve">model </w:t>
      </w:r>
      <w:r w:rsidR="001274F3">
        <w:rPr>
          <w:rFonts w:cs="Times New Roman"/>
          <w:lang w:val="en-US"/>
        </w:rPr>
        <w:t xml:space="preserve">can be </w:t>
      </w:r>
      <w:r w:rsidR="00AF4A3B">
        <w:rPr>
          <w:rFonts w:cs="Times New Roman"/>
          <w:lang w:val="en-US"/>
        </w:rPr>
        <w:t>estimated</w:t>
      </w:r>
      <w:r w:rsidR="00642912">
        <w:rPr>
          <w:rFonts w:cs="Times New Roman"/>
          <w:lang w:val="en-US"/>
        </w:rPr>
        <w:t xml:space="preserve"> using the </w:t>
      </w:r>
      <w:r w:rsidR="00F55F17">
        <w:rPr>
          <w:rFonts w:cs="Times New Roman"/>
          <w:lang w:val="en-US"/>
        </w:rPr>
        <w:t>set of independent variables</w:t>
      </w:r>
      <w:r w:rsidR="00642912">
        <w:rPr>
          <w:rFonts w:cs="Times New Roman"/>
          <w:lang w:val="en-US"/>
        </w:rPr>
        <w:t xml:space="preserve"> available</w:t>
      </w:r>
      <w:r w:rsidR="009E777A">
        <w:rPr>
          <w:rFonts w:cs="Times New Roman"/>
          <w:lang w:val="en-US"/>
        </w:rPr>
        <w:t xml:space="preserve"> </w:t>
      </w:r>
      <w:r w:rsidR="00E33A32">
        <w:rPr>
          <w:rFonts w:cs="Times New Roman"/>
          <w:lang w:val="en-US"/>
        </w:rPr>
        <w:t xml:space="preserve">in the RECS dataset </w:t>
      </w:r>
      <w:r w:rsidR="001D31A8">
        <w:rPr>
          <w:rFonts w:cs="Times New Roman"/>
          <w:lang w:val="en-US"/>
        </w:rPr>
        <w:t xml:space="preserve">including household level characteristics: housing type, </w:t>
      </w:r>
      <w:r w:rsidR="00D1239A">
        <w:rPr>
          <w:rFonts w:cs="Times New Roman"/>
          <w:lang w:val="en-US"/>
        </w:rPr>
        <w:t xml:space="preserve">housing characteristics such as </w:t>
      </w:r>
      <w:r w:rsidR="001D31A8">
        <w:rPr>
          <w:rFonts w:cs="Times New Roman"/>
          <w:lang w:val="en-US"/>
        </w:rPr>
        <w:t xml:space="preserve">number of stories and bedrooms </w:t>
      </w:r>
      <w:r w:rsidR="001D31A8">
        <w:rPr>
          <w:rFonts w:cs="Times New Roman"/>
          <w:lang w:val="en-US"/>
        </w:rPr>
        <w:fldChar w:fldCharType="begin" w:fldLock="1"/>
      </w:r>
      <w:r w:rsidR="00812451">
        <w:rPr>
          <w:rFonts w:cs="Times New Roman"/>
          <w:lang w:val="en-US"/>
        </w:rPr>
        <w:instrText>ADDIN CSL_CITATION {"citationItems":[{"id":"ITEM-1","itemData":{"DOI":"10.1016/j.enbuild.2012.10.016","ISSN":"03787788","abstract":"This research aimed to define the influence of lighting and appliance use on electricity consumption in Dutch dwellings, and identify determinants of use. Data were collected via questionnaires completed by 323 dwellings in Winter 2008, in the Netherlands. Three regression models were built using direct (number of lighting and appliances, duration of use) and indirect determinants (presence, dwelling-household-economic-system (DHES) characteristics); one based on the duration of appliance use and presence, one on the number of appliances and DHES characteristics, and one on the total duration of appliance use and DHES characteristics. In the first model, total duration of appliance use explained 37%, presence in rooms 14%, and combined model 37% of variance in electricity consumption. Study/hobby rooms emerged important in this model, whereas living room and kitchen did not. In the second model, number of appliances explained 21% of the variance in electricity consumption alone and 42% combined with dwelling/household characteristics. Household size, dwelling type, use of dryer, washing cycles, and number of showers appeared as significant determinants, of which the last revealing a comfort related dimension of electricity use. The third model of total duration of appliance use and dwelling/household characteristics explained 58% of the variance in electricity consumption. © 2012 Elsevier B.V. All rights reserved.","author":[{"dropping-particle":"","family":"Bedir","given":"Merve","non-dropping-particle":"","parse-names":false,"suffix":""},{"dropping-particle":"","family":"Hasselaar","given":"Evert","non-dropping-particle":"","parse-names":false,"suffix":""},{"dropping-particle":"","family":"Itard","given":"Laure","non-dropping-particle":"","parse-names":false,"suffix":""}],"container-title":"Energy and Buildings","id":"ITEM-1","issued":{"date-parts":[["2013"]]},"page":"194-207","title":"Determinants of electricity consumption in Dutch dwellings","type":"article-journal","volume":"58"},"uris":["http://www.mendeley.com/documents/?uuid=92dbdf76-63d2-3ca6-a4fe-2cfd020c3c5a"]},{"id":"ITEM-2","itemData":{"DOI":"10.1016/j.energy.2015.04.101","ISSN":"03605442","abstract":"This paper employs quantile regression to analyze the determinants of household electricity consumption in Taiwan over the period 1981-2011. Our results show that the effects of demographic, socioeconomic, and household dwelling characteristics on household electricity consumption may differ across quantiles and may change over time. We found that household income and household size were significant in all quantiles for each year. We identify the characteristics of high-electricity-consuming households. Households with higher income, larger household size, and more elderly members consumed more electricity. In terms of dwelling attributes, larger housing areas, homes with more appliances, and owner-occupied, business-used, and multi-floor houses contributed to higher household electricity consumption. Strategies for reducing electricity consumption should focus on specific groups that tend to exhibit higher electricity use. However, we also found that the low-income and small-size households may have higher electricity consumption on a per capita basis. Thus, as household size decreased, the increase of per capita electricity demand driven by the change of household size should be a matter of concern.","author":[{"dropping-particle":"","family":"Huang","given":"Wen Hsiu","non-dropping-particle":"","parse-names":false,"suffix":""}],"container-title":"Energy","id":"ITEM-2","issued":{"date-parts":[["2015","7","1"]]},"page":"120-133","publisher":"Elsevier Ltd","title":"The determinants of household electricity consumption in Taiwan: Evidence from quantile regression","type":"article-journal","volume":"87"},"uris":["http://www.mendeley.com/documents/?uuid=b2479f11-d89f-3fee-8bf0-c656674c88d7"]}],"mendeley":{"formattedCitation":"(&lt;i&gt;25&lt;/i&gt;, &lt;i&gt;26&lt;/i&gt;)","plainTextFormattedCitation":"(25, 26)","previouslyFormattedCitation":"(&lt;i&gt;25&lt;/i&gt;, &lt;i&gt;26&lt;/i&gt;)"},"properties":{"noteIndex":0},"schema":"https://github.com/citation-style-language/schema/raw/master/csl-citation.json"}</w:instrText>
      </w:r>
      <w:r w:rsidR="001D31A8">
        <w:rPr>
          <w:rFonts w:cs="Times New Roman"/>
          <w:lang w:val="en-US"/>
        </w:rPr>
        <w:fldChar w:fldCharType="separate"/>
      </w:r>
      <w:r w:rsidR="009D3EDC" w:rsidRPr="009D3EDC">
        <w:rPr>
          <w:rFonts w:cs="Times New Roman"/>
          <w:noProof/>
          <w:lang w:val="en-US"/>
        </w:rPr>
        <w:t>(</w:t>
      </w:r>
      <w:r w:rsidR="009D3EDC" w:rsidRPr="009D3EDC">
        <w:rPr>
          <w:rFonts w:cs="Times New Roman"/>
          <w:i/>
          <w:noProof/>
          <w:lang w:val="en-US"/>
        </w:rPr>
        <w:t>25</w:t>
      </w:r>
      <w:r w:rsidR="009D3EDC" w:rsidRPr="009D3EDC">
        <w:rPr>
          <w:rFonts w:cs="Times New Roman"/>
          <w:noProof/>
          <w:lang w:val="en-US"/>
        </w:rPr>
        <w:t xml:space="preserve">, </w:t>
      </w:r>
      <w:r w:rsidR="009D3EDC" w:rsidRPr="009D3EDC">
        <w:rPr>
          <w:rFonts w:cs="Times New Roman"/>
          <w:i/>
          <w:noProof/>
          <w:lang w:val="en-US"/>
        </w:rPr>
        <w:t>26</w:t>
      </w:r>
      <w:r w:rsidR="009D3EDC" w:rsidRPr="009D3EDC">
        <w:rPr>
          <w:rFonts w:cs="Times New Roman"/>
          <w:noProof/>
          <w:lang w:val="en-US"/>
        </w:rPr>
        <w:t>)</w:t>
      </w:r>
      <w:r w:rsidR="001D31A8">
        <w:rPr>
          <w:rFonts w:cs="Times New Roman"/>
          <w:lang w:val="en-US"/>
        </w:rPr>
        <w:fldChar w:fldCharType="end"/>
      </w:r>
      <w:r w:rsidR="001D31A8">
        <w:rPr>
          <w:rFonts w:cs="Times New Roman"/>
          <w:lang w:val="en-US"/>
        </w:rPr>
        <w:t>; location characteristics</w:t>
      </w:r>
      <w:r w:rsidR="00F55295">
        <w:rPr>
          <w:rFonts w:cs="Times New Roman"/>
          <w:lang w:val="en-US"/>
        </w:rPr>
        <w:t>:</w:t>
      </w:r>
      <w:r w:rsidR="00D1239A">
        <w:rPr>
          <w:rFonts w:cs="Times New Roman"/>
          <w:lang w:val="en-US"/>
        </w:rPr>
        <w:t xml:space="preserve"> </w:t>
      </w:r>
      <w:r w:rsidR="00F55295">
        <w:rPr>
          <w:rFonts w:cs="Times New Roman"/>
          <w:lang w:val="en-US"/>
        </w:rPr>
        <w:t xml:space="preserve">census region, division, </w:t>
      </w:r>
      <w:r w:rsidR="00D1239A">
        <w:rPr>
          <w:rFonts w:cs="Times New Roman"/>
          <w:lang w:val="en-US"/>
        </w:rPr>
        <w:t xml:space="preserve">located in </w:t>
      </w:r>
      <w:r w:rsidR="00F55295">
        <w:rPr>
          <w:rFonts w:cs="Times New Roman"/>
          <w:lang w:val="en-US"/>
        </w:rPr>
        <w:t>urban/rural area</w:t>
      </w:r>
      <w:r w:rsidR="001D31A8">
        <w:rPr>
          <w:rFonts w:cs="Times New Roman"/>
          <w:lang w:val="en-US"/>
        </w:rPr>
        <w:t xml:space="preserve"> </w:t>
      </w:r>
      <w:r w:rsidR="007307BA">
        <w:rPr>
          <w:rFonts w:cs="Times New Roman"/>
          <w:lang w:val="en-US"/>
        </w:rPr>
        <w:fldChar w:fldCharType="begin" w:fldLock="1"/>
      </w:r>
      <w:r w:rsidR="00812451">
        <w:rPr>
          <w:rFonts w:cs="Times New Roman"/>
          <w:lang w:val="en-US"/>
        </w:rPr>
        <w:instrText>ADDIN CSL_CITATION {"citationItems":[{"id":"ITEM-1","itemData":{"DOI":"10.1016/j.eneco.2016.05.006","ISSN":"01409883","abstract":"Analysing household energy-saving behaviours is crucial to improve energy consumption predictions and energy policy making. How should we quantitatively measure them? What are their determinants? This study explores the main factors influencing residential energy-saving behaviours based on a bottom-up multivariate statistical approach using data from the recent French PHEBUS survey. Firstly, we assess energy-saving behaviours on a one-dimension scale using IRT. Secondly, we use linear regression with an innovative variable selection method via adaptive lasso to tease out the effects of both macro and micro factors on the behavioural score. The results highlight the impact of five main attributes incentivizing energy-saving behaviours based on cross-variable analyses: energy price, household income, education level, age of head of household and dwelling energy performance. In addition, our results suggest that the analysis of the inverted U-shape impact of age enables the expansion of the energy consumption life cycle theory to energy-saving behaviours.","author":[{"dropping-particle":"","family":"Belaïd","given":"Fateh","non-dropping-particle":"","parse-names":false,"suffix":""},{"dropping-particle":"","family":"Garcia","given":"Thomas","non-dropping-particle":"","parse-names":false,"suffix":""}],"container-title":"Energy Economics","id":"ITEM-1","issued":{"date-parts":[["2016","6","1"]]},"page":"204-214","publisher":"North-Holland","title":"Understanding the spectrum of residential energy-saving behaviours: French evidence using disaggregated data","type":"article-journal","volume":"57"},"uris":["http://www.mendeley.com/documents/?uuid=7d6e8d26-02c9-343e-821f-282a861ce60c"]},{"id":"ITEM-2","itemData":{"DOI":"10.1016/j.enpol.2011.02.047","ISSN":"03014215","abstract":"An econometric study of the Portuguese residential electricity consumption is presented, with a focus on the influence of dwelling characteristics on consumption. The relationship between the dwelling and household characteristics on per capita residential electricity consumption is estimated at two different scales, involving two distinct databases: the first includes data at the municipality level for 2001, the second is the most recent Portuguese consumer expenditure survey that was collected in 2005 and 2006. The results of the analysis at both scales are consistent and indicate that household and dwelling characteristics have a significant influence on residential electricity consumption. Our results show that in Portugal the direct effect of income on electricity consumption is low and becomes smaller when more relevant control variables are included in the analysis. Future demand of electricity in Portugal will be significantly influenced by trends in socioeconomic factors as well as changes in the building stock. These trends should be taken in consideration in the formulation of policy measures to reduce electricity consumption. © 2011 Elsevier Ltd.","author":[{"dropping-particle":"","family":"Wiesmann","given":"Daniel","non-dropping-particle":"","parse-names":false,"suffix":""},{"dropping-particle":"","family":"Lima Azevedo","given":"Inĉs","non-dropping-particle":"","parse-names":false,"suffix":""},{"dropping-particle":"","family":"Ferrão","given":"Paulo","non-dropping-particle":"","parse-names":false,"suffix":""},{"dropping-particle":"","family":"Fernández","given":"John E.","non-dropping-particle":"","parse-names":false,"suffix":""}],"container-title":"Energy Policy","id":"ITEM-2","issue":"5","issued":{"date-parts":[["2011","5","1"]]},"page":"2772-2779","publisher":"Elsevier","title":"Residential electricity consumption in Portugal: Findings from top-down and bottom-up models","type":"article-journal","volume":"39"},"uris":["http://www.mendeley.com/documents/?uuid=20f220b4-1fb3-32b0-a81c-a5a95a87f2c5"]}],"mendeley":{"formattedCitation":"(&lt;i&gt;27&lt;/i&gt;, &lt;i&gt;28&lt;/i&gt;)","plainTextFormattedCitation":"(27, 28)","previouslyFormattedCitation":"(&lt;i&gt;27&lt;/i&gt;, &lt;i&gt;28&lt;/i&gt;)"},"properties":{"noteIndex":0},"schema":"https://github.com/citation-style-language/schema/raw/master/csl-citation.json"}</w:instrText>
      </w:r>
      <w:r w:rsidR="007307BA">
        <w:rPr>
          <w:rFonts w:cs="Times New Roman"/>
          <w:lang w:val="en-US"/>
        </w:rPr>
        <w:fldChar w:fldCharType="separate"/>
      </w:r>
      <w:r w:rsidR="009D3EDC" w:rsidRPr="009D3EDC">
        <w:rPr>
          <w:rFonts w:cs="Times New Roman"/>
          <w:noProof/>
          <w:lang w:val="en-US"/>
        </w:rPr>
        <w:t>(</w:t>
      </w:r>
      <w:r w:rsidR="009D3EDC" w:rsidRPr="009D3EDC">
        <w:rPr>
          <w:rFonts w:cs="Times New Roman"/>
          <w:i/>
          <w:noProof/>
          <w:lang w:val="en-US"/>
        </w:rPr>
        <w:t>27</w:t>
      </w:r>
      <w:r w:rsidR="009D3EDC" w:rsidRPr="009D3EDC">
        <w:rPr>
          <w:rFonts w:cs="Times New Roman"/>
          <w:noProof/>
          <w:lang w:val="en-US"/>
        </w:rPr>
        <w:t xml:space="preserve">, </w:t>
      </w:r>
      <w:r w:rsidR="009D3EDC" w:rsidRPr="009D3EDC">
        <w:rPr>
          <w:rFonts w:cs="Times New Roman"/>
          <w:i/>
          <w:noProof/>
          <w:lang w:val="en-US"/>
        </w:rPr>
        <w:t>28</w:t>
      </w:r>
      <w:r w:rsidR="009D3EDC" w:rsidRPr="009D3EDC">
        <w:rPr>
          <w:rFonts w:cs="Times New Roman"/>
          <w:noProof/>
          <w:lang w:val="en-US"/>
        </w:rPr>
        <w:t>)</w:t>
      </w:r>
      <w:r w:rsidR="007307BA">
        <w:rPr>
          <w:rFonts w:cs="Times New Roman"/>
          <w:lang w:val="en-US"/>
        </w:rPr>
        <w:fldChar w:fldCharType="end"/>
      </w:r>
      <w:r w:rsidR="00103B56">
        <w:rPr>
          <w:rFonts w:cs="Times New Roman"/>
          <w:lang w:val="en-US"/>
        </w:rPr>
        <w:t xml:space="preserve">; </w:t>
      </w:r>
      <w:r w:rsidR="000D649B">
        <w:rPr>
          <w:rFonts w:cs="Times New Roman"/>
          <w:lang w:val="en-US"/>
        </w:rPr>
        <w:t xml:space="preserve">and </w:t>
      </w:r>
      <w:r w:rsidR="00103B56">
        <w:rPr>
          <w:rFonts w:cs="Times New Roman"/>
          <w:lang w:val="en-US"/>
        </w:rPr>
        <w:t>climatic characteristics</w:t>
      </w:r>
      <w:r w:rsidR="000772AA">
        <w:rPr>
          <w:rFonts w:cs="Times New Roman"/>
          <w:lang w:val="en-US"/>
        </w:rPr>
        <w:t>: number of cooling and heating days</w:t>
      </w:r>
      <w:r w:rsidR="00103B56">
        <w:rPr>
          <w:rFonts w:cs="Times New Roman"/>
          <w:lang w:val="en-US"/>
        </w:rPr>
        <w:t xml:space="preserve"> </w:t>
      </w:r>
      <w:r w:rsidR="002C5E22">
        <w:rPr>
          <w:rFonts w:cs="Times New Roman"/>
          <w:lang w:val="en-US"/>
        </w:rPr>
        <w:fldChar w:fldCharType="begin" w:fldLock="1"/>
      </w:r>
      <w:r w:rsidR="008A05F1">
        <w:rPr>
          <w:rFonts w:cs="Times New Roman"/>
          <w:lang w:val="en-US"/>
        </w:rPr>
        <w:instrText>ADDIN CSL_CITATION {"citationItems":[{"id":"ITEM-1","itemData":{"abstract":"This paper provides a summary of research to estimate the household price elasticities for natural gas, electricity, and water in California. First, we introduce two problems that complicate existing estimate of the price elasticity of demand for these household goods: block rate pricing and joint consumption. Next we summarize estimates of the price elasticity of demand in the literature. These estimates vary widely across regions, time periods, and statistical techniques, making it difficult to use these estimates for policy purposes. We address this problem in the third section of the paper, and present statistical methods for estimating price elasticity in the case of block rates and joint consumption. In section four, we present preliminary estimates of the price elasticity of demand for natural gas, electricity, and water in California, using these statistical methods. The paper concludes with a short discussion of the results, and their possible policy implications. The regression estimates reported in this paper suggest that the price elasticity of demand for natural gas, electricity, and water is lower than is commonly reported in the literature. Coupled with global warming and rising electricity and water use, our price elasticity findings suggest a need for strong non-price and price conservation measures to effectively manage these resources.","author":[{"dropping-particle":"","family":"Dale","given":"L.","non-dropping-particle":"","parse-names":false,"suffix":""},{"dropping-particle":"","family":"Fujita","given":"S.","non-dropping-particle":"","parse-names":false,"suffix":""},{"dropping-particle":"","family":"Vasquez","given":"F.","non-dropping-particle":"","parse-names":false,"suffix":""},{"dropping-particle":"","family":"Moezzi","given":"M.","non-dropping-particle":"","parse-names":false,"suffix":""},{"dropping-particle":"","family":"Hanemann","given":"M.","non-dropping-particle":"","parse-names":false,"suffix":""},{"dropping-particle":"","family":"Guerrero","given":"S.","non-dropping-particle":"","parse-names":false,"suffix":""},{"dropping-particle":"","family":"Lutzenhiser","given":"L.","non-dropping-particle":"","parse-names":false,"suffix":""}],"container-title":"Public Interest Energy Research (PIER) Program Reports CEC-500-2009-032-D, California Energy Commission, Sacramento, CA","id":"ITEM-1","issued":{"date-parts":[["2009"]]},"title":"Price Impact on the Demand for Water and Energy in California Residences","type":"article-journal"},"uris":["http://www.mendeley.com/documents/?uuid=9ddc3111-8945-3113-a55d-4787d486067c"]},{"id":"ITEM-2","itemData":{"DOI":"10.1016/j.jeem.2007.10.001","ISSN":"00950696","abstract":"Using cross-sectional data, this paper estimates a national energy model of fuel choice by both households and firms. Consumers in warmer locations rely relatively more heavily on electricity rather than natural gas, oil, and other fuels. They also use more energy. Climate change will likely increase electricity consumption on cooling but reduce the use of other fuels for heating. On net, American energy expenditures will likely increase, resulting in welfare damages that increase as temperatures rise. For example, if the US warms by 5 °C by 2100, we predict annual welfare losses of $57 billion. © 2007 Elsevier Inc. All rights reserved.","author":[{"dropping-particle":"","family":"Mansur","given":"Erin T.","non-dropping-particle":"","parse-names":false,"suffix":""},{"dropping-particle":"","family":"Mendelsohn","given":"Robert","non-dropping-particle":"","parse-names":false,"suffix":""},{"dropping-particle":"","family":"Morrison","given":"Wendy","non-dropping-particle":"","parse-names":false,"suffix":""}],"container-title":"Journal of Environmental Economics and Management","id":"ITEM-2","issue":"2","issued":{"date-parts":[["2008","3","1"]]},"page":"175-193","publisher":"Academic Press","title":"Climate change adaptation: A study of fuel choice and consumption in the US energy sector","type":"article-journal","volume":"55"},"uris":["http://www.mendeley.com/documents/?uuid=c90dc6b8-4f55-3075-83c9-b4957b252557"]},{"id":"ITEM-3","itemData":{"DOI":"10.1016/j.enbuild.2021.110934","ISSN":"03787788","abstract":"Residential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Buildings","id":"ITEM-3","issued":{"date-parts":[["2021"]]},"title":"An examination of factors affecting residential energy consumption using a multiple discrete continuous approach","type":"article-journal","volume":"240"},"uris":["http://www.mendeley.com/documents/?uuid=26e32950-12ac-3b18-8799-6c5df31cb049"]}],"mendeley":{"formattedCitation":"(&lt;i&gt;29&lt;/i&gt;–&lt;i&gt;31&lt;/i&gt;)","plainTextFormattedCitation":"(29–31)","previouslyFormattedCitation":"(&lt;i&gt;29&lt;/i&gt;–&lt;i&gt;31&lt;/i&gt;)"},"properties":{"noteIndex":0},"schema":"https://github.com/citation-style-language/schema/raw/master/csl-citation.json"}</w:instrText>
      </w:r>
      <w:r w:rsidR="002C5E22">
        <w:rPr>
          <w:rFonts w:cs="Times New Roman"/>
          <w:lang w:val="en-US"/>
        </w:rPr>
        <w:fldChar w:fldCharType="separate"/>
      </w:r>
      <w:r w:rsidR="002C5E22" w:rsidRPr="002C5E22">
        <w:rPr>
          <w:rFonts w:cs="Times New Roman"/>
          <w:noProof/>
          <w:lang w:val="en-US"/>
        </w:rPr>
        <w:t>(</w:t>
      </w:r>
      <w:r w:rsidR="002C5E22" w:rsidRPr="002C5E22">
        <w:rPr>
          <w:rFonts w:cs="Times New Roman"/>
          <w:i/>
          <w:noProof/>
          <w:lang w:val="en-US"/>
        </w:rPr>
        <w:t>29</w:t>
      </w:r>
      <w:r w:rsidR="002C5E22" w:rsidRPr="002C5E22">
        <w:rPr>
          <w:rFonts w:cs="Times New Roman"/>
          <w:noProof/>
          <w:lang w:val="en-US"/>
        </w:rPr>
        <w:t>–</w:t>
      </w:r>
      <w:r w:rsidR="002C5E22" w:rsidRPr="002C5E22">
        <w:rPr>
          <w:rFonts w:cs="Times New Roman"/>
          <w:i/>
          <w:noProof/>
          <w:lang w:val="en-US"/>
        </w:rPr>
        <w:t>31</w:t>
      </w:r>
      <w:r w:rsidR="002C5E22" w:rsidRPr="002C5E22">
        <w:rPr>
          <w:rFonts w:cs="Times New Roman"/>
          <w:noProof/>
          <w:lang w:val="en-US"/>
        </w:rPr>
        <w:t>)</w:t>
      </w:r>
      <w:r w:rsidR="002C5E22">
        <w:rPr>
          <w:rFonts w:cs="Times New Roman"/>
          <w:lang w:val="en-US"/>
        </w:rPr>
        <w:fldChar w:fldCharType="end"/>
      </w:r>
      <w:r w:rsidR="002C5E22">
        <w:rPr>
          <w:rFonts w:cs="Times New Roman"/>
          <w:lang w:val="en-US"/>
        </w:rPr>
        <w:t>.</w:t>
      </w:r>
      <w:r w:rsidR="00642912">
        <w:rPr>
          <w:rFonts w:cs="Times New Roman"/>
          <w:lang w:val="en-US"/>
        </w:rPr>
        <w:t xml:space="preserve"> </w:t>
      </w:r>
      <w:r w:rsidR="00E33A32">
        <w:rPr>
          <w:rFonts w:cs="Times New Roman"/>
          <w:lang w:val="en-US"/>
        </w:rPr>
        <w:t xml:space="preserve">However, the </w:t>
      </w:r>
      <w:r w:rsidR="00642912">
        <w:rPr>
          <w:rFonts w:cs="Times New Roman"/>
          <w:lang w:val="en-US"/>
        </w:rPr>
        <w:t xml:space="preserve">RECS </w:t>
      </w:r>
      <w:r w:rsidR="00240242">
        <w:rPr>
          <w:rFonts w:cs="Times New Roman"/>
          <w:lang w:val="en-US"/>
        </w:rPr>
        <w:t xml:space="preserve">data </w:t>
      </w:r>
      <w:r w:rsidR="00DF7240">
        <w:rPr>
          <w:rFonts w:cs="Times New Roman"/>
          <w:lang w:val="en-US"/>
        </w:rPr>
        <w:t xml:space="preserve">- </w:t>
      </w:r>
      <w:r w:rsidR="00DF7240" w:rsidRPr="00E0488B">
        <w:rPr>
          <w:rFonts w:cs="Times New Roman"/>
          <w:i/>
          <w:iCs/>
          <w:lang w:val="en-US"/>
        </w:rPr>
        <w:t>source dataset</w:t>
      </w:r>
      <w:r w:rsidR="00DF7240">
        <w:rPr>
          <w:rFonts w:cs="Times New Roman"/>
          <w:lang w:val="en-US"/>
        </w:rPr>
        <w:t xml:space="preserve"> - </w:t>
      </w:r>
      <w:r w:rsidR="00240242">
        <w:rPr>
          <w:rFonts w:cs="Times New Roman"/>
          <w:lang w:val="en-US"/>
        </w:rPr>
        <w:t xml:space="preserve">does not </w:t>
      </w:r>
      <w:r w:rsidR="009678C8">
        <w:rPr>
          <w:rFonts w:cs="Times New Roman"/>
          <w:lang w:val="en-US"/>
        </w:rPr>
        <w:t xml:space="preserve">have any information on </w:t>
      </w:r>
      <w:r w:rsidR="00DF7240">
        <w:rPr>
          <w:rFonts w:cs="Times New Roman"/>
          <w:lang w:val="en-US"/>
        </w:rPr>
        <w:t xml:space="preserve">the </w:t>
      </w:r>
      <w:r w:rsidR="00825C31">
        <w:rPr>
          <w:rFonts w:cs="Times New Roman"/>
          <w:lang w:val="en-US"/>
        </w:rPr>
        <w:t xml:space="preserve">number of employed individuals and </w:t>
      </w:r>
      <w:r w:rsidR="009678C8">
        <w:rPr>
          <w:rFonts w:cs="Times New Roman"/>
          <w:lang w:val="en-US"/>
        </w:rPr>
        <w:t xml:space="preserve">household vehicle ownership. It is possible that </w:t>
      </w:r>
      <w:r w:rsidR="00825C31">
        <w:rPr>
          <w:rFonts w:cs="Times New Roman"/>
          <w:lang w:val="en-US"/>
        </w:rPr>
        <w:t>these two variables</w:t>
      </w:r>
      <w:r w:rsidR="009678C8">
        <w:rPr>
          <w:rFonts w:cs="Times New Roman"/>
          <w:lang w:val="en-US"/>
        </w:rPr>
        <w:t xml:space="preserve"> </w:t>
      </w:r>
      <w:r w:rsidR="00825C31">
        <w:rPr>
          <w:rFonts w:cs="Times New Roman"/>
          <w:lang w:val="en-US"/>
        </w:rPr>
        <w:t>are</w:t>
      </w:r>
      <w:r w:rsidR="00240242">
        <w:rPr>
          <w:rFonts w:cs="Times New Roman"/>
          <w:lang w:val="en-US"/>
        </w:rPr>
        <w:t xml:space="preserve"> contributing factor</w:t>
      </w:r>
      <w:r w:rsidR="00825C31">
        <w:rPr>
          <w:rFonts w:cs="Times New Roman"/>
          <w:lang w:val="en-US"/>
        </w:rPr>
        <w:t>s</w:t>
      </w:r>
      <w:r w:rsidR="00240242">
        <w:rPr>
          <w:rFonts w:cs="Times New Roman"/>
          <w:lang w:val="en-US"/>
        </w:rPr>
        <w:t xml:space="preserve"> for energy use. </w:t>
      </w:r>
      <w:r w:rsidR="00AE1E06">
        <w:rPr>
          <w:rFonts w:cs="Times New Roman"/>
          <w:lang w:val="en-US"/>
        </w:rPr>
        <w:t xml:space="preserve">Employment status and vehicle ownership are indicative of the mobility needs of the household </w:t>
      </w:r>
      <w:r w:rsidR="00CB2FE4">
        <w:rPr>
          <w:rFonts w:cs="Times New Roman"/>
          <w:lang w:val="en-US"/>
        </w:rPr>
        <w:t xml:space="preserve">influencing energy consumption at the residence and for transportation needs. </w:t>
      </w:r>
      <w:r w:rsidR="00CC1452">
        <w:rPr>
          <w:rFonts w:cs="Times New Roman"/>
          <w:lang w:val="en-US"/>
        </w:rPr>
        <w:t xml:space="preserve">The </w:t>
      </w:r>
      <w:r w:rsidR="00825C31">
        <w:rPr>
          <w:rFonts w:cs="Times New Roman"/>
          <w:lang w:val="en-US"/>
        </w:rPr>
        <w:t xml:space="preserve">proposed research develops methods that bring in this </w:t>
      </w:r>
      <w:r w:rsidR="00AF4A3B">
        <w:rPr>
          <w:rFonts w:cs="Times New Roman"/>
          <w:lang w:val="en-US"/>
        </w:rPr>
        <w:t xml:space="preserve">relevant </w:t>
      </w:r>
      <w:r w:rsidR="00825C31">
        <w:rPr>
          <w:rFonts w:cs="Times New Roman"/>
          <w:lang w:val="en-US"/>
        </w:rPr>
        <w:t>information from another dataset</w:t>
      </w:r>
      <w:r w:rsidR="00DF7240">
        <w:rPr>
          <w:rFonts w:cs="Times New Roman"/>
          <w:lang w:val="en-US"/>
        </w:rPr>
        <w:t xml:space="preserve"> – a </w:t>
      </w:r>
      <w:r w:rsidR="00DF7240" w:rsidRPr="00E0488B">
        <w:rPr>
          <w:rFonts w:cs="Times New Roman"/>
          <w:i/>
          <w:iCs/>
          <w:lang w:val="en-US"/>
        </w:rPr>
        <w:t>donor dataset</w:t>
      </w:r>
      <w:r w:rsidR="00825C31">
        <w:rPr>
          <w:rFonts w:cs="Times New Roman"/>
          <w:lang w:val="en-US"/>
        </w:rPr>
        <w:t xml:space="preserve">. </w:t>
      </w:r>
      <w:r w:rsidR="00F21D6E">
        <w:rPr>
          <w:rFonts w:cs="Times New Roman"/>
          <w:lang w:val="en-US"/>
        </w:rPr>
        <w:t xml:space="preserve">The </w:t>
      </w:r>
      <w:bookmarkStart w:id="7" w:name="_Hlk78653049"/>
      <w:r w:rsidR="00825C31">
        <w:rPr>
          <w:rFonts w:cs="Times New Roman"/>
          <w:lang w:val="en-US"/>
        </w:rPr>
        <w:t xml:space="preserve">National Household Travel Survey </w:t>
      </w:r>
      <w:bookmarkEnd w:id="7"/>
      <w:r w:rsidR="00825C31">
        <w:rPr>
          <w:rFonts w:cs="Times New Roman"/>
          <w:lang w:val="en-US"/>
        </w:rPr>
        <w:t xml:space="preserve">(NHTS) </w:t>
      </w:r>
      <w:r w:rsidR="00645039">
        <w:rPr>
          <w:rFonts w:cs="Times New Roman"/>
          <w:lang w:val="en-US"/>
        </w:rPr>
        <w:t xml:space="preserve">administered by Federal Highway Administration (FHWA) </w:t>
      </w:r>
      <w:r w:rsidR="00BC7B27">
        <w:rPr>
          <w:rFonts w:cs="Times New Roman"/>
          <w:lang w:val="en-US"/>
        </w:rPr>
        <w:t>surveys</w:t>
      </w:r>
      <w:r w:rsidR="00825C31">
        <w:rPr>
          <w:rFonts w:cs="Times New Roman"/>
          <w:lang w:val="en-US"/>
        </w:rPr>
        <w:t xml:space="preserve"> </w:t>
      </w:r>
      <w:r w:rsidR="00F21D6E">
        <w:rPr>
          <w:rFonts w:cs="Times New Roman"/>
          <w:lang w:val="en-US"/>
        </w:rPr>
        <w:t>travel behavior</w:t>
      </w:r>
      <w:r w:rsidR="00825C31">
        <w:rPr>
          <w:rFonts w:cs="Times New Roman"/>
          <w:lang w:val="en-US"/>
        </w:rPr>
        <w:t xml:space="preserve"> patterns</w:t>
      </w:r>
      <w:r w:rsidR="00BC7B27">
        <w:rPr>
          <w:rFonts w:cs="Times New Roman"/>
          <w:lang w:val="en-US"/>
        </w:rPr>
        <w:t xml:space="preserve">. </w:t>
      </w:r>
      <w:r w:rsidR="003050C7">
        <w:rPr>
          <w:rFonts w:cs="Times New Roman"/>
          <w:lang w:val="en-US"/>
        </w:rPr>
        <w:t>NHTS dataset provide</w:t>
      </w:r>
      <w:r w:rsidR="00182A6D">
        <w:rPr>
          <w:rFonts w:cs="Times New Roman"/>
          <w:lang w:val="en-US"/>
        </w:rPr>
        <w:t>s</w:t>
      </w:r>
      <w:r w:rsidR="003050C7">
        <w:rPr>
          <w:rFonts w:cs="Times New Roman"/>
          <w:lang w:val="en-US"/>
        </w:rPr>
        <w:t xml:space="preserve"> information on employed individuals and vehicle ownership – information that might assist in better understanding energy use and its prediction. </w:t>
      </w:r>
      <w:bookmarkStart w:id="8" w:name="_Hlk78652614"/>
      <w:r w:rsidR="00FE34DF">
        <w:rPr>
          <w:rFonts w:cs="Times New Roman"/>
          <w:lang w:val="en-US"/>
        </w:rPr>
        <w:t xml:space="preserve">With </w:t>
      </w:r>
      <w:r w:rsidR="00A615B7">
        <w:rPr>
          <w:rFonts w:cs="Times New Roman"/>
          <w:lang w:val="en-US"/>
        </w:rPr>
        <w:t>a</w:t>
      </w:r>
      <w:r w:rsidR="00FE34DF">
        <w:rPr>
          <w:rFonts w:cs="Times New Roman"/>
          <w:lang w:val="en-US"/>
        </w:rPr>
        <w:t xml:space="preserve"> focus on improving the </w:t>
      </w:r>
      <w:r w:rsidR="00A00055">
        <w:rPr>
          <w:rFonts w:cs="Times New Roman"/>
          <w:lang w:val="en-US"/>
        </w:rPr>
        <w:t xml:space="preserve">model for the dependent variable of interest </w:t>
      </w:r>
      <w:r w:rsidR="00DF7240">
        <w:rPr>
          <w:rFonts w:cs="Times New Roman"/>
          <w:lang w:val="en-US"/>
        </w:rPr>
        <w:t xml:space="preserve">from the </w:t>
      </w:r>
      <w:r w:rsidR="00CE4E17">
        <w:rPr>
          <w:rFonts w:cs="Times New Roman"/>
          <w:lang w:val="en-US"/>
        </w:rPr>
        <w:t xml:space="preserve">RECS </w:t>
      </w:r>
      <w:r w:rsidR="00DF7240">
        <w:rPr>
          <w:rFonts w:cs="Times New Roman"/>
          <w:lang w:val="en-US"/>
        </w:rPr>
        <w:t>data</w:t>
      </w:r>
      <w:r w:rsidR="00CE4E17">
        <w:rPr>
          <w:rFonts w:cs="Times New Roman"/>
          <w:lang w:val="en-US"/>
        </w:rPr>
        <w:t>set</w:t>
      </w:r>
      <w:r w:rsidR="00DF7240">
        <w:rPr>
          <w:rFonts w:cs="Times New Roman"/>
          <w:lang w:val="en-US"/>
        </w:rPr>
        <w:t xml:space="preserve"> </w:t>
      </w:r>
      <w:r w:rsidR="00A00055">
        <w:rPr>
          <w:rFonts w:cs="Times New Roman"/>
          <w:lang w:val="en-US"/>
        </w:rPr>
        <w:t xml:space="preserve">(energy use by fuel type in the example), our proposed research provides a probabilistic mechanism for </w:t>
      </w:r>
      <w:r w:rsidR="002C2639">
        <w:rPr>
          <w:rFonts w:cs="Times New Roman"/>
          <w:lang w:val="en-US"/>
        </w:rPr>
        <w:t xml:space="preserve">appropriately fusing </w:t>
      </w:r>
      <w:r w:rsidR="00A00055">
        <w:rPr>
          <w:rFonts w:cs="Times New Roman"/>
          <w:lang w:val="en-US"/>
        </w:rPr>
        <w:t xml:space="preserve">records </w:t>
      </w:r>
      <w:r w:rsidR="00F53672">
        <w:rPr>
          <w:rFonts w:cs="Times New Roman"/>
          <w:lang w:val="en-US"/>
        </w:rPr>
        <w:t>from the NHTS</w:t>
      </w:r>
      <w:r w:rsidR="00CE4E17">
        <w:rPr>
          <w:rFonts w:cs="Times New Roman"/>
          <w:lang w:val="en-US"/>
        </w:rPr>
        <w:t xml:space="preserve"> dataset</w:t>
      </w:r>
      <w:r w:rsidR="00F53672">
        <w:rPr>
          <w:rFonts w:cs="Times New Roman"/>
          <w:lang w:val="en-US"/>
        </w:rPr>
        <w:t xml:space="preserve"> </w:t>
      </w:r>
      <w:r w:rsidR="002C2639">
        <w:rPr>
          <w:rFonts w:cs="Times New Roman"/>
          <w:lang w:val="en-US"/>
        </w:rPr>
        <w:t>with records in</w:t>
      </w:r>
      <w:r w:rsidR="00F53672">
        <w:rPr>
          <w:rFonts w:cs="Times New Roman"/>
          <w:lang w:val="en-US"/>
        </w:rPr>
        <w:t xml:space="preserve"> </w:t>
      </w:r>
      <w:r w:rsidR="00F53672">
        <w:rPr>
          <w:rFonts w:cs="Times New Roman"/>
          <w:lang w:val="en-US"/>
        </w:rPr>
        <w:lastRenderedPageBreak/>
        <w:t>the RECS</w:t>
      </w:r>
      <w:r w:rsidR="00CE4E17">
        <w:rPr>
          <w:rFonts w:cs="Times New Roman"/>
          <w:lang w:val="en-US"/>
        </w:rPr>
        <w:t xml:space="preserve"> dataset</w:t>
      </w:r>
      <w:r w:rsidR="00A00055">
        <w:rPr>
          <w:rFonts w:cs="Times New Roman"/>
          <w:lang w:val="en-US"/>
        </w:rPr>
        <w:t xml:space="preserve">. </w:t>
      </w:r>
      <w:bookmarkEnd w:id="8"/>
      <w:r w:rsidR="003819A6">
        <w:rPr>
          <w:rFonts w:cs="Times New Roman"/>
          <w:lang w:val="en-US"/>
        </w:rPr>
        <w:t xml:space="preserve">For each </w:t>
      </w:r>
      <w:r w:rsidR="00CE4E17">
        <w:rPr>
          <w:rFonts w:cs="Times New Roman"/>
          <w:lang w:val="en-US"/>
        </w:rPr>
        <w:t xml:space="preserve">RECS </w:t>
      </w:r>
      <w:r w:rsidR="003819A6">
        <w:rPr>
          <w:rFonts w:cs="Times New Roman"/>
          <w:lang w:val="en-US"/>
        </w:rPr>
        <w:t>record, t</w:t>
      </w:r>
      <w:r w:rsidR="00CD5A39">
        <w:rPr>
          <w:rFonts w:cs="Times New Roman"/>
          <w:lang w:val="en-US"/>
        </w:rPr>
        <w:t xml:space="preserve">he algorithm considers </w:t>
      </w:r>
      <w:r w:rsidR="00A13737">
        <w:rPr>
          <w:rFonts w:cs="Times New Roman"/>
          <w:lang w:val="en-US"/>
        </w:rPr>
        <w:t xml:space="preserve">a select set of </w:t>
      </w:r>
      <w:r w:rsidR="00CD5A39">
        <w:rPr>
          <w:rFonts w:cs="Times New Roman"/>
          <w:lang w:val="en-US"/>
        </w:rPr>
        <w:t xml:space="preserve">records from the </w:t>
      </w:r>
      <w:r w:rsidR="00CE4E17">
        <w:rPr>
          <w:rFonts w:cs="Times New Roman"/>
          <w:lang w:val="en-US"/>
        </w:rPr>
        <w:t>NHTS data</w:t>
      </w:r>
      <w:r w:rsidR="00CD5A39">
        <w:rPr>
          <w:rFonts w:cs="Times New Roman"/>
          <w:lang w:val="en-US"/>
        </w:rPr>
        <w:t>set with some common attributes</w:t>
      </w:r>
      <w:r w:rsidR="00D154DB">
        <w:rPr>
          <w:rFonts w:cs="Times New Roman"/>
          <w:lang w:val="en-US"/>
        </w:rPr>
        <w:t xml:space="preserve"> (such as census region or household size)</w:t>
      </w:r>
      <w:r w:rsidR="00CD5A39">
        <w:rPr>
          <w:rFonts w:cs="Times New Roman"/>
          <w:lang w:val="en-US"/>
        </w:rPr>
        <w:t xml:space="preserve"> as a starting point for matching consideration. </w:t>
      </w:r>
      <w:bookmarkStart w:id="9" w:name="_Hlk78657664"/>
      <w:r w:rsidR="00814507">
        <w:rPr>
          <w:rFonts w:cs="Times New Roman"/>
          <w:lang w:val="en-US"/>
        </w:rPr>
        <w:t>A weight function</w:t>
      </w:r>
      <w:r w:rsidR="00A13737">
        <w:rPr>
          <w:rFonts w:cs="Times New Roman"/>
          <w:lang w:val="en-US"/>
        </w:rPr>
        <w:t xml:space="preserve"> is defined that optimizes </w:t>
      </w:r>
      <w:r w:rsidR="00051312">
        <w:rPr>
          <w:rFonts w:cs="Times New Roman"/>
          <w:lang w:val="en-US"/>
        </w:rPr>
        <w:t xml:space="preserve">the </w:t>
      </w:r>
      <w:r w:rsidR="00A13737">
        <w:rPr>
          <w:rFonts w:cs="Times New Roman"/>
          <w:lang w:val="en-US"/>
        </w:rPr>
        <w:t xml:space="preserve">weight for each </w:t>
      </w:r>
      <w:r w:rsidR="00D87379">
        <w:rPr>
          <w:rFonts w:cs="Times New Roman"/>
          <w:lang w:val="en-US"/>
        </w:rPr>
        <w:t xml:space="preserve">RECS </w:t>
      </w:r>
      <w:r w:rsidR="00A13737">
        <w:rPr>
          <w:rFonts w:cs="Times New Roman"/>
          <w:lang w:val="en-US"/>
        </w:rPr>
        <w:t>recor</w:t>
      </w:r>
      <w:r w:rsidR="00051312">
        <w:rPr>
          <w:rFonts w:cs="Times New Roman"/>
          <w:lang w:val="en-US"/>
        </w:rPr>
        <w:t>d while improving dependent variable model fit</w:t>
      </w:r>
      <w:r w:rsidR="00CB6450">
        <w:rPr>
          <w:rFonts w:cs="Times New Roman"/>
          <w:lang w:val="en-US"/>
        </w:rPr>
        <w:t xml:space="preserve"> (energy use by fuel type)</w:t>
      </w:r>
      <w:r w:rsidR="00051312">
        <w:rPr>
          <w:rFonts w:cs="Times New Roman"/>
          <w:lang w:val="en-US"/>
        </w:rPr>
        <w:t xml:space="preserve">. </w:t>
      </w:r>
      <w:r w:rsidR="007E5CBF">
        <w:rPr>
          <w:rFonts w:cs="Times New Roman"/>
          <w:lang w:val="en-US"/>
        </w:rPr>
        <w:t>As the weight is unobserved to the analys</w:t>
      </w:r>
      <w:r w:rsidR="00B94A86">
        <w:rPr>
          <w:rFonts w:cs="Times New Roman"/>
          <w:lang w:val="en-US"/>
        </w:rPr>
        <w:t>t</w:t>
      </w:r>
      <w:r w:rsidR="007E5CBF">
        <w:rPr>
          <w:rFonts w:cs="Times New Roman"/>
          <w:lang w:val="en-US"/>
        </w:rPr>
        <w:t>, the weight function proposed is analogous to the latent segmentation weight for a discrete outcome variable</w:t>
      </w:r>
      <w:bookmarkEnd w:id="9"/>
      <w:r w:rsidR="007E5CBF">
        <w:rPr>
          <w:rFonts w:cs="Times New Roman"/>
          <w:lang w:val="en-US"/>
        </w:rPr>
        <w:t>.</w:t>
      </w:r>
      <w:r w:rsidR="00814507">
        <w:rPr>
          <w:rFonts w:cs="Times New Roman"/>
          <w:lang w:val="en-US"/>
        </w:rPr>
        <w:t xml:space="preserve"> </w:t>
      </w:r>
      <w:r w:rsidR="00D154DB">
        <w:rPr>
          <w:rFonts w:cs="Times New Roman"/>
          <w:lang w:val="en-US"/>
        </w:rPr>
        <w:t xml:space="preserve">In our research, the weight function is scored based on the similarity/dissimilarity of the source and donor records for </w:t>
      </w:r>
      <w:r w:rsidR="00F55306">
        <w:rPr>
          <w:rFonts w:cs="Times New Roman"/>
          <w:lang w:val="en-US"/>
        </w:rPr>
        <w:t xml:space="preserve">common </w:t>
      </w:r>
      <w:r w:rsidR="00D154DB">
        <w:rPr>
          <w:rFonts w:cs="Times New Roman"/>
          <w:lang w:val="en-US"/>
        </w:rPr>
        <w:t xml:space="preserve">unmatched attributes (such as </w:t>
      </w:r>
      <w:r w:rsidR="00C01C10">
        <w:rPr>
          <w:rFonts w:cs="Times New Roman"/>
          <w:lang w:val="en-US"/>
        </w:rPr>
        <w:t>number of adults)</w:t>
      </w:r>
      <w:r w:rsidR="00D154DB">
        <w:rPr>
          <w:rFonts w:cs="Times New Roman"/>
          <w:lang w:val="en-US"/>
        </w:rPr>
        <w:t xml:space="preserve">. </w:t>
      </w:r>
      <w:r w:rsidR="00AF031D">
        <w:rPr>
          <w:rFonts w:cs="Times New Roman"/>
          <w:lang w:val="en-US"/>
        </w:rPr>
        <w:t xml:space="preserve">The weight score is expected to be higher for source and donor records with more similarity. </w:t>
      </w:r>
      <w:r w:rsidR="007E5CBF">
        <w:rPr>
          <w:rFonts w:cs="Times New Roman"/>
          <w:lang w:val="en-US"/>
        </w:rPr>
        <w:t xml:space="preserve">Across the selected </w:t>
      </w:r>
      <w:r w:rsidR="00B94A86">
        <w:rPr>
          <w:rFonts w:cs="Times New Roman"/>
          <w:lang w:val="en-US"/>
        </w:rPr>
        <w:t xml:space="preserve">donor </w:t>
      </w:r>
      <w:r w:rsidR="007E5CBF">
        <w:rPr>
          <w:rFonts w:cs="Times New Roman"/>
          <w:lang w:val="en-US"/>
        </w:rPr>
        <w:t xml:space="preserve">records for a </w:t>
      </w:r>
      <w:r w:rsidR="00B94A86">
        <w:rPr>
          <w:rFonts w:cs="Times New Roman"/>
          <w:lang w:val="en-US"/>
        </w:rPr>
        <w:t xml:space="preserve">single </w:t>
      </w:r>
      <w:r w:rsidR="007E5CBF">
        <w:rPr>
          <w:rFonts w:cs="Times New Roman"/>
          <w:lang w:val="en-US"/>
        </w:rPr>
        <w:t xml:space="preserve">source record, the weight sums to one. </w:t>
      </w:r>
      <w:r w:rsidR="00A95874">
        <w:rPr>
          <w:rFonts w:cs="Times New Roman"/>
          <w:lang w:val="en-US"/>
        </w:rPr>
        <w:t xml:space="preserve">The donor </w:t>
      </w:r>
      <w:r w:rsidR="007E5CBF">
        <w:rPr>
          <w:rFonts w:cs="Times New Roman"/>
          <w:lang w:val="en-US"/>
        </w:rPr>
        <w:t xml:space="preserve">records selected </w:t>
      </w:r>
      <w:r w:rsidR="00A95874">
        <w:rPr>
          <w:rFonts w:cs="Times New Roman"/>
          <w:lang w:val="en-US"/>
        </w:rPr>
        <w:t xml:space="preserve">will </w:t>
      </w:r>
      <w:r w:rsidR="002C2639">
        <w:rPr>
          <w:rFonts w:cs="Times New Roman"/>
          <w:lang w:val="en-US"/>
        </w:rPr>
        <w:t>provide additional</w:t>
      </w:r>
      <w:r w:rsidR="00A95874">
        <w:rPr>
          <w:rFonts w:cs="Times New Roman"/>
          <w:lang w:val="en-US"/>
        </w:rPr>
        <w:t xml:space="preserve"> useful variables missing </w:t>
      </w:r>
      <w:r w:rsidR="00D154DB">
        <w:rPr>
          <w:rFonts w:cs="Times New Roman"/>
          <w:lang w:val="en-US"/>
        </w:rPr>
        <w:t>for the source record</w:t>
      </w:r>
      <w:r w:rsidR="00A95874">
        <w:rPr>
          <w:rFonts w:cs="Times New Roman"/>
          <w:lang w:val="en-US"/>
        </w:rPr>
        <w:t xml:space="preserve">. </w:t>
      </w:r>
      <w:bookmarkStart w:id="10" w:name="_Hlk78657071"/>
    </w:p>
    <w:p w14:paraId="66CABD26" w14:textId="4D38981A" w:rsidR="00887BB4" w:rsidRDefault="00B676CE" w:rsidP="00A07944">
      <w:pPr>
        <w:ind w:firstLine="720"/>
        <w:rPr>
          <w:rFonts w:cs="Times New Roman"/>
          <w:lang w:val="en-US"/>
        </w:rPr>
      </w:pPr>
      <w:r>
        <w:rPr>
          <w:rFonts w:cs="Times New Roman"/>
          <w:lang w:val="en-US"/>
        </w:rPr>
        <w:t xml:space="preserve">The proposed </w:t>
      </w:r>
      <w:r w:rsidR="009E1B57">
        <w:rPr>
          <w:rFonts w:cs="Times New Roman"/>
          <w:lang w:val="en-US"/>
        </w:rPr>
        <w:t xml:space="preserve">fusion </w:t>
      </w:r>
      <w:r>
        <w:rPr>
          <w:rFonts w:cs="Times New Roman"/>
          <w:lang w:val="en-US"/>
        </w:rPr>
        <w:t>approach is illustrated using RECS and NHTS datasets for energy use</w:t>
      </w:r>
      <w:r w:rsidR="002C5849">
        <w:rPr>
          <w:rFonts w:cs="Times New Roman"/>
          <w:lang w:val="en-US"/>
        </w:rPr>
        <w:t xml:space="preserve"> by fuel type analysis</w:t>
      </w:r>
      <w:bookmarkEnd w:id="10"/>
      <w:r w:rsidR="002C5849">
        <w:rPr>
          <w:rFonts w:cs="Times New Roman"/>
          <w:lang w:val="en-US"/>
        </w:rPr>
        <w:t xml:space="preserve">. </w:t>
      </w:r>
      <w:r w:rsidR="00AF031D">
        <w:rPr>
          <w:rFonts w:cs="Times New Roman"/>
          <w:lang w:val="en-US"/>
        </w:rPr>
        <w:t>The model</w:t>
      </w:r>
      <w:r w:rsidR="00BC2B11">
        <w:rPr>
          <w:rFonts w:cs="Times New Roman"/>
          <w:lang w:val="en-US"/>
        </w:rPr>
        <w:t xml:space="preserve"> developed offers improved data fit for </w:t>
      </w:r>
      <w:r w:rsidR="00A739A6">
        <w:rPr>
          <w:rFonts w:cs="Times New Roman"/>
          <w:lang w:val="en-US"/>
        </w:rPr>
        <w:t xml:space="preserve">the </w:t>
      </w:r>
      <w:r w:rsidR="00BC2B11">
        <w:rPr>
          <w:rFonts w:cs="Times New Roman"/>
          <w:lang w:val="en-US"/>
        </w:rPr>
        <w:t>dependent variable</w:t>
      </w:r>
      <w:r w:rsidR="00A739A6">
        <w:rPr>
          <w:rFonts w:cs="Times New Roman"/>
          <w:lang w:val="en-US"/>
        </w:rPr>
        <w:t>s</w:t>
      </w:r>
      <w:r w:rsidR="00BC2B11">
        <w:rPr>
          <w:rFonts w:cs="Times New Roman"/>
          <w:lang w:val="en-US"/>
        </w:rPr>
        <w:t xml:space="preserve"> of interest. </w:t>
      </w:r>
      <w:r w:rsidR="00887BB4" w:rsidRPr="00887BB4">
        <w:rPr>
          <w:rFonts w:cs="Times New Roman"/>
          <w:lang w:val="en-US"/>
        </w:rPr>
        <w:t xml:space="preserve">The main motivation behind our matching approach is to augment RECS data with NHTS data that contains detailed socio- demographics (gender, age), travel patterns (what mode is used for daily travel) and location information that could significantly affect energy usage. For instance, households situated in high population density locations typically have reduced floor area per capita and hence are likely to use less electricity for heating and cooling. Further, in recent years, energy consumption patterns are affected along two directions. First, the emergence of electric vehicles (EV) will transform the energy-transportation relationship. In the future, in households with EVs the energy consumption will be directly associated with vehicle ownership variables (how many electric cars) and vehicle usage dimensions. Second, during the COVID pandemic, a large number of workers facilitated by advances in information technology started to work from </w:t>
      </w:r>
      <w:r w:rsidR="00887BB4" w:rsidRPr="00887BB4">
        <w:rPr>
          <w:rFonts w:cs="Times New Roman"/>
          <w:lang w:val="en-US"/>
        </w:rPr>
        <w:lastRenderedPageBreak/>
        <w:t>home influencing residential energy consumption. Currently RECS data does not provide any information on these important variables. NHTS data on the other hand can fill this gap as information on the number of vehicles in the HH, the corresponding vehicle types (fuel/electric) and the number of people working from home are available. Thus, the proposed fusion algorithm enables us to merge these two distinct datasets and create an enriched data source for analyzing energy consumption. Using the fused data, the association between additional categories of exogenous variables with residential energy demand can be tested. Thus, the model developed with the fused database will have additional explanatory power relative to the model developed solely using RECS data</w:t>
      </w:r>
      <w:r w:rsidR="00887BB4">
        <w:rPr>
          <w:rFonts w:cs="Times New Roman"/>
          <w:lang w:val="en-US"/>
        </w:rPr>
        <w:t>.</w:t>
      </w:r>
    </w:p>
    <w:p w14:paraId="7B24EC64" w14:textId="655AC880" w:rsidR="00D07C6C" w:rsidRDefault="00D07C6C" w:rsidP="00A07944">
      <w:pPr>
        <w:ind w:firstLine="720"/>
        <w:rPr>
          <w:rFonts w:cs="Times New Roman"/>
          <w:lang w:val="en-US"/>
        </w:rPr>
      </w:pPr>
      <w:r>
        <w:rPr>
          <w:rFonts w:cs="Times New Roman"/>
          <w:lang w:val="en-US"/>
        </w:rPr>
        <w:t>The rest of the paper is organized as follows: Section 2 provides a brief review of previous research on the application of data fusion algorithm</w:t>
      </w:r>
      <w:r w:rsidR="007D1624">
        <w:rPr>
          <w:rFonts w:cs="Times New Roman"/>
          <w:lang w:val="en-US"/>
        </w:rPr>
        <w:t>s</w:t>
      </w:r>
      <w:r>
        <w:rPr>
          <w:rFonts w:cs="Times New Roman"/>
          <w:lang w:val="en-US"/>
        </w:rPr>
        <w:t xml:space="preserve"> in transportation </w:t>
      </w:r>
      <w:r w:rsidR="00BE3A34">
        <w:rPr>
          <w:rFonts w:cs="Times New Roman"/>
          <w:lang w:val="en-US"/>
        </w:rPr>
        <w:t>field and</w:t>
      </w:r>
      <w:r w:rsidR="00B61D95">
        <w:rPr>
          <w:rFonts w:cs="Times New Roman"/>
          <w:lang w:val="en-US"/>
        </w:rPr>
        <w:t xml:space="preserve"> </w:t>
      </w:r>
      <w:r>
        <w:rPr>
          <w:rFonts w:cs="Times New Roman"/>
          <w:lang w:val="en-US"/>
        </w:rPr>
        <w:t xml:space="preserve">highlights the contribution of the current study. Section 3 briefly outlines the methodological framework used in the analysis while a detailed description about the </w:t>
      </w:r>
      <w:r w:rsidR="00A07944">
        <w:rPr>
          <w:rFonts w:cs="Times New Roman"/>
          <w:lang w:val="en-US"/>
        </w:rPr>
        <w:t xml:space="preserve">experimental setup of the study </w:t>
      </w:r>
      <w:r w:rsidR="00245DEC">
        <w:rPr>
          <w:rFonts w:cs="Times New Roman"/>
          <w:lang w:val="en-US"/>
        </w:rPr>
        <w:t>is</w:t>
      </w:r>
      <w:r w:rsidR="00A07944">
        <w:rPr>
          <w:rFonts w:cs="Times New Roman"/>
          <w:lang w:val="en-US"/>
        </w:rPr>
        <w:t xml:space="preserve"> presented in section 4. In section 5, we </w:t>
      </w:r>
      <w:r w:rsidR="00901D87">
        <w:rPr>
          <w:rFonts w:cs="Times New Roman"/>
          <w:lang w:val="en-US"/>
        </w:rPr>
        <w:t xml:space="preserve">describe </w:t>
      </w:r>
      <w:r w:rsidR="00A07944">
        <w:rPr>
          <w:rFonts w:cs="Times New Roman"/>
          <w:lang w:val="en-US"/>
        </w:rPr>
        <w:t>the model findings and f</w:t>
      </w:r>
      <w:r>
        <w:rPr>
          <w:rFonts w:cs="Times New Roman"/>
          <w:lang w:val="en-US"/>
        </w:rPr>
        <w:t xml:space="preserve">inally, concluding thoughts are presented in section </w:t>
      </w:r>
      <w:r w:rsidR="00EB6068">
        <w:rPr>
          <w:rFonts w:cs="Times New Roman"/>
          <w:lang w:val="en-US"/>
        </w:rPr>
        <w:t>6</w:t>
      </w:r>
      <w:r>
        <w:rPr>
          <w:rFonts w:cs="Times New Roman"/>
          <w:lang w:val="en-US"/>
        </w:rPr>
        <w:t xml:space="preserve">. </w:t>
      </w:r>
    </w:p>
    <w:p w14:paraId="60719584" w14:textId="77777777" w:rsidR="00160D3A" w:rsidRDefault="00160D3A" w:rsidP="00C2589A">
      <w:pPr>
        <w:ind w:firstLine="720"/>
        <w:rPr>
          <w:rFonts w:cs="Times New Roman"/>
          <w:lang w:val="en-US"/>
        </w:rPr>
      </w:pPr>
    </w:p>
    <w:p w14:paraId="086207C1" w14:textId="442ECDA3" w:rsidR="00BF0533" w:rsidRPr="00172DAE" w:rsidRDefault="00ED2BCB" w:rsidP="000B26F3">
      <w:pPr>
        <w:pStyle w:val="Heading1"/>
        <w:rPr>
          <w:rFonts w:cs="Times New Roman"/>
          <w:lang w:val="en-US"/>
        </w:rPr>
      </w:pPr>
      <w:r>
        <w:t xml:space="preserve">2 </w:t>
      </w:r>
      <w:r w:rsidR="000B26F3">
        <w:t>Earlier Research and Current Study</w:t>
      </w:r>
    </w:p>
    <w:p w14:paraId="6F64347A" w14:textId="0D6953F0" w:rsidR="00653718" w:rsidRDefault="002A5D8A" w:rsidP="00653718">
      <w:r>
        <w:t xml:space="preserve">In our research, we are </w:t>
      </w:r>
      <w:r w:rsidR="00C75E0A">
        <w:t>interested in</w:t>
      </w:r>
      <w:r>
        <w:t xml:space="preserve"> developing advanced approaches for energy consumption analysis drawing on novel approaches from data fusion </w:t>
      </w:r>
      <w:r w:rsidR="00C75E0A">
        <w:t>literature</w:t>
      </w:r>
      <w:r>
        <w:t>. Hence, we focus our literature review</w:t>
      </w:r>
      <w:r w:rsidR="00653718">
        <w:t xml:space="preserve"> along two directions</w:t>
      </w:r>
      <w:r>
        <w:t xml:space="preserve">. In the first direction, we provide a </w:t>
      </w:r>
      <w:r w:rsidR="00653718">
        <w:t>summary of studies examining residential energy usage</w:t>
      </w:r>
      <w:r>
        <w:t xml:space="preserve">. In the second direction we provide a </w:t>
      </w:r>
      <w:r w:rsidR="00653718">
        <w:t>summary of studies adopting data fusion techniques</w:t>
      </w:r>
      <w:r>
        <w:t xml:space="preserve"> </w:t>
      </w:r>
      <w:r w:rsidR="00BB6204">
        <w:t>in the energy</w:t>
      </w:r>
      <w:r>
        <w:t xml:space="preserve"> domain</w:t>
      </w:r>
      <w:r w:rsidR="00653718">
        <w:t xml:space="preserve">. </w:t>
      </w:r>
    </w:p>
    <w:p w14:paraId="5675800B" w14:textId="1B388CD3" w:rsidR="00653718" w:rsidRDefault="00ED2BCB" w:rsidP="000B26F3">
      <w:pPr>
        <w:pStyle w:val="Heading2"/>
      </w:pPr>
      <w:r>
        <w:lastRenderedPageBreak/>
        <w:t xml:space="preserve">2.1 </w:t>
      </w:r>
      <w:r w:rsidR="00653718">
        <w:t>Literature on Energy Usage</w:t>
      </w:r>
    </w:p>
    <w:p w14:paraId="74BE0BD2" w14:textId="55B70294" w:rsidR="00653718" w:rsidRDefault="00653718" w:rsidP="00653718">
      <w:r>
        <w:t xml:space="preserve">Residential energy demand has been extensively researched in the energy analysis literature. However to conserve on space, we will provide a brief summary of these studies (see </w:t>
      </w:r>
      <w:r w:rsidR="008A05F1">
        <w:fldChar w:fldCharType="begin" w:fldLock="1"/>
      </w:r>
      <w:r w:rsidR="00806D47">
        <w:instrText>ADDIN CSL_CITATION {"citationItems":[{"id":"ITEM-1","itemData":{"DOI":"10.1016/j.enbuild.2021.110934","ISSN":"03787788","abstract":"Residential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Buildings","id":"ITEM-1","issued":{"date-parts":[["2021"]]},"title":"An examination of factors affecting residential energy consumption using a multiple discrete continuous approach","type":"article-journal","volume":"240"},"uris":["http://www.mendeley.com/documents/?uuid=26e32950-12ac-3b18-8799-6c5df31cb049"]}],"mendeley":{"formattedCitation":"(&lt;i&gt;31&lt;/i&gt;)","plainTextFormattedCitation":"(31)","previouslyFormattedCitation":"(&lt;i&gt;31&lt;/i&gt;)"},"properties":{"noteIndex":0},"schema":"https://github.com/citation-style-language/schema/raw/master/csl-citation.json"}</w:instrText>
      </w:r>
      <w:r w:rsidR="008A05F1">
        <w:fldChar w:fldCharType="separate"/>
      </w:r>
      <w:r w:rsidR="008A05F1" w:rsidRPr="008A05F1">
        <w:rPr>
          <w:noProof/>
        </w:rPr>
        <w:t>(</w:t>
      </w:r>
      <w:r w:rsidR="008A05F1" w:rsidRPr="008A05F1">
        <w:rPr>
          <w:i/>
          <w:noProof/>
        </w:rPr>
        <w:t>31</w:t>
      </w:r>
      <w:r w:rsidR="008A05F1" w:rsidRPr="008A05F1">
        <w:rPr>
          <w:noProof/>
        </w:rPr>
        <w:t>)</w:t>
      </w:r>
      <w:r w:rsidR="008A05F1">
        <w:fldChar w:fldCharType="end"/>
      </w:r>
      <w:r w:rsidR="008A05F1">
        <w:t xml:space="preserve"> </w:t>
      </w:r>
      <w:r>
        <w:t xml:space="preserve">for details on these studies). From </w:t>
      </w:r>
      <w:r w:rsidR="00AA566F">
        <w:t>our</w:t>
      </w:r>
      <w:r>
        <w:t xml:space="preserve"> literature review, it is </w:t>
      </w:r>
      <w:r w:rsidR="00AA566F">
        <w:t>observed</w:t>
      </w:r>
      <w:r>
        <w:t xml:space="preserve"> that earlier research focused on electricity and natural gas consumption </w:t>
      </w:r>
      <w:r>
        <w:fldChar w:fldCharType="begin" w:fldLock="1"/>
      </w:r>
      <w:r w:rsidR="00812451">
        <w:instrText>ADDIN CSL_CITATION {"citationItems":[{"id":"ITEM-1","itemData":{"DOI":"10.1016/j.enbuild.2021.110934","ISSN":"03787788","abstract":"Residential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Buildings","id":"ITEM-1","issued":{"date-parts":[["2021"]]},"title":"An examination of factors affecting residential energy consumption using a multiple discrete continuous approach","type":"article-journal","volume":"240"},"uris":["http://www.mendeley.com/documents/?uuid=26e32950-12ac-3b18-8799-6c5df31cb049"]},{"id":"ITEM-2","itemData":{"DOI":"10.1016/j.jocm.2021.100283","ISSN":"17555345","abstract":"This paper proposes simple and computationally efficient forecasting algorithms for random utility maximization-based multiple discrete-continuous (MDC) choice models with additively separable utility functions, such as the Multiple Discrete-Continuous Extreme Value (MDCEV) model. The algorithms build on simple yet insightful, analytical explorations with the Karush Kuhn-Tucker (KKT) conditions of optimality that shed new light on the properties of the models. The MDCEV model and the forecasting algorithms proposed in this paper are applied to a household-level energy consumption dataset to analyze residential energy consumption patterns in the United States. Further, simulation experiments are undertaken to assess the computational performance of the proposed and existing KT demand forecasting algorithms for a range of choice situations with small and large choice sets.","author":[{"dropping-particle":"","family":"Pinjari","given":"Abdul Rawoof","non-dropping-particle":"","parse-names":false,"suffix":""},{"dropping-particle":"","family":"Bhat","given":"Chandra","non-dropping-particle":"","parse-names":false,"suffix":""}],"container-title":"Journal of Choice Modelling","id":"ITEM-2","issued":{"date-parts":[["2021"]]},"title":"Computationally efficient forecasting procedures for Kuhn-Tucker consumer demand model systems: Application to residential energy consumption analysis","type":"article-journal","volume":"39"},"uris":["http://www.mendeley.com/documents/?uuid=2b16aecb-fbfd-3829-9516-90d784fd9982"]},{"id":"ITEM-3","itemData":{"DOI":"10.1016/S0360-5442(97)00034-0","ISSN":"03605442","abstract":"A methodology has been developed for assessing the sensitivity of electricity and natural gas consumption to climate at regional scales. The approach involves a multiple-regression analysis of historical energy and climate data, and has been applied to eight of the most energy-intensive states, representing 42% of the total annual energy consumption in the United States. Statistical models were developed using two sets of independent variables-primitive variables such as temperature, relative humidity, and wind speed, and derived variables including cooling degree days, heating degree days, and enthalpy latent days. The advantages and disadvantages of both modeling approaches are discussed in this paper, along with sample results for a combined analysis of residential and commercial consumption in eight states.","author":[{"dropping-particle":"","family":"Sailor","given":"David J.","non-dropping-particle":"","parse-names":false,"suffix":""},{"dropping-particle":"","family":"Muñoz","given":"J. Ricardo","non-dropping-particle":"","parse-names":false,"suffix":""}],"container-title":"Energy","id":"ITEM-3","issue":"10","issued":{"date-parts":[["1997"]]},"page":"987-998","title":"Sensitivity of electricity and natural gas consumption to climate in the U.S.A. - Methodology and results for eight states","type":"article-journal","volume":"22"},"uris":["http://www.mendeley.com/documents/?uuid=26f97fcb-396c-3b1b-bfed-6d2d39be9ce2"]},{"id":"ITEM-4","itemData":{"abstract":"This paper provides a summary of research to estimate the household price elasticities for natural gas, electricity, and water in California. First, we introduce two problems that complicate existing estimate of the price elasticity of demand for these household goods: block rate pricing and joint consumption. Next we summarize estimates of the price elasticity of demand in the literature. These estimates vary widely across regions, time periods, and statistical techniques, making it difficult to use these estimates for policy purposes. We address this problem in the third section of the paper, and present statistical methods for estimating price elasticity in the case of block rates and joint consumption. In section four, we present preliminary estimates of the price elasticity of demand for natural gas, electricity, and water in California, using these statistical methods. The paper concludes with a short discussion of the results, and their possible policy implications. The regression estimates reported in this paper suggest that the price elasticity of demand for natural gas, electricity, and water is lower than is commonly reported in the literature. Coupled with global warming and rising electricity and water use, our price elasticity findings suggest a need for strong non-price and price conservation measures to effectively manage these resources.","author":[{"dropping-particle":"","family":"Dale","given":"L.","non-dropping-particle":"","parse-names":false,"suffix":""},{"dropping-particle":"","family":"Fujita","given":"S.","non-dropping-particle":"","parse-names":false,"suffix":""},{"dropping-particle":"","family":"Vasquez","given":"F.","non-dropping-particle":"","parse-names":false,"suffix":""},{"dropping-particle":"","family":"Moezzi","given":"M.","non-dropping-particle":"","parse-names":false,"suffix":""},{"dropping-particle":"","family":"Hanemann","given":"M.","non-dropping-particle":"","parse-names":false,"suffix":""},{"dropping-particle":"","family":"Guerrero","given":"S.","non-dropping-particle":"","parse-names":false,"suffix":""},{"dropping-particle":"","family":"Lutzenhiser","given":"L.","non-dropping-particle":"","parse-names":false,"suffix":""}],"container-title":"Public Interest Energy Research (PIER) Program Reports CEC-500-2009-032-D, California Energy Commission, Sacramento, CA","id":"ITEM-4","issued":{"date-parts":[["2009"]]},"title":"Price Impact on the Demand for Water and Energy in California Residences","type":"article-journal"},"uris":["http://www.mendeley.com/documents/?uuid=9ddc3111-8945-3113-a55d-4787d486067c"]},{"id":"ITEM-5","itemData":{"DOI":"10.1016/j.jeem.2007.10.001","ISSN":"00950696","abstract":"Using cross-sectional data, this paper estimates a national energy model of fuel choice by both households and firms. Consumers in warmer locations rely relatively more heavily on electricity rather than natural gas, oil, and other fuels. They also use more energy. Climate change will likely increase electricity consumption on cooling but reduce the use of other fuels for heating. On net, American energy expenditures will likely increase, resulting in welfare damages that increase as temperatures rise. For example, if the US warms by 5 °C by 2100, we predict annual welfare losses of $57 billion. © 2007 Elsevier Inc. All rights reserved.","author":[{"dropping-particle":"","family":"Mansur","given":"Erin T.","non-dropping-particle":"","parse-names":false,"suffix":""},{"dropping-particle":"","family":"Mendelsohn","given":"Robert","non-dropping-particle":"","parse-names":false,"suffix":""},{"dropping-particle":"","family":"Morrison","given":"Wendy","non-dropping-particle":"","parse-names":false,"suffix":""}],"container-title":"Journal of Environmental Economics and Management","id":"ITEM-5","issue":"2","issued":{"date-parts":[["2008","3","1"]]},"page":"175-193","publisher":"Academic Press","title":"Climate change adaptation: A study of fuel choice and consumption in the US energy sector","type":"article-journal","volume":"55"},"uris":["http://www.mendeley.com/documents/?uuid=c90dc6b8-4f55-3075-83c9-b4957b252557"]},{"id":"ITEM-6","itemData":{"DOI":"10.2307/1911493","ISSN":"00129682","abstract":"No abstract is available for this item.","author":[{"dropping-particle":"","family":"Dubin","given":"Jeffrey A.","non-dropping-particle":"","parse-names":false,"suffix":""},{"dropping-particle":"","family":"McFadden","given":"Daniel L.","non-dropping-particle":"","parse-names":false,"suffix":""}],"container-title":"Econometrica","id":"ITEM-6","issue":"2","issued":{"date-parts":[["1984"]]},"page":"345","title":"An Econometric Analysis of Residential Electric Appliance Holdings and Consumption","type":"article-journal","volume":"52"},"uris":["http://www.mendeley.com/documents/?uuid=30d6c661-c833-3595-96a6-4f411c9eb663"]},{"id":"ITEM-7","itemData":{"DOI":"10.1016/j.eneco.2015.08.015","ISSN":"01409883","abstract":"This paper examines the determinants of residential gas demand in Ireland using a micro-econometric analysis of the daily gas consumption panel data from Ireland's Smart Metering Gas Consumer Behavioural Trial. It also investigates the effectiveness of the demand side management stimuli that were tested during the Smart Metering Trial. The analysis is based on a sample of 1181 households over 539. days in the period from 1st December 2009 to 30th May 2011. The results provide evidence that weather, together with the structural characteristics of the dwellings and the socio-economic characteristics of the households, are significant factors in explaining residential gas demand. More specifically, weather is found to be the most influential factor on household's daily gas consumption. Finally, the demand side management stimuli employed in the Smart Metering Trial were found to reduce daily household gas use on average.","author":[{"dropping-particle":"","family":"Harold","given":"Jason","non-dropping-particle":"","parse-names":false,"suffix":""},{"dropping-particle":"","family":"Lyons","given":"Seán","non-dropping-particle":"","parse-names":false,"suffix":""},{"dropping-particle":"","family":"Cullinan","given":"John","non-dropping-particle":"","parse-names":false,"suffix":""}],"container-title":"Energy Economics","id":"ITEM-7","issued":{"date-parts":[["2015","9","1"]]},"page":"475-483","publisher":"North-Holland","title":"The determinants of residential gas demand in Ireland","type":"article-journal","volume":"51"},"uris":["http://www.mendeley.com/documents/?uuid=d2e8bd0d-ff1e-3f2d-8833-145cfa14f1b2"]},{"id":"ITEM-8","itemData":{"DOI":"10.1016/j.energy.2015.04.101","ISSN":"03605442","abstract":"This paper employs quantile regression to analyze the determinants of household electricity consumption in Taiwan over the period 1981-2011. Our results show that the effects of demographic, socioeconomic, and household dwelling characteristics on household electricity consumption may differ across quantiles and may change over time. We found that household income and household size were significant in all quantiles for each year. We identify the characteristics of high-electricity-consuming households. Households with higher income, larger household size, and more elderly members consumed more electricity. In terms of dwelling attributes, larger housing areas, homes with more appliances, and owner-occupied, business-used, and multi-floor houses contributed to higher household electricity consumption. Strategies for reducing electricity consumption should focus on specific groups that tend to exhibit higher electricity use. However, we also found that the low-income and small-size households may have higher electricity consumption on a per capita basis. Thus, as household size decreased, the increase of per capita electricity demand driven by the change of household size should be a matter of concern.","author":[{"dropping-particle":"","family":"Huang","given":"Wen Hsiu","non-dropping-particle":"","parse-names":false,"suffix":""}],"container-title":"Energy","id":"ITEM-8","issued":{"date-parts":[["2015","7","1"]]},"page":"120-133","publisher":"Elsevier Ltd","title":"The determinants of household electricity consumption in Taiwan: Evidence from quantile regression","type":"article-journal","volume":"87"},"uris":["http://www.mendeley.com/documents/?uuid=b2479f11-d89f-3fee-8bf0-c656674c88d7"]},{"id":"ITEM-9","itemData":{"DOI":"10.1016/j.compenvurbsys.2016.06.003","ISSN":"01989715","abstract":"This paper assesses the feasibility of determining key household characteristics based on temporal load profiles of household electricity demand. It is known that household characteristics, behaviours and routines drive a number of features of household electricity loads in ways which are currently not fully understood. The roll out of domestic smart meters in the UK and elsewhere could enable better understanding through the collection of high temporal resolution electricity monitoring data at the household level. Such data affords tremendous potential to invert the established relationship between household characteristics and temporal load profiles. Rather than use household characteristics as a predictor of loads, observed electricity load profiles, or indicators based on them, could instead be used to impute household characteristics. These micro level imputed characteristics could then be aggregated at the small area level to produce ‘census-like’ small area indicators. This work briefly reviews the nature of current and future census taking in the UK before outlining the household characteristics that are to be found in the UK census and which are also known to influence electricity load profiles. It then presents descriptive analysis of a large scale smart meter-like dataset of half-hourly domestic electricity consumption before reviewing the correlation between household attributes and electricity load profiles. The paper then reports the results of multilevel model-based analysis of these relationships. The work concludes that a number of household characteristics of the kind to be found in UK census-derived small area statistics may be predicted from particular load profile indicators. A discussion of the steps required to test and validate this approach and the wider implications for census taking is also provided.","author":[{"dropping-particle":"","family":"Anderson","given":"Ben","non-dropping-particle":"","parse-names":false,"suffix":""},{"dropping-particle":"","family":"Lin","given":"Sharon","non-dropping-particle":"","parse-names":false,"suffix":""},{"dropping-particle":"","family":"Newing","given":"Andy","non-dropping-particle":"","parse-names":false,"suffix":""},{"dropping-particle":"","family":"Bahaj","given":"Abu Bakr","non-dropping-particle":"","parse-names":false,"suffix":""},{"dropping-particle":"","family":"James","given":"Patrick","non-dropping-particle":"","parse-names":false,"suffix":""}],"container-title":"Computers, Environment and Urban Systems","id":"ITEM-9","issued":{"date-parts":[["2017","5","1"]]},"page":"58-67","publisher":"Pergamon","title":"Electricity consumption and household characteristics: Implications for census-taking in a smart metered future","type":"article-journal","volume":"63"},"uris":["http://www.mendeley.com/documents/?uuid=fbb66eb3-44ca-389a-9ac1-eb59fd2e6f1a"]},{"id":"ITEM-10","itemData":{"DOI":"10.1016/j.enbuild.2012.10.016","ISSN":"03787788","abstract":"This research aimed to define the influence of lighting and appliance use on electricity consumption in Dutch dwellings, and identify determinants of use. Data were collected via questionnaires completed by 323 dwellings in Winter 2008, in the Netherlands. Three regression models were built using direct (number of lighting and appliances, duration of use) and indirect determinants (presence, dwelling-household-economic-system (DHES) characteristics); one based on the duration of appliance use and presence, one on the number of appliances and DHES characteristics, and one on the total duration of appliance use and DHES characteristics. In the first model, total duration of appliance use explained 37%, presence in rooms 14%, and combined model 37% of variance in electricity consumption. Study/hobby rooms emerged important in this model, whereas living room and kitchen did not. In the second model, number of appliances explained 21% of the variance in electricity consumption alone and 42% combined with dwelling/household characteristics. Household size, dwelling type, use of dryer, washing cycles, and number of showers appeared as significant determinants, of which the last revealing a comfort related dimension of electricity use. The third model of total duration of appliance use and dwelling/household characteristics explained 58% of the variance in electricity consumption. © 2012 Elsevier B.V. All rights reserved.","author":[{"dropping-particle":"","family":"Bedir","given":"Merve","non-dropping-particle":"","parse-names":false,"suffix":""},{"dropping-particle":"","family":"Hasselaar","given":"Evert","non-dropping-particle":"","parse-names":false,"suffix":""},{"dropping-particle":"","family":"Itard","given":"Laure","non-dropping-particle":"","parse-names":false,"suffix":""}],"container-title":"Energy and Buildings","id":"ITEM-10","issued":{"date-parts":[["2013"]]},"page":"194-207","title":"Determinants of electricity consumption in Dutch dwellings","type":"article-journal","volume":"58"},"uris":["http://www.mendeley.com/documents/?uuid=92dbdf76-63d2-3ca6-a4fe-2cfd020c3c5a"]}],"mendeley":{"formattedCitation":"(&lt;i&gt;25&lt;/i&gt;, &lt;i&gt;26&lt;/i&gt;, &lt;i&gt;29&lt;/i&gt;–&lt;i&gt;36&lt;/i&gt;)","plainTextFormattedCitation":"(25, 26, 29–36)","previouslyFormattedCitation":"(&lt;i&gt;25&lt;/i&gt;, &lt;i&gt;26&lt;/i&gt;, &lt;i&gt;29&lt;/i&gt;–&lt;i&gt;36&lt;/i&gt;)"},"properties":{"noteIndex":0},"schema":"https://github.com/citation-style-language/schema/raw/master/csl-citation.json"}</w:instrText>
      </w:r>
      <w:r>
        <w:fldChar w:fldCharType="separate"/>
      </w:r>
      <w:r w:rsidR="009D3EDC" w:rsidRPr="009D3EDC">
        <w:rPr>
          <w:noProof/>
        </w:rPr>
        <w:t>(</w:t>
      </w:r>
      <w:r w:rsidR="009D3EDC" w:rsidRPr="009D3EDC">
        <w:rPr>
          <w:i/>
          <w:noProof/>
        </w:rPr>
        <w:t>25</w:t>
      </w:r>
      <w:r w:rsidR="009D3EDC" w:rsidRPr="009D3EDC">
        <w:rPr>
          <w:noProof/>
        </w:rPr>
        <w:t xml:space="preserve">, </w:t>
      </w:r>
      <w:r w:rsidR="009D3EDC" w:rsidRPr="009D3EDC">
        <w:rPr>
          <w:i/>
          <w:noProof/>
        </w:rPr>
        <w:t>26</w:t>
      </w:r>
      <w:r w:rsidR="009D3EDC" w:rsidRPr="009D3EDC">
        <w:rPr>
          <w:noProof/>
        </w:rPr>
        <w:t xml:space="preserve">, </w:t>
      </w:r>
      <w:r w:rsidR="009D3EDC" w:rsidRPr="009D3EDC">
        <w:rPr>
          <w:i/>
          <w:noProof/>
        </w:rPr>
        <w:t>29</w:t>
      </w:r>
      <w:r w:rsidR="009D3EDC" w:rsidRPr="009D3EDC">
        <w:rPr>
          <w:noProof/>
        </w:rPr>
        <w:t>–</w:t>
      </w:r>
      <w:r w:rsidR="009D3EDC" w:rsidRPr="009D3EDC">
        <w:rPr>
          <w:i/>
          <w:noProof/>
        </w:rPr>
        <w:t>36</w:t>
      </w:r>
      <w:r w:rsidR="009D3EDC" w:rsidRPr="009D3EDC">
        <w:rPr>
          <w:noProof/>
        </w:rPr>
        <w:t>)</w:t>
      </w:r>
      <w:r>
        <w:fldChar w:fldCharType="end"/>
      </w:r>
      <w:r>
        <w:t xml:space="preserve"> while very limited attention has been </w:t>
      </w:r>
      <w:r w:rsidR="00CA1900">
        <w:t xml:space="preserve">devoted </w:t>
      </w:r>
      <w:r>
        <w:t xml:space="preserve">to other forms of energies including fuel oil and LPG </w:t>
      </w:r>
      <w:r>
        <w:fldChar w:fldCharType="begin" w:fldLock="1"/>
      </w:r>
      <w:r w:rsidR="00812451">
        <w:instrText>ADDIN CSL_CITATION {"citationItems":[{"id":"ITEM-1","itemData":{"DOI":"10.1016/j.enbuild.2021.110934","ISSN":"03787788","abstract":"Residential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Buildings","id":"ITEM-1","issued":{"date-parts":[["2021"]]},"title":"An examination of factors affecting residential energy consumption using a multiple discrete continuous approach","type":"article-journal","volume":"240"},"uris":["http://www.mendeley.com/documents/?uuid=26e32950-12ac-3b18-8799-6c5df31cb049"]},{"id":"ITEM-2","itemData":{"DOI":"10.1016/j.jocm.2021.100283","ISSN":"17555345","abstract":"This paper proposes simple and computationally efficient forecasting algorithms for random utility maximization-based multiple discrete-continuous (MDC) choice models with additively separable utility functions, such as the Multiple Discrete-Continuous Extreme Value (MDCEV) model. The algorithms build on simple yet insightful, analytical explorations with the Karush Kuhn-Tucker (KKT) conditions of optimality that shed new light on the properties of the models. The MDCEV model and the forecasting algorithms proposed in this paper are applied to a household-level energy consumption dataset to analyze residential energy consumption patterns in the United States. Further, simulation experiments are undertaken to assess the computational performance of the proposed and existing KT demand forecasting algorithms for a range of choice situations with small and large choice sets.","author":[{"dropping-particle":"","family":"Pinjari","given":"Abdul Rawoof","non-dropping-particle":"","parse-names":false,"suffix":""},{"dropping-particle":"","family":"Bhat","given":"Chandra","non-dropping-particle":"","parse-names":false,"suffix":""}],"container-title":"Journal of Choice Modelling","id":"ITEM-2","issued":{"date-parts":[["2021"]]},"title":"Computationally efficient forecasting procedures for Kuhn-Tucker consumer demand model systems: Application to residential energy consumption analysis","type":"article-journal","volume":"39"},"uris":["http://www.mendeley.com/documents/?uuid=2b16aecb-fbfd-3829-9516-90d784fd9982"]},{"id":"ITEM-3","itemData":{"DOI":"10.1111/1467-9442.00236","ISSN":"03470520","abstract":"Energy demand for space heating is estimated using a discrete-continuous choice model which focuses on the relationship between the choice of heating equipment and energy consumption. The model is estimated on Norwegian micro data, and the two stages of the model are estimated simultaneously. The capital cost and the operating cost of the heating systems are both found to have a significant impact on the choice of heating system. Furthermore, the results show that household characteristics are important variables in residential energy models. Energy price elasticities and income elasticities are also estimated.","author":[{"dropping-particle":"","family":"Nesbakken","given":"Runa","non-dropping-particle":"","parse-names":false,"suffix":""}],"container-title":"Scandinavian Journal of Economics","id":"ITEM-3","issue":"1","issued":{"date-parts":[["2001","3","1"]]},"page":"165-184","publisher":"John Wiley &amp; Sons, Ltd","title":"Energy consumption for space heating: A discrete-continuous approach","type":"article-journal","volume":"103"},"uris":["http://www.mendeley.com/documents/?uuid=71505bab-397b-3e7c-bc5f-12c39123d8c0"]}],"mendeley":{"formattedCitation":"(&lt;i&gt;31&lt;/i&gt;, &lt;i&gt;32&lt;/i&gt;, &lt;i&gt;37&lt;/i&gt;)","plainTextFormattedCitation":"(31, 32, 37)","previouslyFormattedCitation":"(&lt;i&gt;31&lt;/i&gt;, &lt;i&gt;32&lt;/i&gt;, &lt;i&gt;37&lt;/i&gt;)"},"properties":{"noteIndex":0},"schema":"https://github.com/citation-style-language/schema/raw/master/csl-citation.json"}</w:instrText>
      </w:r>
      <w:r>
        <w:fldChar w:fldCharType="separate"/>
      </w:r>
      <w:r w:rsidR="009D3EDC" w:rsidRPr="009D3EDC">
        <w:rPr>
          <w:noProof/>
        </w:rPr>
        <w:t>(</w:t>
      </w:r>
      <w:r w:rsidR="009D3EDC" w:rsidRPr="009D3EDC">
        <w:rPr>
          <w:i/>
          <w:noProof/>
        </w:rPr>
        <w:t>31</w:t>
      </w:r>
      <w:r w:rsidR="009D3EDC" w:rsidRPr="009D3EDC">
        <w:rPr>
          <w:noProof/>
        </w:rPr>
        <w:t xml:space="preserve">, </w:t>
      </w:r>
      <w:r w:rsidR="009D3EDC" w:rsidRPr="009D3EDC">
        <w:rPr>
          <w:i/>
          <w:noProof/>
        </w:rPr>
        <w:t>32</w:t>
      </w:r>
      <w:r w:rsidR="009D3EDC" w:rsidRPr="009D3EDC">
        <w:rPr>
          <w:noProof/>
        </w:rPr>
        <w:t xml:space="preserve">, </w:t>
      </w:r>
      <w:r w:rsidR="009D3EDC" w:rsidRPr="009D3EDC">
        <w:rPr>
          <w:i/>
          <w:noProof/>
        </w:rPr>
        <w:t>37</w:t>
      </w:r>
      <w:r w:rsidR="009D3EDC" w:rsidRPr="009D3EDC">
        <w:rPr>
          <w:noProof/>
        </w:rPr>
        <w:t>)</w:t>
      </w:r>
      <w:r>
        <w:fldChar w:fldCharType="end"/>
      </w:r>
      <w:r>
        <w:t xml:space="preserve">.  Interestingly, RECS is the most used database in United </w:t>
      </w:r>
      <w:r w:rsidR="003D1215">
        <w:t>S</w:t>
      </w:r>
      <w:r>
        <w:t>tate</w:t>
      </w:r>
      <w:r w:rsidR="003D1215">
        <w:t>s</w:t>
      </w:r>
      <w:r>
        <w:t xml:space="preserve"> for analyzing the usage of various energy sources </w:t>
      </w:r>
      <w:r>
        <w:fldChar w:fldCharType="begin" w:fldLock="1"/>
      </w:r>
      <w:r w:rsidR="00812451">
        <w:instrText>ADDIN CSL_CITATION {"citationItems":[{"id":"ITEM-1","itemData":{"DOI":"10.2307/1911493","ISSN":"00129682","abstract":"No abstract is available for this item.","author":[{"dropping-particle":"","family":"Dubin","given":"Jeffrey A.","non-dropping-particle":"","parse-names":false,"suffix":""},{"dropping-particle":"","family":"McFadden","given":"Daniel L.","non-dropping-particle":"","parse-names":false,"suffix":""}],"container-title":"Econometrica","id":"ITEM-1","issue":"2","issued":{"date-parts":[["1984"]]},"page":"345","title":"An Econometric Analysis of Residential Electric Appliance Holdings and Consumption","type":"article-journal","volume":"52"},"uris":["http://www.mendeley.com/documents/?uuid=30d6c661-c833-3595-96a6-4f411c9eb663"]},{"id":"ITEM-2","itemData":{"DOI":"10.1016/j.jeem.2007.10.001","ISSN":"00950696","abstract":"Using cross-sectional data, this paper estimates a national energy model of fuel choice by both households and firms. Consumers in warmer locations rely relatively more heavily on electricity rather than natural gas, oil, and other fuels. They also use more energy. Climate change will likely increase electricity consumption on cooling but reduce the use of other fuels for heating. On net, American energy expenditures will likely increase, resulting in welfare damages that increase as temperatures rise. For example, if the US warms by 5 °C by 2100, we predict annual welfare losses of $57 billion. © 2007 Elsevier Inc. All rights reserved.","author":[{"dropping-particle":"","family":"Mansur","given":"Erin T.","non-dropping-particle":"","parse-names":false,"suffix":""},{"dropping-particle":"","family":"Mendelsohn","given":"Robert","non-dropping-particle":"","parse-names":false,"suffix":""},{"dropping-particle":"","family":"Morrison","given":"Wendy","non-dropping-particle":"","parse-names":false,"suffix":""}],"container-title":"Journal of Environmental Economics and Management","id":"ITEM-2","issue":"2","issued":{"date-parts":[["2008","3","1"]]},"page":"175-193","publisher":"Academic Press","title":"Climate change adaptation: A study of fuel choice and consumption in the US energy sector","type":"article-journal","volume":"55"},"uris":["http://www.mendeley.com/documents/?uuid=c90dc6b8-4f55-3075-83c9-b4957b252557"]},{"id":"ITEM-3","itemData":{"abstract":"This paper provides a summary of research to estimate the household price elasticities for natural gas, electricity, and water in California. First, we introduce two problems that complicate existing estimate of the price elasticity of demand for these household goods: block rate pricing and joint consumption. Next we summarize estimates of the price elasticity of demand in the literature. These estimates vary widely across regions, time periods, and statistical techniques, making it difficult to use these estimates for policy purposes. We address this problem in the third section of the paper, and present statistical methods for estimating price elasticity in the case of block rates and joint consumption. In section four, we present preliminary estimates of the price elasticity of demand for natural gas, electricity, and water in California, using these statistical methods. The paper concludes with a short discussion of the results, and their possible policy implications. The regression estimates reported in this paper suggest that the price elasticity of demand for natural gas, electricity, and water is lower than is commonly reported in the literature. Coupled with global warming and rising electricity and water use, our price elasticity findings suggest a need for strong non-price and price conservation measures to effectively manage these resources.","author":[{"dropping-particle":"","family":"Dale","given":"L.","non-dropping-particle":"","parse-names":false,"suffix":""},{"dropping-particle":"","family":"Fujita","given":"S.","non-dropping-particle":"","parse-names":false,"suffix":""},{"dropping-particle":"","family":"Vasquez","given":"F.","non-dropping-particle":"","parse-names":false,"suffix":""},{"dropping-particle":"","family":"Moezzi","given":"M.","non-dropping-particle":"","parse-names":false,"suffix":""},{"dropping-particle":"","family":"Hanemann","given":"M.","non-dropping-particle":"","parse-names":false,"suffix":""},{"dropping-particle":"","family":"Guerrero","given":"S.","non-dropping-particle":"","parse-names":false,"suffix":""},{"dropping-particle":"","family":"Lutzenhiser","given":"L.","non-dropping-particle":"","parse-names":false,"suffix":""}],"container-title":"Public Interest Energy Research (PIER) Program Reports CEC-500-2009-032-D, California Energy Commission, Sacramento, CA","id":"ITEM-3","issued":{"date-parts":[["2009"]]},"title":"Price Impact on the Demand for Water and Energy in California Residences","type":"article-journal"},"uris":["http://www.mendeley.com/documents/?uuid=9ddc3111-8945-3113-a55d-4787d486067c"]},{"id":"ITEM-4","itemData":{"DOI":"10.1016/S0360-5442(97)00034-0","ISSN":"03605442","abstract":"A methodology has been developed for assessing the sensitivity of electricity and natural gas consumption to climate at regional scales. The approach involves a multiple-regression analysis of historical energy and climate data, and has been applied to eight of the most energy-intensive states, representing 42% of the total annual energy consumption in the United States. Statistical models were developed using two sets of independent variables-primitive variables such as temperature, relative humidity, and wind speed, and derived variables including cooling degree days, heating degree days, and enthalpy latent days. The advantages and disadvantages of both modeling approaches are discussed in this paper, along with sample results for a combined analysis of residential and commercial consumption in eight states.","author":[{"dropping-particle":"","family":"Sailor","given":"David J.","non-dropping-particle":"","parse-names":false,"suffix":""},{"dropping-particle":"","family":"Muñoz","given":"J. Ricardo","non-dropping-particle":"","parse-names":false,"suffix":""}],"container-title":"Energy","id":"ITEM-4","issue":"10","issued":{"date-parts":[["1997"]]},"page":"987-998","title":"Sensitivity of electricity and natural gas consumption to climate in the U.S.A. - Methodology and results for eight states","type":"article-journal","volume":"22"},"uris":["http://www.mendeley.com/documents/?uuid=26f97fcb-396c-3b1b-bfed-6d2d39be9ce2"]},{"id":"ITEM-5","itemData":{"DOI":"10.1016/j.enbuild.2021.110934","ISSN":"03787788","abstract":"Residential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Buildings","id":"ITEM-5","issued":{"date-parts":[["2021"]]},"title":"An examination of factors affecting residential energy consumption using a multiple discrete continuous approach","type":"article-journal","volume":"240"},"uris":["http://www.mendeley.com/documents/?uuid=26e32950-12ac-3b18-8799-6c5df31cb049"]},{"id":"ITEM-6","itemData":{"DOI":"10.1016/j.jocm.2021.100283","ISSN":"17555345","abstract":"This paper proposes simple and computationally efficient forecasting algorithms for random utility maximization-based multiple discrete-continuous (MDC) choice models with additively separable utility functions, such as the Multiple Discrete-Continuous Extreme Value (MDCEV) model. The algorithms build on simple yet insightful, analytical explorations with the Karush Kuhn-Tucker (KKT) conditions of optimality that shed new light on the properties of the models. The MDCEV model and the forecasting algorithms proposed in this paper are applied to a household-level energy consumption dataset to analyze residential energy consumption patterns in the United States. Further, simulation experiments are undertaken to assess the computational performance of the proposed and existing KT demand forecasting algorithms for a range of choice situations with small and large choice sets.","author":[{"dropping-particle":"","family":"Pinjari","given":"Abdul Rawoof","non-dropping-particle":"","parse-names":false,"suffix":""},{"dropping-particle":"","family":"Bhat","given":"Chandra","non-dropping-particle":"","parse-names":false,"suffix":""}],"container-title":"Journal of Choice Modelling","id":"ITEM-6","issued":{"date-parts":[["2021"]]},"title":"Computationally efficient forecasting procedures for Kuhn-Tucker consumer demand model systems: Application to residential energy consumption analysis","type":"article-journal","volume":"39"},"uris":["http://www.mendeley.com/documents/?uuid=2b16aecb-fbfd-3829-9516-90d784fd9982"]}],"mendeley":{"formattedCitation":"(&lt;i&gt;29&lt;/i&gt;–&lt;i&gt;34&lt;/i&gt;)","plainTextFormattedCitation":"(29–34)","previouslyFormattedCitation":"(&lt;i&gt;29&lt;/i&gt;–&lt;i&gt;34&lt;/i&gt;)"},"properties":{"noteIndex":0},"schema":"https://github.com/citation-style-language/schema/raw/master/csl-citation.json"}</w:instrText>
      </w:r>
      <w:r>
        <w:fldChar w:fldCharType="separate"/>
      </w:r>
      <w:r w:rsidR="009D3EDC" w:rsidRPr="009D3EDC">
        <w:rPr>
          <w:noProof/>
        </w:rPr>
        <w:t>(</w:t>
      </w:r>
      <w:r w:rsidR="009D3EDC" w:rsidRPr="009D3EDC">
        <w:rPr>
          <w:i/>
          <w:noProof/>
        </w:rPr>
        <w:t>29</w:t>
      </w:r>
      <w:r w:rsidR="009D3EDC" w:rsidRPr="009D3EDC">
        <w:rPr>
          <w:noProof/>
        </w:rPr>
        <w:t>–</w:t>
      </w:r>
      <w:r w:rsidR="009D3EDC" w:rsidRPr="009D3EDC">
        <w:rPr>
          <w:i/>
          <w:noProof/>
        </w:rPr>
        <w:t>34</w:t>
      </w:r>
      <w:r w:rsidR="009D3EDC" w:rsidRPr="009D3EDC">
        <w:rPr>
          <w:noProof/>
        </w:rPr>
        <w:t>)</w:t>
      </w:r>
      <w:r>
        <w:fldChar w:fldCharType="end"/>
      </w:r>
      <w:r>
        <w:t xml:space="preserve">. Within these studies, the most prevalent form of energy usage considered is the continuous </w:t>
      </w:r>
      <w:r w:rsidR="003D1215">
        <w:t xml:space="preserve">representation of energy use </w:t>
      </w:r>
      <w:r>
        <w:t>including</w:t>
      </w:r>
      <w:r w:rsidRPr="00542463">
        <w:t xml:space="preserve"> </w:t>
      </w:r>
      <w:r>
        <w:t xml:space="preserve">energy consumption in BTU, or natural logarithm of energy consumption </w:t>
      </w:r>
      <w:r>
        <w:fldChar w:fldCharType="begin" w:fldLock="1"/>
      </w:r>
      <w:r w:rsidR="00812451">
        <w:instrText>ADDIN CSL_CITATION {"citationItems":[{"id":"ITEM-1","itemData":{"DOI":"10.2307/1911493","ISSN":"00129682","abstract":"No abstract is available for this item.","author":[{"dropping-particle":"","family":"Dubin","given":"Jeffrey A.","non-dropping-particle":"","parse-names":false,"suffix":""},{"dropping-particle":"","family":"McFadden","given":"Daniel L.","non-dropping-particle":"","parse-names":false,"suffix":""}],"container-title":"Econometrica","id":"ITEM-1","issue":"2","issued":{"date-parts":[["1984"]]},"page":"345","title":"An Econometric Analysis of Residential Electric Appliance Holdings and Consumption","type":"article-journal","volume":"52"},"uris":["http://www.mendeley.com/documents/?uuid=30d6c661-c833-3595-96a6-4f411c9eb663"]},{"id":"ITEM-2","itemData":{"DOI":"10.1016/j.jeem.2007.10.001","ISSN":"00950696","abstract":"Using cross-sectional data, this paper estimates a national energy model of fuel choice by both households and firms. Consumers in warmer locations rely relatively more heavily on electricity rather than natural gas, oil, and other fuels. They also use more energy. Climate change will likely increase electricity consumption on cooling but reduce the use of other fuels for heating. On net, American energy expenditures will likely increase, resulting in welfare damages that increase as temperatures rise. For example, if the US warms by 5 °C by 2100, we predict annual welfare losses of $57 billion. © 2007 Elsevier Inc. All rights reserved.","author":[{"dropping-particle":"","family":"Mansur","given":"Erin T.","non-dropping-particle":"","parse-names":false,"suffix":""},{"dropping-particle":"","family":"Mendelsohn","given":"Robert","non-dropping-particle":"","parse-names":false,"suffix":""},{"dropping-particle":"","family":"Morrison","given":"Wendy","non-dropping-particle":"","parse-names":false,"suffix":""}],"container-title":"Journal of Environmental Economics and Management","id":"ITEM-2","issue":"2","issued":{"date-parts":[["2008","3","1"]]},"page":"175-193","publisher":"Academic Press","title":"Climate change adaptation: A study of fuel choice and consumption in the US energy sector","type":"article-journal","volume":"55"},"uris":["http://www.mendeley.com/documents/?uuid=c90dc6b8-4f55-3075-83c9-b4957b252557"]},{"id":"ITEM-3","itemData":{"abstract":"This paper provides a summary of research to estimate the household price elasticities for natural gas, electricity, and water in California. First, we introduce two problems that complicate existing estimate of the price elasticity of demand for these household goods: block rate pricing and joint consumption. Next we summarize estimates of the price elasticity of demand in the literature. These estimates vary widely across regions, time periods, and statistical techniques, making it difficult to use these estimates for policy purposes. We address this problem in the third section of the paper, and present statistical methods for estimating price elasticity in the case of block rates and joint consumption. In section four, we present preliminary estimates of the price elasticity of demand for natural gas, electricity, and water in California, using these statistical methods. The paper concludes with a short discussion of the results, and their possible policy implications. The regression estimates reported in this paper suggest that the price elasticity of demand for natural gas, electricity, and water is lower than is commonly reported in the literature. Coupled with global warming and rising electricity and water use, our price elasticity findings suggest a need for strong non-price and price conservation measures to effectively manage these resources.","author":[{"dropping-particle":"","family":"Dale","given":"L.","non-dropping-particle":"","parse-names":false,"suffix":""},{"dropping-particle":"","family":"Fujita","given":"S.","non-dropping-particle":"","parse-names":false,"suffix":""},{"dropping-particle":"","family":"Vasquez","given":"F.","non-dropping-particle":"","parse-names":false,"suffix":""},{"dropping-particle":"","family":"Moezzi","given":"M.","non-dropping-particle":"","parse-names":false,"suffix":""},{"dropping-particle":"","family":"Hanemann","given":"M.","non-dropping-particle":"","parse-names":false,"suffix":""},{"dropping-particle":"","family":"Guerrero","given":"S.","non-dropping-particle":"","parse-names":false,"suffix":""},{"dropping-particle":"","family":"Lutzenhiser","given":"L.","non-dropping-particle":"","parse-names":false,"suffix":""}],"container-title":"Public Interest Energy Research (PIER) Program Reports CEC-500-2009-032-D, California Energy Commission, Sacramento, CA","id":"ITEM-3","issued":{"date-parts":[["2009"]]},"title":"Price Impact on the Demand for Water and Energy in California Residences","type":"article-journal"},"uris":["http://www.mendeley.com/documents/?uuid=9ddc3111-8945-3113-a55d-4787d486067c"]},{"id":"ITEM-4","itemData":{"DOI":"10.1016/S0360-5442(97)00034-0","ISSN":"03605442","abstract":"A methodology has been developed for assessing the sensitivity of electricity and natural gas consumption to climate at regional scales. The approach involves a multiple-regression analysis of historical energy and climate data, and has been applied to eight of the most energy-intensive states, representing 42% of the total annual energy consumption in the United States. Statistical models were developed using two sets of independent variables-primitive variables such as temperature, relative humidity, and wind speed, and derived variables including cooling degree days, heating degree days, and enthalpy latent days. The advantages and disadvantages of both modeling approaches are discussed in this paper, along with sample results for a combined analysis of residential and commercial consumption in eight states.","author":[{"dropping-particle":"","family":"Sailor","given":"David J.","non-dropping-particle":"","parse-names":false,"suffix":""},{"dropping-particle":"","family":"Muñoz","given":"J. Ricardo","non-dropping-particle":"","parse-names":false,"suffix":""}],"container-title":"Energy","id":"ITEM-4","issue":"10","issued":{"date-parts":[["1997"]]},"page":"987-998","title":"Sensitivity of electricity and natural gas consumption to climate in the U.S.A. - Methodology and results for eight states","type":"article-journal","volume":"22"},"uris":["http://www.mendeley.com/documents/?uuid=26f97fcb-396c-3b1b-bfed-6d2d39be9ce2"]}],"mendeley":{"formattedCitation":"(&lt;i&gt;29&lt;/i&gt;, &lt;i&gt;30&lt;/i&gt;, &lt;i&gt;33&lt;/i&gt;, &lt;i&gt;34&lt;/i&gt;)","plainTextFormattedCitation":"(29, 30, 33, 34)","previouslyFormattedCitation":"(&lt;i&gt;29&lt;/i&gt;, &lt;i&gt;30&lt;/i&gt;, &lt;i&gt;33&lt;/i&gt;, &lt;i&gt;34&lt;/i&gt;)"},"properties":{"noteIndex":0},"schema":"https://github.com/citation-style-language/schema/raw/master/csl-citation.json"}</w:instrText>
      </w:r>
      <w:r>
        <w:fldChar w:fldCharType="separate"/>
      </w:r>
      <w:r w:rsidR="009D3EDC" w:rsidRPr="009D3EDC">
        <w:rPr>
          <w:noProof/>
        </w:rPr>
        <w:t>(</w:t>
      </w:r>
      <w:r w:rsidR="009D3EDC" w:rsidRPr="009D3EDC">
        <w:rPr>
          <w:i/>
          <w:noProof/>
        </w:rPr>
        <w:t>29</w:t>
      </w:r>
      <w:r w:rsidR="009D3EDC" w:rsidRPr="009D3EDC">
        <w:rPr>
          <w:noProof/>
        </w:rPr>
        <w:t xml:space="preserve">, </w:t>
      </w:r>
      <w:r w:rsidR="009D3EDC" w:rsidRPr="009D3EDC">
        <w:rPr>
          <w:i/>
          <w:noProof/>
        </w:rPr>
        <w:t>30</w:t>
      </w:r>
      <w:r w:rsidR="009D3EDC" w:rsidRPr="009D3EDC">
        <w:rPr>
          <w:noProof/>
        </w:rPr>
        <w:t xml:space="preserve">, </w:t>
      </w:r>
      <w:r w:rsidR="009D3EDC" w:rsidRPr="009D3EDC">
        <w:rPr>
          <w:i/>
          <w:noProof/>
        </w:rPr>
        <w:t>33</w:t>
      </w:r>
      <w:r w:rsidR="009D3EDC" w:rsidRPr="009D3EDC">
        <w:rPr>
          <w:noProof/>
        </w:rPr>
        <w:t xml:space="preserve">, </w:t>
      </w:r>
      <w:r w:rsidR="009D3EDC" w:rsidRPr="009D3EDC">
        <w:rPr>
          <w:i/>
          <w:noProof/>
        </w:rPr>
        <w:t>34</w:t>
      </w:r>
      <w:r w:rsidR="009D3EDC" w:rsidRPr="009D3EDC">
        <w:rPr>
          <w:noProof/>
        </w:rPr>
        <w:t>)</w:t>
      </w:r>
      <w:r>
        <w:fldChar w:fldCharType="end"/>
      </w:r>
      <w:r>
        <w:t xml:space="preserve"> while a handful of research</w:t>
      </w:r>
      <w:r w:rsidR="003D1215">
        <w:t xml:space="preserve"> </w:t>
      </w:r>
      <w:r w:rsidR="0045519A">
        <w:t>efforts</w:t>
      </w:r>
      <w:r>
        <w:t xml:space="preserve"> focused on the choice of energy source </w:t>
      </w:r>
      <w:r>
        <w:fldChar w:fldCharType="begin" w:fldLock="1"/>
      </w:r>
      <w:r w:rsidR="00812451">
        <w:instrText>ADDIN CSL_CITATION {"citationItems":[{"id":"ITEM-1","itemData":{"DOI":"10.2307/1911493","ISSN":"00129682","abstract":"No abstract is available for this item.","author":[{"dropping-particle":"","family":"Dubin","given":"Jeffrey A.","non-dropping-particle":"","parse-names":false,"suffix":""},{"dropping-particle":"","family":"McFadden","given":"Daniel L.","non-dropping-particle":"","parse-names":false,"suffix":""}],"container-title":"Econometrica","id":"ITEM-1","issue":"2","issued":{"date-parts":[["1984"]]},"page":"345","title":"An Econometric Analysis of Residential Electric Appliance Holdings and Consumption","type":"article-journal","volume":"52"},"uris":["http://www.mendeley.com/documents/?uuid=30d6c661-c833-3595-96a6-4f411c9eb663"]},{"id":"ITEM-2","itemData":{"DOI":"10.1016/j.jeem.2007.10.001","ISSN":"00950696","abstract":"Using cross-sectional data, this paper estimates a national energy model of fuel choice by both households and firms. Consumers in warmer locations rely relatively more heavily on electricity rather than natural gas, oil, and other fuels. They also use more energy. Climate change will likely increase electricity consumption on cooling but reduce the use of other fuels for heating. On net, American energy expenditures will likely increase, resulting in welfare damages that increase as temperatures rise. For example, if the US warms by 5 °C by 2100, we predict annual welfare losses of $57 billion. © 2007 Elsevier Inc. All rights reserved.","author":[{"dropping-particle":"","family":"Mansur","given":"Erin T.","non-dropping-particle":"","parse-names":false,"suffix":""},{"dropping-particle":"","family":"Mendelsohn","given":"Robert","non-dropping-particle":"","parse-names":false,"suffix":""},{"dropping-particle":"","family":"Morrison","given":"Wendy","non-dropping-particle":"","parse-names":false,"suffix":""}],"container-title":"Journal of Environmental Economics and Management","id":"ITEM-2","issue":"2","issued":{"date-parts":[["2008","3","1"]]},"page":"175-193","publisher":"Academic Press","title":"Climate change adaptation: A study of fuel choice and consumption in the US energy sector","type":"article-journal","volume":"55"},"uris":["http://www.mendeley.com/documents/?uuid=c90dc6b8-4f55-3075-83c9-b4957b252557"]},{"id":"ITEM-3","itemData":{"DOI":"10.1016/j.enbuild.2021.110934","ISSN":"03787788","abstract":"Residential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Buildings","id":"ITEM-3","issued":{"date-parts":[["2021"]]},"title":"An examination of factors affecting residential energy consumption using a multiple discrete continuous approach","type":"article-journal","volume":"240"},"uris":["http://www.mendeley.com/documents/?uuid=26e32950-12ac-3b18-8799-6c5df31cb049"]},{"id":"ITEM-4","itemData":{"DOI":"10.1016/j.jocm.2021.100283","ISSN":"17555345","abstract":"This paper proposes simple and computationally efficient forecasting algorithms for random utility maximization-based multiple discrete-continuous (MDC) choice models with additively separable utility functions, such as the Multiple Discrete-Continuous Extreme Value (MDCEV) model. The algorithms build on simple yet insightful, analytical explorations with the Karush Kuhn-Tucker (KKT) conditions of optimality that shed new light on the properties of the models. The MDCEV model and the forecasting algorithms proposed in this paper are applied to a household-level energy consumption dataset to analyze residential energy consumption patterns in the United States. Further, simulation experiments are undertaken to assess the computational performance of the proposed and existing KT demand forecasting algorithms for a range of choice situations with small and large choice sets.","author":[{"dropping-particle":"","family":"Pinjari","given":"Abdul Rawoof","non-dropping-particle":"","parse-names":false,"suffix":""},{"dropping-particle":"","family":"Bhat","given":"Chandra","non-dropping-particle":"","parse-names":false,"suffix":""}],"container-title":"Journal of Choice Modelling","id":"ITEM-4","issued":{"date-parts":[["2021"]]},"title":"Computationally efficient forecasting procedures for Kuhn-Tucker consumer demand model systems: Application to residential energy consumption analysis","type":"article-journal","volume":"39"},"uris":["http://www.mendeley.com/documents/?uuid=2b16aecb-fbfd-3829-9516-90d784fd9982"]}],"mendeley":{"formattedCitation":"(&lt;i&gt;30&lt;/i&gt;–&lt;i&gt;32&lt;/i&gt;, &lt;i&gt;34&lt;/i&gt;)","plainTextFormattedCitation":"(30–32, 34)","previouslyFormattedCitation":"(&lt;i&gt;30&lt;/i&gt;–&lt;i&gt;32&lt;/i&gt;, &lt;i&gt;34&lt;/i&gt;)"},"properties":{"noteIndex":0},"schema":"https://github.com/citation-style-language/schema/raw/master/csl-citation.json"}</w:instrText>
      </w:r>
      <w:r>
        <w:fldChar w:fldCharType="separate"/>
      </w:r>
      <w:r w:rsidR="009D3EDC" w:rsidRPr="009D3EDC">
        <w:rPr>
          <w:noProof/>
        </w:rPr>
        <w:t>(</w:t>
      </w:r>
      <w:r w:rsidR="009D3EDC" w:rsidRPr="009D3EDC">
        <w:rPr>
          <w:i/>
          <w:noProof/>
        </w:rPr>
        <w:t>30</w:t>
      </w:r>
      <w:r w:rsidR="009D3EDC" w:rsidRPr="009D3EDC">
        <w:rPr>
          <w:noProof/>
        </w:rPr>
        <w:t>–</w:t>
      </w:r>
      <w:r w:rsidR="009D3EDC" w:rsidRPr="009D3EDC">
        <w:rPr>
          <w:i/>
          <w:noProof/>
        </w:rPr>
        <w:t>32</w:t>
      </w:r>
      <w:r w:rsidR="009D3EDC" w:rsidRPr="009D3EDC">
        <w:rPr>
          <w:noProof/>
        </w:rPr>
        <w:t xml:space="preserve">, </w:t>
      </w:r>
      <w:r w:rsidR="009D3EDC" w:rsidRPr="009D3EDC">
        <w:rPr>
          <w:i/>
          <w:noProof/>
        </w:rPr>
        <w:t>34</w:t>
      </w:r>
      <w:r w:rsidR="009D3EDC" w:rsidRPr="009D3EDC">
        <w:rPr>
          <w:noProof/>
        </w:rPr>
        <w:t>)</w:t>
      </w:r>
      <w:r>
        <w:fldChar w:fldCharType="end"/>
      </w:r>
      <w:r>
        <w:t xml:space="preserve">. Given the continuous nature of the choice variable, it is not surprising </w:t>
      </w:r>
      <w:r w:rsidR="003D1215">
        <w:t>earlier research ad</w:t>
      </w:r>
      <w:r>
        <w:t xml:space="preserve">opted </w:t>
      </w:r>
      <w:r w:rsidR="003D1215">
        <w:t>the</w:t>
      </w:r>
      <w:r>
        <w:t xml:space="preserve"> regression framework for examining the energy usage. In particular, work in this area has ranged from simple linear regression </w:t>
      </w:r>
      <w:r>
        <w:fldChar w:fldCharType="begin" w:fldLock="1"/>
      </w:r>
      <w:r w:rsidR="00812451">
        <w:instrText>ADDIN CSL_CITATION {"citationItems":[{"id":"ITEM-1","itemData":{"DOI":"10.2307/1911493","ISSN":"00129682","abstract":"No abstract is available for this item.","author":[{"dropping-particle":"","family":"Dubin","given":"Jeffrey A.","non-dropping-particle":"","parse-names":false,"suffix":""},{"dropping-particle":"","family":"McFadden","given":"Daniel L.","non-dropping-particle":"","parse-names":false,"suffix":""}],"container-title":"Econometrica","id":"ITEM-1","issue":"2","issued":{"date-parts":[["1984"]]},"page":"345","title":"An Econometric Analysis of Residential Electric Appliance Holdings and Consumption","type":"article-journal","volume":"52"},"uris":["http://www.mendeley.com/documents/?uuid=30d6c661-c833-3595-96a6-4f411c9eb663"]},{"id":"ITEM-2","itemData":{"DOI":"10.1016/j.jeem.2007.10.001","ISSN":"00950696","abstract":"Using cross-sectional data, this paper estimates a national energy model of fuel choice by both households and firms. Consumers in warmer locations rely relatively more heavily on electricity rather than natural gas, oil, and other fuels. They also use more energy. Climate change will likely increase electricity consumption on cooling but reduce the use of other fuels for heating. On net, American energy expenditures will likely increase, resulting in welfare damages that increase as temperatures rise. For example, if the US warms by 5 °C by 2100, we predict annual welfare losses of $57 billion. © 2007 Elsevier Inc. All rights reserved.","author":[{"dropping-particle":"","family":"Mansur","given":"Erin T.","non-dropping-particle":"","parse-names":false,"suffix":""},{"dropping-particle":"","family":"Mendelsohn","given":"Robert","non-dropping-particle":"","parse-names":false,"suffix":""},{"dropping-particle":"","family":"Morrison","given":"Wendy","non-dropping-particle":"","parse-names":false,"suffix":""}],"container-title":"Journal of Environmental Economics and Management","id":"ITEM-2","issue":"2","issued":{"date-parts":[["2008","3","1"]]},"page":"175-193","publisher":"Academic Press","title":"Climate change adaptation: A study of fuel choice and consumption in the US energy sector","type":"article-journal","volume":"55"},"uris":["http://www.mendeley.com/documents/?uuid=c90dc6b8-4f55-3075-83c9-b4957b252557"]},{"id":"ITEM-3","itemData":{"abstract":"This paper provides a summary of research to estimate the household price elasticities for natural gas, electricity, and water in California. First, we introduce two problems that complicate existing estimate of the price elasticity of demand for these household goods: block rate pricing and joint consumption. Next we summarize estimates of the price elasticity of demand in the literature. These estimates vary widely across regions, time periods, and statistical techniques, making it difficult to use these estimates for policy purposes. We address this problem in the third section of the paper, and present statistical methods for estimating price elasticity in the case of block rates and joint consumption. In section four, we present preliminary estimates of the price elasticity of demand for natural gas, electricity, and water in California, using these statistical methods. The paper concludes with a short discussion of the results, and their possible policy implications. The regression estimates reported in this paper suggest that the price elasticity of demand for natural gas, electricity, and water is lower than is commonly reported in the literature. Coupled with global warming and rising electricity and water use, our price elasticity findings suggest a need for strong non-price and price conservation measures to effectively manage these resources.","author":[{"dropping-particle":"","family":"Dale","given":"L.","non-dropping-particle":"","parse-names":false,"suffix":""},{"dropping-particle":"","family":"Fujita","given":"S.","non-dropping-particle":"","parse-names":false,"suffix":""},{"dropping-particle":"","family":"Vasquez","given":"F.","non-dropping-particle":"","parse-names":false,"suffix":""},{"dropping-particle":"","family":"Moezzi","given":"M.","non-dropping-particle":"","parse-names":false,"suffix":""},{"dropping-particle":"","family":"Hanemann","given":"M.","non-dropping-particle":"","parse-names":false,"suffix":""},{"dropping-particle":"","family":"Guerrero","given":"S.","non-dropping-particle":"","parse-names":false,"suffix":""},{"dropping-particle":"","family":"Lutzenhiser","given":"L.","non-dropping-particle":"","parse-names":false,"suffix":""}],"container-title":"Public Interest Energy Research (PIER) Program Reports CEC-500-2009-032-D, California Energy Commission, Sacramento, CA","id":"ITEM-3","issued":{"date-parts":[["2009"]]},"title":"Price Impact on the Demand for Water and Energy in California Residences","type":"article-journal"},"uris":["http://www.mendeley.com/documents/?uuid=9ddc3111-8945-3113-a55d-4787d486067c"]},{"id":"ITEM-4","itemData":{"DOI":"10.1016/S0360-5442(97)00034-0","ISSN":"03605442","abstract":"A methodology has been developed for assessing the sensitivity of electricity and natural gas consumption to climate at regional scales. The approach involves a multiple-regression analysis of historical energy and climate data, and has been applied to eight of the most energy-intensive states, representing 42% of the total annual energy consumption in the United States. Statistical models were developed using two sets of independent variables-primitive variables such as temperature, relative humidity, and wind speed, and derived variables including cooling degree days, heating degree days, and enthalpy latent days. The advantages and disadvantages of both modeling approaches are discussed in this paper, along with sample results for a combined analysis of residential and commercial consumption in eight states.","author":[{"dropping-particle":"","family":"Sailor","given":"David J.","non-dropping-particle":"","parse-names":false,"suffix":""},{"dropping-particle":"","family":"Muñoz","given":"J. Ricardo","non-dropping-particle":"","parse-names":false,"suffix":""}],"container-title":"Energy","id":"ITEM-4","issue":"10","issued":{"date-parts":[["1997"]]},"page":"987-998","title":"Sensitivity of electricity and natural gas consumption to climate in the U.S.A. - Methodology and results for eight states","type":"article-journal","volume":"22"},"uris":["http://www.mendeley.com/documents/?uuid=26f97fcb-396c-3b1b-bfed-6d2d39be9ce2"]}],"mendeley":{"formattedCitation":"(&lt;i&gt;29&lt;/i&gt;, &lt;i&gt;30&lt;/i&gt;, &lt;i&gt;33&lt;/i&gt;, &lt;i&gt;34&lt;/i&gt;)","plainTextFormattedCitation":"(29, 30, 33, 34)","previouslyFormattedCitation":"(&lt;i&gt;29&lt;/i&gt;, &lt;i&gt;30&lt;/i&gt;, &lt;i&gt;33&lt;/i&gt;, &lt;i&gt;34&lt;/i&gt;)"},"properties":{"noteIndex":0},"schema":"https://github.com/citation-style-language/schema/raw/master/csl-citation.json"}</w:instrText>
      </w:r>
      <w:r>
        <w:fldChar w:fldCharType="separate"/>
      </w:r>
      <w:r w:rsidR="009D3EDC" w:rsidRPr="009D3EDC">
        <w:rPr>
          <w:noProof/>
        </w:rPr>
        <w:t>(</w:t>
      </w:r>
      <w:r w:rsidR="009D3EDC" w:rsidRPr="009D3EDC">
        <w:rPr>
          <w:i/>
          <w:noProof/>
        </w:rPr>
        <w:t>29</w:t>
      </w:r>
      <w:r w:rsidR="009D3EDC" w:rsidRPr="009D3EDC">
        <w:rPr>
          <w:noProof/>
        </w:rPr>
        <w:t xml:space="preserve">, </w:t>
      </w:r>
      <w:r w:rsidR="009D3EDC" w:rsidRPr="009D3EDC">
        <w:rPr>
          <w:i/>
          <w:noProof/>
        </w:rPr>
        <w:t>30</w:t>
      </w:r>
      <w:r w:rsidR="009D3EDC" w:rsidRPr="009D3EDC">
        <w:rPr>
          <w:noProof/>
        </w:rPr>
        <w:t xml:space="preserve">, </w:t>
      </w:r>
      <w:r w:rsidR="009D3EDC" w:rsidRPr="009D3EDC">
        <w:rPr>
          <w:i/>
          <w:noProof/>
        </w:rPr>
        <w:t>33</w:t>
      </w:r>
      <w:r w:rsidR="009D3EDC" w:rsidRPr="009D3EDC">
        <w:rPr>
          <w:noProof/>
        </w:rPr>
        <w:t xml:space="preserve">, </w:t>
      </w:r>
      <w:r w:rsidR="009D3EDC" w:rsidRPr="009D3EDC">
        <w:rPr>
          <w:i/>
          <w:noProof/>
        </w:rPr>
        <w:t>34</w:t>
      </w:r>
      <w:r w:rsidR="009D3EDC" w:rsidRPr="009D3EDC">
        <w:rPr>
          <w:noProof/>
        </w:rPr>
        <w:t>)</w:t>
      </w:r>
      <w:r>
        <w:fldChar w:fldCharType="end"/>
      </w:r>
      <w:r>
        <w:t xml:space="preserve"> or discrete </w:t>
      </w:r>
      <w:r w:rsidR="00E91F9E">
        <w:t xml:space="preserve">continuous </w:t>
      </w:r>
      <w:r>
        <w:t xml:space="preserve">models </w:t>
      </w:r>
      <w:r>
        <w:fldChar w:fldCharType="begin" w:fldLock="1"/>
      </w:r>
      <w:r w:rsidR="00812451">
        <w:instrText>ADDIN CSL_CITATION {"citationItems":[{"id":"ITEM-1","itemData":{"DOI":"10.2307/1911493","ISSN":"00129682","abstract":"No abstract is available for this item.","author":[{"dropping-particle":"","family":"Dubin","given":"Jeffrey A.","non-dropping-particle":"","parse-names":false,"suffix":""},{"dropping-particle":"","family":"McFadden","given":"Daniel L.","non-dropping-particle":"","parse-names":false,"suffix":""}],"container-title":"Econometrica","id":"ITEM-1","issue":"2","issued":{"date-parts":[["1984"]]},"page":"345","title":"An Econometric Analysis of Residential Electric Appliance Holdings and Consumption","type":"article-journal","volume":"52"},"uris":["http://www.mendeley.com/documents/?uuid=30d6c661-c833-3595-96a6-4f411c9eb663"]},{"id":"ITEM-2","itemData":{"DOI":"10.1016/j.jeem.2007.10.001","ISSN":"00950696","abstract":"Using cross-sectional data, this paper estimates a national energy model of fuel choice by both households and firms. Consumers in warmer locations rely relatively more heavily on electricity rather than natural gas, oil, and other fuels. They also use more energy. Climate change will likely increase electricity consumption on cooling but reduce the use of other fuels for heating. On net, American energy expenditures will likely increase, resulting in welfare damages that increase as temperatures rise. For example, if the US warms by 5 °C by 2100, we predict annual welfare losses of $57 billion. © 2007 Elsevier Inc. All rights reserved.","author":[{"dropping-particle":"","family":"Mansur","given":"Erin T.","non-dropping-particle":"","parse-names":false,"suffix":""},{"dropping-particle":"","family":"Mendelsohn","given":"Robert","non-dropping-particle":"","parse-names":false,"suffix":""},{"dropping-particle":"","family":"Morrison","given":"Wendy","non-dropping-particle":"","parse-names":false,"suffix":""}],"container-title":"Journal of Environmental Economics and Management","id":"ITEM-2","issue":"2","issued":{"date-parts":[["2008","3","1"]]},"page":"175-193","publisher":"Academic Press","title":"Climate change adaptation: A study of fuel choice and consumption in the US energy sector","type":"article-journal","volume":"55"},"uris":["http://www.mendeley.com/documents/?uuid=c90dc6b8-4f55-3075-83c9-b4957b252557"]}],"mendeley":{"formattedCitation":"(&lt;i&gt;30&lt;/i&gt;, &lt;i&gt;34&lt;/i&gt;)","plainTextFormattedCitation":"(30, 34)","previouslyFormattedCitation":"(&lt;i&gt;30&lt;/i&gt;, &lt;i&gt;34&lt;/i&gt;)"},"properties":{"noteIndex":0},"schema":"https://github.com/citation-style-language/schema/raw/master/csl-citation.json"}</w:instrText>
      </w:r>
      <w:r>
        <w:fldChar w:fldCharType="separate"/>
      </w:r>
      <w:r w:rsidR="009D3EDC" w:rsidRPr="009D3EDC">
        <w:rPr>
          <w:noProof/>
        </w:rPr>
        <w:t>(</w:t>
      </w:r>
      <w:r w:rsidR="009D3EDC" w:rsidRPr="009D3EDC">
        <w:rPr>
          <w:i/>
          <w:noProof/>
        </w:rPr>
        <w:t>30</w:t>
      </w:r>
      <w:r w:rsidR="009D3EDC" w:rsidRPr="009D3EDC">
        <w:rPr>
          <w:noProof/>
        </w:rPr>
        <w:t xml:space="preserve">, </w:t>
      </w:r>
      <w:r w:rsidR="009D3EDC" w:rsidRPr="009D3EDC">
        <w:rPr>
          <w:i/>
          <w:noProof/>
        </w:rPr>
        <w:t>34</w:t>
      </w:r>
      <w:r w:rsidR="009D3EDC" w:rsidRPr="009D3EDC">
        <w:rPr>
          <w:noProof/>
        </w:rPr>
        <w:t>)</w:t>
      </w:r>
      <w:r>
        <w:fldChar w:fldCharType="end"/>
      </w:r>
      <w:r>
        <w:t xml:space="preserve"> to more </w:t>
      </w:r>
      <w:r w:rsidR="00E91F9E">
        <w:t xml:space="preserve">advanced </w:t>
      </w:r>
      <w:r>
        <w:t xml:space="preserve">models </w:t>
      </w:r>
      <w:r w:rsidR="00E91F9E">
        <w:t>such as</w:t>
      </w:r>
      <w:r>
        <w:t xml:space="preserve"> the </w:t>
      </w:r>
      <w:r w:rsidR="00E91F9E">
        <w:t>Multiple Discrete Continuous Extreme Value (</w:t>
      </w:r>
      <w:r>
        <w:t>MDCEV</w:t>
      </w:r>
      <w:r w:rsidR="00E91F9E">
        <w:t>)</w:t>
      </w:r>
      <w:r>
        <w:t xml:space="preserve"> model </w:t>
      </w:r>
      <w:r>
        <w:fldChar w:fldCharType="begin" w:fldLock="1"/>
      </w:r>
      <w:r w:rsidR="00812451">
        <w:instrText>ADDIN CSL_CITATION {"citationItems":[{"id":"ITEM-1","itemData":{"DOI":"10.1016/j.jocm.2021.100283","ISSN":"17555345","abstract":"This paper proposes simple and computationally efficient forecasting algorithms for random utility maximization-based multiple discrete-continuous (MDC) choice models with additively separable utility functions, such as the Multiple Discrete-Continuous Extreme Value (MDCEV) model. The algorithms build on simple yet insightful, analytical explorations with the Karush Kuhn-Tucker (KKT) conditions of optimality that shed new light on the properties of the models. The MDCEV model and the forecasting algorithms proposed in this paper are applied to a household-level energy consumption dataset to analyze residential energy consumption patterns in the United States. Further, simulation experiments are undertaken to assess the computational performance of the proposed and existing KT demand forecasting algorithms for a range of choice situations with small and large choice sets.","author":[{"dropping-particle":"","family":"Pinjari","given":"Abdul Rawoof","non-dropping-particle":"","parse-names":false,"suffix":""},{"dropping-particle":"","family":"Bhat","given":"Chandra","non-dropping-particle":"","parse-names":false,"suffix":""}],"container-title":"Journal of Choice Modelling","id":"ITEM-1","issued":{"date-parts":[["2021"]]},"title":"Computationally efficient forecasting procedures for Kuhn-Tucker consumer demand model systems: Application to residential energy consumption analysis","type":"article-journal","volume":"39"},"uris":["http://www.mendeley.com/documents/?uuid=2b16aecb-fbfd-3829-9516-90d784fd9982"]},{"id":"ITEM-2","itemData":{"DOI":"10.1016/j.enbuild.2021.110934","ISSN":"03787788","abstract":"Residential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Buildings","id":"ITEM-2","issued":{"date-parts":[["2021"]]},"title":"An examination of factors affecting residential energy consumption using a multiple discrete continuous approach","type":"article-journal","volume":"240"},"uris":["http://www.mendeley.com/documents/?uuid=26e32950-12ac-3b18-8799-6c5df31cb049"]}],"mendeley":{"formattedCitation":"(&lt;i&gt;31&lt;/i&gt;, &lt;i&gt;32&lt;/i&gt;)","plainTextFormattedCitation":"(31, 32)","previouslyFormattedCitation":"(&lt;i&gt;31&lt;/i&gt;, &lt;i&gt;32&lt;/i&gt;)"},"properties":{"noteIndex":0},"schema":"https://github.com/citation-style-language/schema/raw/master/csl-citation.json"}</w:instrText>
      </w:r>
      <w:r>
        <w:fldChar w:fldCharType="separate"/>
      </w:r>
      <w:r w:rsidR="009D3EDC" w:rsidRPr="009D3EDC">
        <w:rPr>
          <w:noProof/>
        </w:rPr>
        <w:t>(</w:t>
      </w:r>
      <w:r w:rsidR="009D3EDC" w:rsidRPr="009D3EDC">
        <w:rPr>
          <w:i/>
          <w:noProof/>
        </w:rPr>
        <w:t>31</w:t>
      </w:r>
      <w:r w:rsidR="009D3EDC" w:rsidRPr="009D3EDC">
        <w:rPr>
          <w:noProof/>
        </w:rPr>
        <w:t xml:space="preserve">, </w:t>
      </w:r>
      <w:r w:rsidR="009D3EDC" w:rsidRPr="009D3EDC">
        <w:rPr>
          <w:i/>
          <w:noProof/>
        </w:rPr>
        <w:t>32</w:t>
      </w:r>
      <w:r w:rsidR="009D3EDC" w:rsidRPr="009D3EDC">
        <w:rPr>
          <w:noProof/>
        </w:rPr>
        <w:t>)</w:t>
      </w:r>
      <w:r>
        <w:fldChar w:fldCharType="end"/>
      </w:r>
      <w:r>
        <w:t xml:space="preserve"> for predicting the residential dwelling energy usage.</w:t>
      </w:r>
      <w:r w:rsidRPr="00C6096D">
        <w:t xml:space="preserve"> </w:t>
      </w:r>
      <w:r>
        <w:t xml:space="preserve">In terms of the predictors, previous studies </w:t>
      </w:r>
      <w:r w:rsidR="008A2439">
        <w:t>identified</w:t>
      </w:r>
      <w:r>
        <w:t xml:space="preserve"> the following factors  significantly affecting the residential energy usage: household level characteristics (HH income, race, household size, education) </w:t>
      </w:r>
      <w:r>
        <w:fldChar w:fldCharType="begin" w:fldLock="1"/>
      </w:r>
      <w:r w:rsidR="00812451">
        <w:instrText>ADDIN CSL_CITATION {"citationItems":[{"id":"ITEM-1","itemData":{"DOI":"10.1016/j.enbuild.2012.10.016","ISSN":"03787788","abstract":"This research aimed to define the influence of lighting and appliance use on electricity consumption in Dutch dwellings, and identify determinants of use. Data were collected via questionnaires completed by 323 dwellings in Winter 2008, in the Netherlands. Three regression models were built using direct (number of lighting and appliances, duration of use) and indirect determinants (presence, dwelling-household-economic-system (DHES) characteristics); one based on the duration of appliance use and presence, one on the number of appliances and DHES characteristics, and one on the total duration of appliance use and DHES characteristics. In the first model, total duration of appliance use explained 37%, presence in rooms 14%, and combined model 37% of variance in electricity consumption. Study/hobby rooms emerged important in this model, whereas living room and kitchen did not. In the second model, number of appliances explained 21% of the variance in electricity consumption alone and 42% combined with dwelling/household characteristics. Household size, dwelling type, use of dryer, washing cycles, and number of showers appeared as significant determinants, of which the last revealing a comfort related dimension of electricity use. The third model of total duration of appliance use and dwelling/household characteristics explained 58% of the variance in electricity consumption. © 2012 Elsevier B.V. All rights reserved.","author":[{"dropping-particle":"","family":"Bedir","given":"Merve","non-dropping-particle":"","parse-names":false,"suffix":""},{"dropping-particle":"","family":"Hasselaar","given":"Evert","non-dropping-particle":"","parse-names":false,"suffix":""},{"dropping-particle":"","family":"Itard","given":"Laure","non-dropping-particle":"","parse-names":false,"suffix":""}],"container-title":"Energy and Buildings","id":"ITEM-1","issued":{"date-parts":[["2013"]]},"page":"194-207","title":"Determinants of electricity consumption in Dutch dwellings","type":"article-journal","volume":"58"},"uris":["http://www.mendeley.com/documents/?uuid=92dbdf76-63d2-3ca6-a4fe-2cfd020c3c5a"]},{"id":"ITEM-2","itemData":{"DOI":"10.1016/j.compenvurbsys.2016.06.003","ISSN":"01989715","abstract":"This paper assesses the feasibility of determining key household characteristics based on temporal load profiles of household electricity demand. It is known that household characteristics, behaviours and routines drive a number of features of household electricity loads in ways which are currently not fully understood. The roll out of domestic smart meters in the UK and elsewhere could enable better understanding through the collection of high temporal resolution electricity monitoring data at the household level. Such data affords tremendous potential to invert the established relationship between household characteristics and temporal load profiles. Rather than use household characteristics as a predictor of loads, observed electricity load profiles, or indicators based on them, could instead be used to impute household characteristics. These micro level imputed characteristics could then be aggregated at the small area level to produce ‘census-like’ small area indicators. This work briefly reviews the nature of current and future census taking in the UK before outlining the household characteristics that are to be found in the UK census and which are also known to influence electricity load profiles. It then presents descriptive analysis of a large scale smart meter-like dataset of half-hourly domestic electricity consumption before reviewing the correlation between household attributes and electricity load profiles. The paper then reports the results of multilevel model-based analysis of these relationships. The work concludes that a number of household characteristics of the kind to be found in UK census-derived small area statistics may be predicted from particular load profile indicators. A discussion of the steps required to test and validate this approach and the wider implications for census taking is also provided.","author":[{"dropping-particle":"","family":"Anderson","given":"Ben","non-dropping-particle":"","parse-names":false,"suffix":""},{"dropping-particle":"","family":"Lin","given":"Sharon","non-dropping-particle":"","parse-names":false,"suffix":""},{"dropping-particle":"","family":"Newing","given":"Andy","non-dropping-particle":"","parse-names":false,"suffix":""},{"dropping-particle":"","family":"Bahaj","given":"Abu Bakr","non-dropping-particle":"","parse-names":false,"suffix":""},{"dropping-particle":"","family":"James","given":"Patrick","non-dropping-particle":"","parse-names":false,"suffix":""}],"container-title":"Computers, Environment and Urban Systems","id":"ITEM-2","issued":{"date-parts":[["2017","5","1"]]},"page":"58-67","publisher":"Pergamon","title":"Electricity consumption and household characteristics: Implications for census-taking in a smart metered future","type":"article-journal","volume":"63"},"uris":["http://www.mendeley.com/documents/?uuid=fbb66eb3-44ca-389a-9ac1-eb59fd2e6f1a"]},{"id":"ITEM-3","itemData":{"DOI":"10.1016/j.enbuild.2021.110934","ISSN":"03787788","abstract":"Residential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Buildings","id":"ITEM-3","issued":{"date-parts":[["2021"]]},"title":"An examination of factors affecting residential energy consumption using a multiple discrete continuous approach","type":"article-journal","volume":"240"},"uris":["http://www.mendeley.com/documents/?uuid=26e32950-12ac-3b18-8799-6c5df31cb049"]}],"mendeley":{"formattedCitation":"(&lt;i&gt;25&lt;/i&gt;, &lt;i&gt;31&lt;/i&gt;, &lt;i&gt;36&lt;/i&gt;)","plainTextFormattedCitation":"(25, 31, 36)","previouslyFormattedCitation":"(&lt;i&gt;25&lt;/i&gt;, &lt;i&gt;31&lt;/i&gt;, &lt;i&gt;36&lt;/i&gt;)"},"properties":{"noteIndex":0},"schema":"https://github.com/citation-style-language/schema/raw/master/csl-citation.json"}</w:instrText>
      </w:r>
      <w:r>
        <w:fldChar w:fldCharType="separate"/>
      </w:r>
      <w:r w:rsidR="009D3EDC" w:rsidRPr="009D3EDC">
        <w:rPr>
          <w:noProof/>
        </w:rPr>
        <w:t>(</w:t>
      </w:r>
      <w:r w:rsidR="009D3EDC" w:rsidRPr="009D3EDC">
        <w:rPr>
          <w:i/>
          <w:noProof/>
        </w:rPr>
        <w:t>25</w:t>
      </w:r>
      <w:r w:rsidR="009D3EDC" w:rsidRPr="009D3EDC">
        <w:rPr>
          <w:noProof/>
        </w:rPr>
        <w:t xml:space="preserve">, </w:t>
      </w:r>
      <w:r w:rsidR="009D3EDC" w:rsidRPr="009D3EDC">
        <w:rPr>
          <w:i/>
          <w:noProof/>
        </w:rPr>
        <w:t>31</w:t>
      </w:r>
      <w:r w:rsidR="009D3EDC" w:rsidRPr="009D3EDC">
        <w:rPr>
          <w:noProof/>
        </w:rPr>
        <w:t xml:space="preserve">, </w:t>
      </w:r>
      <w:r w:rsidR="009D3EDC" w:rsidRPr="009D3EDC">
        <w:rPr>
          <w:i/>
          <w:noProof/>
        </w:rPr>
        <w:t>36</w:t>
      </w:r>
      <w:r w:rsidR="009D3EDC" w:rsidRPr="009D3EDC">
        <w:rPr>
          <w:noProof/>
        </w:rPr>
        <w:t>)</w:t>
      </w:r>
      <w:r>
        <w:fldChar w:fldCharType="end"/>
      </w:r>
      <w:r>
        <w:t xml:space="preserve">; location characteristics (census region, type of location) </w:t>
      </w:r>
      <w:r>
        <w:fldChar w:fldCharType="begin" w:fldLock="1"/>
      </w:r>
      <w:r w:rsidR="00812451">
        <w:instrText>ADDIN CSL_CITATION {"citationItems":[{"id":"ITEM-1","itemData":{"DOI":"10.1016/j.energy.2015.04.101","ISSN":"03605442","abstract":"This paper employs quantile regression to analyze the determinants of household electricity consumption in Taiwan over the period 1981-2011. Our results show that the effects of demographic, socioeconomic, and household dwelling characteristics on household electricity consumption may differ across quantiles and may change over time. We found that household income and household size were significant in all quantiles for each year. We identify the characteristics of high-electricity-consuming households. Households with higher income, larger household size, and more elderly members consumed more electricity. In terms of dwelling attributes, larger housing areas, homes with more appliances, and owner-occupied, business-used, and multi-floor houses contributed to higher household electricity consumption. Strategies for reducing electricity consumption should focus on specific groups that tend to exhibit higher electricity use. However, we also found that the low-income and small-size households may have higher electricity consumption on a per capita basis. Thus, as household size decreased, the increase of per capita electricity demand driven by the change of household size should be a matter of concern.","author":[{"dropping-particle":"","family":"Huang","given":"Wen Hsiu","non-dropping-particle":"","parse-names":false,"suffix":""}],"container-title":"Energy","id":"ITEM-1","issued":{"date-parts":[["2015","7","1"]]},"page":"120-133","publisher":"Elsevier Ltd","title":"The determinants of household electricity consumption in Taiwan: Evidence from quantile regression","type":"article-journal","volume":"87"},"uris":["http://www.mendeley.com/documents/?uuid=b2479f11-d89f-3fee-8bf0-c656674c88d7"]},{"id":"ITEM-2","itemData":{"DOI":"10.1016/j.jocm.2021.100283","ISSN":"17555345","abstract":"This paper proposes simple and computationally efficient forecasting algorithms for random utility maximization-based multiple discrete-continuous (MDC) choice models with additively separable utility functions, such as the Multiple Discrete-Continuous Extreme Value (MDCEV) model. The algorithms build on simple yet insightful, analytical explorations with the Karush Kuhn-Tucker (KKT) conditions of optimality that shed new light on the properties of the models. The MDCEV model and the forecasting algorithms proposed in this paper are applied to a household-level energy consumption dataset to analyze residential energy consumption patterns in the United States. Further, simulation experiments are undertaken to assess the computational performance of the proposed and existing KT demand forecasting algorithms for a range of choice situations with small and large choice sets.","author":[{"dropping-particle":"","family":"Pinjari","given":"Abdul Rawoof","non-dropping-particle":"","parse-names":false,"suffix":""},{"dropping-particle":"","family":"Bhat","given":"Chandra","non-dropping-particle":"","parse-names":false,"suffix":""}],"container-title":"Journal of Choice Modelling","id":"ITEM-2","issued":{"date-parts":[["2021"]]},"title":"Computationally efficient forecasting procedures for Kuhn-Tucker consumer demand model systems: Application to residential energy consumption analysis","type":"article-journal","volume":"39"},"uris":["http://www.mendeley.com/documents/?uuid=2b16aecb-fbfd-3829-9516-90d784fd9982"]}],"mendeley":{"formattedCitation":"(&lt;i&gt;26&lt;/i&gt;, &lt;i&gt;32&lt;/i&gt;)","plainTextFormattedCitation":"(26, 32)","previouslyFormattedCitation":"(&lt;i&gt;26&lt;/i&gt;, &lt;i&gt;32&lt;/i&gt;)"},"properties":{"noteIndex":0},"schema":"https://github.com/citation-style-language/schema/raw/master/csl-citation.json"}</w:instrText>
      </w:r>
      <w:r>
        <w:fldChar w:fldCharType="separate"/>
      </w:r>
      <w:r w:rsidR="009D3EDC" w:rsidRPr="009D3EDC">
        <w:rPr>
          <w:noProof/>
        </w:rPr>
        <w:t>(</w:t>
      </w:r>
      <w:r w:rsidR="009D3EDC" w:rsidRPr="009D3EDC">
        <w:rPr>
          <w:i/>
          <w:noProof/>
        </w:rPr>
        <w:t>26</w:t>
      </w:r>
      <w:r w:rsidR="009D3EDC" w:rsidRPr="009D3EDC">
        <w:rPr>
          <w:noProof/>
        </w:rPr>
        <w:t xml:space="preserve">, </w:t>
      </w:r>
      <w:r w:rsidR="009D3EDC" w:rsidRPr="009D3EDC">
        <w:rPr>
          <w:i/>
          <w:noProof/>
        </w:rPr>
        <w:t>32</w:t>
      </w:r>
      <w:r w:rsidR="009D3EDC" w:rsidRPr="009D3EDC">
        <w:rPr>
          <w:noProof/>
        </w:rPr>
        <w:t>)</w:t>
      </w:r>
      <w:r>
        <w:fldChar w:fldCharType="end"/>
      </w:r>
      <w:r>
        <w:t xml:space="preserve">, housing characteristics (such as year of construction, housing type, type of unit, square footage, and number of stories) </w:t>
      </w:r>
      <w:r>
        <w:fldChar w:fldCharType="begin" w:fldLock="1"/>
      </w:r>
      <w:r w:rsidR="00812451">
        <w:instrText>ADDIN CSL_CITATION {"citationItems":[{"id":"ITEM-1","itemData":{"DOI":"10.1016/j.eneco.2015.08.015","ISSN":"01409883","abstract":"This paper examines the determinants of residential gas demand in Ireland using a micro-econometric analysis of the daily gas consumption panel data from Ireland's Smart Metering Gas Consumer Behavioural Trial. It also investigates the effectiveness of the demand side management stimuli that were tested during the Smart Metering Trial. The analysis is based on a sample of 1181 households over 539. days in the period from 1st December 2009 to 30th May 2011. The results provide evidence that weather, together with the structural characteristics of the dwellings and the socio-economic characteristics of the households, are significant factors in explaining residential gas demand. More specifically, weather is found to be the most influential factor on household's daily gas consumption. Finally, the demand side management stimuli employed in the Smart Metering Trial were found to reduce daily household gas use on average.","author":[{"dropping-particle":"","family":"Harold","given":"Jason","non-dropping-particle":"","parse-names":false,"suffix":""},{"dropping-particle":"","family":"Lyons","given":"Seán","non-dropping-particle":"","parse-names":false,"suffix":""},{"dropping-particle":"","family":"Cullinan","given":"John","non-dropping-particle":"","parse-names":false,"suffix":""}],"container-title":"Energy Economics","id":"ITEM-1","issued":{"date-parts":[["2015","9","1"]]},"page":"475-483","publisher":"North-Holland","title":"The determinants of residential gas demand in Ireland","type":"article-journal","volume":"51"},"uris":["http://www.mendeley.com/documents/?uuid=d2e8bd0d-ff1e-3f2d-8833-145cfa14f1b2"]},{"id":"ITEM-2","itemData":{"DOI":"10.1111/1467-9442.00236","ISSN":"03470520","abstract":"Energy demand for space heating is estimated using a discrete-continuous choice model which focuses on the relationship between the choice of heating equipment and energy consumption. The model is estimated on Norwegian micro data, and the two stages of the model are estimated simultaneously. The capital cost and the operating cost of the heating systems are both found to have a significant impact on the choice of heating system. Furthermore, the results show that household characteristics are important variables in residential energy models. Energy price elasticities and income elasticities are also estimated.","author":[{"dropping-particle":"","family":"Nesbakken","given":"Runa","non-dropping-particle":"","parse-names":false,"suffix":""}],"container-title":"Scandinavian Journal of Economics","id":"ITEM-2","issue":"1","issued":{"date-parts":[["2001","3","1"]]},"page":"165-184","publisher":"John Wiley &amp; Sons, Ltd","title":"Energy consumption for space heating: A discrete-continuous approach","type":"article-journal","volume":"103"},"uris":["http://www.mendeley.com/documents/?uuid=71505bab-397b-3e7c-bc5f-12c39123d8c0"]},{"id":"ITEM-3","itemData":{"DOI":"10.1016/j.enbuild.2021.110934","ISSN":"03787788","abstract":"Residential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Buildings","id":"ITEM-3","issued":{"date-parts":[["2021"]]},"title":"An examination of factors affecting residential energy consumption using a multiple discrete continuous approach","type":"article-journal","volume":"240"},"uris":["http://www.mendeley.com/documents/?uuid=26e32950-12ac-3b18-8799-6c5df31cb049"]}],"mendeley":{"formattedCitation":"(&lt;i&gt;31&lt;/i&gt;, &lt;i&gt;35&lt;/i&gt;, &lt;i&gt;37&lt;/i&gt;)","plainTextFormattedCitation":"(31, 35, 37)","previouslyFormattedCitation":"(&lt;i&gt;31&lt;/i&gt;, &lt;i&gt;35&lt;/i&gt;, &lt;i&gt;37&lt;/i&gt;)"},"properties":{"noteIndex":0},"schema":"https://github.com/citation-style-language/schema/raw/master/csl-citation.json"}</w:instrText>
      </w:r>
      <w:r>
        <w:fldChar w:fldCharType="separate"/>
      </w:r>
      <w:r w:rsidR="009D3EDC" w:rsidRPr="009D3EDC">
        <w:rPr>
          <w:noProof/>
        </w:rPr>
        <w:t>(</w:t>
      </w:r>
      <w:r w:rsidR="009D3EDC" w:rsidRPr="009D3EDC">
        <w:rPr>
          <w:i/>
          <w:noProof/>
        </w:rPr>
        <w:t>31</w:t>
      </w:r>
      <w:r w:rsidR="009D3EDC" w:rsidRPr="009D3EDC">
        <w:rPr>
          <w:noProof/>
        </w:rPr>
        <w:t xml:space="preserve">, </w:t>
      </w:r>
      <w:r w:rsidR="009D3EDC" w:rsidRPr="009D3EDC">
        <w:rPr>
          <w:i/>
          <w:noProof/>
        </w:rPr>
        <w:t>35</w:t>
      </w:r>
      <w:r w:rsidR="009D3EDC" w:rsidRPr="009D3EDC">
        <w:rPr>
          <w:noProof/>
        </w:rPr>
        <w:t xml:space="preserve">, </w:t>
      </w:r>
      <w:r w:rsidR="009D3EDC" w:rsidRPr="009D3EDC">
        <w:rPr>
          <w:i/>
          <w:noProof/>
        </w:rPr>
        <w:t>37</w:t>
      </w:r>
      <w:r w:rsidR="009D3EDC" w:rsidRPr="009D3EDC">
        <w:rPr>
          <w:noProof/>
        </w:rPr>
        <w:t>)</w:t>
      </w:r>
      <w:r>
        <w:fldChar w:fldCharType="end"/>
      </w:r>
      <w:r>
        <w:t xml:space="preserve">, appliance use (such as appliances used in the housing unit) </w:t>
      </w:r>
      <w:r>
        <w:fldChar w:fldCharType="begin" w:fldLock="1"/>
      </w:r>
      <w:r w:rsidR="00812451">
        <w:instrText>ADDIN CSL_CITATION {"citationItems":[{"id":"ITEM-1","itemData":{"ISBN":"10026.1/6662","author":[{"dropping-particle":"","family":"Boomsma","given":"Christine","non-dropping-particle":"","parse-names":false,"suffix":""},{"dropping-particle":"V","family":"Jones","given":"Rory","non-dropping-particle":"","parse-names":false,"suffix":""},{"dropping-particle":"","family":"Pahl","given":"Sabine","non-dropping-particle":"","parse-names":false,"suffix":""},{"dropping-particle":"","family":"Fuertes","given":"Alba","non-dropping-particle":"","parse-names":false,"suffix":""}],"container-title":"4th European Conference on Behaviour and Energy Efficiency (Behave 2016)","id":"ITEM-1","issue":"September","issued":{"date-parts":[["2016"]]},"page":"8-9","title":"Energy Saving Behaviours Among Social Housing Tenants : Exploring the Relationship With Dwelling Characteristics , Monetary Concerns , and Psychological Motivations","type":"article-journal"},"uris":["http://www.mendeley.com/documents/?uuid=05b05ff6-22f2-3026-ba7e-396e1ec3b3da"]},{"id":"ITEM-2","itemData":{"DOI":"10.1016/j.enbuild.2021.110934","ISSN":"03787788","abstract":"Residential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Buildings","id":"ITEM-2","issued":{"date-parts":[["2021"]]},"title":"An examination of factors affecting residential energy consumption using a multiple discrete continuous approach","type":"article-journal","volume":"240"},"uris":["http://www.mendeley.com/documents/?uuid=26e32950-12ac-3b18-8799-6c5df31cb049"]}],"mendeley":{"formattedCitation":"(&lt;i&gt;31&lt;/i&gt;, &lt;i&gt;38&lt;/i&gt;)","plainTextFormattedCitation":"(31, 38)","previouslyFormattedCitation":"(&lt;i&gt;31&lt;/i&gt;, &lt;i&gt;38&lt;/i&gt;)"},"properties":{"noteIndex":0},"schema":"https://github.com/citation-style-language/schema/raw/master/csl-citation.json"}</w:instrText>
      </w:r>
      <w:r>
        <w:fldChar w:fldCharType="separate"/>
      </w:r>
      <w:r w:rsidR="009D3EDC" w:rsidRPr="009D3EDC">
        <w:rPr>
          <w:noProof/>
        </w:rPr>
        <w:t>(</w:t>
      </w:r>
      <w:r w:rsidR="009D3EDC" w:rsidRPr="009D3EDC">
        <w:rPr>
          <w:i/>
          <w:noProof/>
        </w:rPr>
        <w:t>31</w:t>
      </w:r>
      <w:r w:rsidR="009D3EDC" w:rsidRPr="009D3EDC">
        <w:rPr>
          <w:noProof/>
        </w:rPr>
        <w:t xml:space="preserve">, </w:t>
      </w:r>
      <w:r w:rsidR="009D3EDC" w:rsidRPr="009D3EDC">
        <w:rPr>
          <w:i/>
          <w:noProof/>
        </w:rPr>
        <w:t>38</w:t>
      </w:r>
      <w:r w:rsidR="009D3EDC" w:rsidRPr="009D3EDC">
        <w:rPr>
          <w:noProof/>
        </w:rPr>
        <w:t>)</w:t>
      </w:r>
      <w:r>
        <w:fldChar w:fldCharType="end"/>
      </w:r>
      <w:r>
        <w:t xml:space="preserve"> and climatic characteristics (such as heating degree days and cooling degree days) </w:t>
      </w:r>
      <w:r>
        <w:fldChar w:fldCharType="begin" w:fldLock="1"/>
      </w:r>
      <w:r w:rsidR="00812451">
        <w:instrText>ADDIN CSL_CITATION {"citationItems":[{"id":"ITEM-1","itemData":{"DOI":"10.1016/j.eneco.2015.08.015","ISSN":"01409883","abstract":"This paper examines the determinants of residential gas demand in Ireland using a micro-econometric analysis of the daily gas consumption panel data from Ireland's Smart Metering Gas Consumer Behavioural Trial. It also investigates the effectiveness of the demand side management stimuli that were tested during the Smart Metering Trial. The analysis is based on a sample of 1181 households over 539. days in the period from 1st December 2009 to 30th May 2011. The results provide evidence that weather, together with the structural characteristics of the dwellings and the socio-economic characteristics of the households, are significant factors in explaining residential gas demand. More specifically, weather is found to be the most influential factor on household's daily gas consumption. Finally, the demand side management stimuli employed in the Smart Metering Trial were found to reduce daily household gas use on average.","author":[{"dropping-particle":"","family":"Harold","given":"Jason","non-dropping-particle":"","parse-names":false,"suffix":""},{"dropping-particle":"","family":"Lyons","given":"Seán","non-dropping-particle":"","parse-names":false,"suffix":""},{"dropping-particle":"","family":"Cullinan","given":"John","non-dropping-particle":"","parse-names":false,"suffix":""}],"container-title":"Energy Economics","id":"ITEM-1","issued":{"date-parts":[["2015","9","1"]]},"page":"475-483","publisher":"North-Holland","title":"The determinants of residential gas demand in Ireland","type":"article-journal","volume":"51"},"uris":["http://www.mendeley.com/documents/?uuid=d2e8bd0d-ff1e-3f2d-8833-145cfa14f1b2"]},{"id":"ITEM-2","itemData":{"DOI":"10.1016/j.jocm.2021.100283","ISSN":"17555345","abstract":"This paper proposes simple and computationally efficient forecasting algorithms for random utility maximization-based multiple discrete-continuous (MDC) choice models with additively separable utility functions, such as the Multiple Discrete-Continuous Extreme Value (MDCEV) model. The algorithms build on simple yet insightful, analytical explorations with the Karush Kuhn-Tucker (KKT) conditions of optimality that shed new light on the properties of the models. The MDCEV model and the forecasting algorithms proposed in this paper are applied to a household-level energy consumption dataset to analyze residential energy consumption patterns in the United States. Further, simulation experiments are undertaken to assess the computational performance of the proposed and existing KT demand forecasting algorithms for a range of choice situations with small and large choice sets.","author":[{"dropping-particle":"","family":"Pinjari","given":"Abdul Rawoof","non-dropping-particle":"","parse-names":false,"suffix":""},{"dropping-particle":"","family":"Bhat","given":"Chandra","non-dropping-particle":"","parse-names":false,"suffix":""}],"container-title":"Journal of Choice Modelling","id":"ITEM-2","issued":{"date-parts":[["2021"]]},"title":"Computationally efficient forecasting procedures for Kuhn-Tucker consumer demand model systems: Application to residential energy consumption analysis","type":"article-journal","volume":"39"},"uris":["http://www.mendeley.com/documents/?uuid=2b16aecb-fbfd-3829-9516-90d784fd9982"]},{"id":"ITEM-3","itemData":{"DOI":"10.1016/j.enbuild.2021.110934","ISSN":"03787788","abstract":"Residential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Buildings","id":"ITEM-3","issued":{"date-parts":[["2021"]]},"title":"An examination of factors affecting residential energy consumption using a multiple discrete continuous approach","type":"article-journal","volume":"240"},"uris":["http://www.mendeley.com/documents/?uuid=26e32950-12ac-3b18-8799-6c5df31cb049"]},{"id":"ITEM-4","itemData":{"DOI":"10.1016/S0360-5442(97)00034-0","ISSN":"03605442","abstract":"A methodology has been developed for assessing the sensitivity of electricity and natural gas consumption to climate at regional scales. The approach involves a multiple-regression analysis of historical energy and climate data, and has been applied to eight of the most energy-intensive states, representing 42% of the total annual energy consumption in the United States. Statistical models were developed using two sets of independent variables-primitive variables such as temperature, relative humidity, and wind speed, and derived variables including cooling degree days, heating degree days, and enthalpy latent days. The advantages and disadvantages of both modeling approaches are discussed in this paper, along with sample results for a combined analysis of residential and commercial consumption in eight states.","author":[{"dropping-particle":"","family":"Sailor","given":"David J.","non-dropping-particle":"","parse-names":false,"suffix":""},{"dropping-particle":"","family":"Muñoz","given":"J. Ricardo","non-dropping-particle":"","parse-names":false,"suffix":""}],"container-title":"Energy","id":"ITEM-4","issue":"10","issued":{"date-parts":[["1997"]]},"page":"987-998","title":"Sensitivity of electricity and natural gas consumption to climate in the U.S.A. - Methodology and results for eight states","type":"article-journal","volume":"22"},"uris":["http://www.mendeley.com/documents/?uuid=26f97fcb-396c-3b1b-bfed-6d2d39be9ce2"]},{"id":"ITEM-5","itemData":{"DOI":"10.1016/j.jeem.2007.10.001","ISSN":"00950696","abstract":"Using cross-sectional data, this paper estimates a national energy model of fuel choice by both households and firms. Consumers in warmer locations rely relatively more heavily on electricity rather than natural gas, oil, and other fuels. They also use more energy. Climate change will likely increase electricity consumption on cooling but reduce the use of other fuels for heating. On net, American energy expenditures will likely increase, resulting in welfare damages that increase as temperatures rise. For example, if the US warms by 5 °C by 2100, we predict annual welfare losses of $57 billion. © 2007 Elsevier Inc. All rights reserved.","author":[{"dropping-particle":"","family":"Mansur","given":"Erin T.","non-dropping-particle":"","parse-names":false,"suffix":""},{"dropping-particle":"","family":"Mendelsohn","given":"Robert","non-dropping-particle":"","parse-names":false,"suffix":""},{"dropping-particle":"","family":"Morrison","given":"Wendy","non-dropping-particle":"","parse-names":false,"suffix":""}],"container-title":"Journal of Environmental Economics and Management","id":"ITEM-5","issue":"2","issued":{"date-parts":[["2008","3","1"]]},"page":"175-193","publisher":"Academic Press","title":"Climate change adaptation: A study of fuel choice and consumption in the US energy sector","type":"article-journal","volume":"55"},"uris":["http://www.mendeley.com/documents/?uuid=c90dc6b8-4f55-3075-83c9-b4957b252557"]},{"id":"ITEM-6","itemData":{"abstract":"This paper provides a summary of research to estimate the household price elasticities for natural gas, electricity, and water in California. First, we introduce two problems that complicate existing estimate of the price elasticity of demand for these household goods: block rate pricing and joint consumption. Next we summarize estimates of the price elasticity of demand in the literature. These estimates vary widely across regions, time periods, and statistical techniques, making it difficult to use these estimates for policy purposes. We address this problem in the third section of the paper, and present statistical methods for estimating price elasticity in the case of block rates and joint consumption. In section four, we present preliminary estimates of the price elasticity of demand for natural gas, electricity, and water in California, using these statistical methods. The paper concludes with a short discussion of the results, and their possible policy implications. The regression estimates reported in this paper suggest that the price elasticity of demand for natural gas, electricity, and water is lower than is commonly reported in the literature. Coupled with global warming and rising electricity and water use, our price elasticity findings suggest a need for strong non-price and price conservation measures to effectively manage these resources.","author":[{"dropping-particle":"","family":"Dale","given":"L.","non-dropping-particle":"","parse-names":false,"suffix":""},{"dropping-particle":"","family":"Fujita","given":"S.","non-dropping-particle":"","parse-names":false,"suffix":""},{"dropping-particle":"","family":"Vasquez","given":"F.","non-dropping-particle":"","parse-names":false,"suffix":""},{"dropping-particle":"","family":"Moezzi","given":"M.","non-dropping-particle":"","parse-names":false,"suffix":""},{"dropping-particle":"","family":"Hanemann","given":"M.","non-dropping-particle":"","parse-names":false,"suffix":""},{"dropping-particle":"","family":"Guerrero","given":"S.","non-dropping-particle":"","parse-names":false,"suffix":""},{"dropping-particle":"","family":"Lutzenhiser","given":"L.","non-dropping-particle":"","parse-names":false,"suffix":""}],"container-title":"Public Interest Energy Research (PIER) Program Reports CEC-500-2009-032-D, California Energy Commission, Sacramento, CA","id":"ITEM-6","issued":{"date-parts":[["2009"]]},"title":"Price Impact on the Demand for Water and Energy in California Residences","type":"article-journal"},"uris":["http://www.mendeley.com/documents/?uuid=9ddc3111-8945-3113-a55d-4787d486067c"]}],"mendeley":{"formattedCitation":"(&lt;i&gt;29&lt;/i&gt;–&lt;i&gt;33&lt;/i&gt;, &lt;i&gt;35&lt;/i&gt;)","plainTextFormattedCitation":"(29–33, 35)","previouslyFormattedCitation":"(&lt;i&gt;29&lt;/i&gt;–&lt;i&gt;33&lt;/i&gt;, &lt;i&gt;35&lt;/i&gt;)"},"properties":{"noteIndex":0},"schema":"https://github.com/citation-style-language/schema/raw/master/csl-citation.json"}</w:instrText>
      </w:r>
      <w:r>
        <w:fldChar w:fldCharType="separate"/>
      </w:r>
      <w:r w:rsidR="009D3EDC" w:rsidRPr="009D3EDC">
        <w:rPr>
          <w:noProof/>
        </w:rPr>
        <w:t>(</w:t>
      </w:r>
      <w:r w:rsidR="009D3EDC" w:rsidRPr="009D3EDC">
        <w:rPr>
          <w:i/>
          <w:noProof/>
        </w:rPr>
        <w:t>29</w:t>
      </w:r>
      <w:r w:rsidR="009D3EDC" w:rsidRPr="009D3EDC">
        <w:rPr>
          <w:noProof/>
        </w:rPr>
        <w:t>–</w:t>
      </w:r>
      <w:r w:rsidR="009D3EDC" w:rsidRPr="009D3EDC">
        <w:rPr>
          <w:i/>
          <w:noProof/>
        </w:rPr>
        <w:t>33</w:t>
      </w:r>
      <w:r w:rsidR="009D3EDC" w:rsidRPr="009D3EDC">
        <w:rPr>
          <w:noProof/>
        </w:rPr>
        <w:t xml:space="preserve">, </w:t>
      </w:r>
      <w:r w:rsidR="009D3EDC" w:rsidRPr="009D3EDC">
        <w:rPr>
          <w:i/>
          <w:noProof/>
        </w:rPr>
        <w:t>35</w:t>
      </w:r>
      <w:r w:rsidR="009D3EDC" w:rsidRPr="009D3EDC">
        <w:rPr>
          <w:noProof/>
        </w:rPr>
        <w:t>)</w:t>
      </w:r>
      <w:r>
        <w:fldChar w:fldCharType="end"/>
      </w:r>
      <w:r>
        <w:t>.</w:t>
      </w:r>
    </w:p>
    <w:p w14:paraId="1656BCC5" w14:textId="75F671E9" w:rsidR="00172DAE" w:rsidRDefault="00172DAE" w:rsidP="005E08BB">
      <w:pPr>
        <w:rPr>
          <w:rFonts w:cs="Times New Roman"/>
          <w:lang w:val="en-US"/>
        </w:rPr>
      </w:pPr>
    </w:p>
    <w:p w14:paraId="29BAD207" w14:textId="438EC63E" w:rsidR="00234034" w:rsidRDefault="00ED2BCB" w:rsidP="000B26F3">
      <w:pPr>
        <w:pStyle w:val="Heading2"/>
      </w:pPr>
      <w:r>
        <w:lastRenderedPageBreak/>
        <w:t xml:space="preserve">2.2 </w:t>
      </w:r>
      <w:r w:rsidR="00234034">
        <w:t>Literature on Data Fusion</w:t>
      </w:r>
      <w:r w:rsidR="002A5D8A">
        <w:t xml:space="preserve"> Techniques</w:t>
      </w:r>
      <w:r w:rsidR="00BB6204">
        <w:t xml:space="preserve"> in Energy </w:t>
      </w:r>
    </w:p>
    <w:p w14:paraId="6F234275" w14:textId="6E2C8BD0" w:rsidR="00AF10F0" w:rsidRDefault="005F1EE0" w:rsidP="00AF10F0">
      <w:pPr>
        <w:rPr>
          <w:rFonts w:cs="Times New Roman"/>
          <w:szCs w:val="24"/>
          <w:lang w:val="en-US"/>
        </w:rPr>
      </w:pPr>
      <w:r w:rsidRPr="001810F6">
        <w:rPr>
          <w:rFonts w:cs="Times New Roman"/>
          <w:szCs w:val="24"/>
          <w:lang w:val="en-US"/>
        </w:rPr>
        <w:t xml:space="preserve">Data fusion </w:t>
      </w:r>
      <w:r>
        <w:rPr>
          <w:rFonts w:cs="Times New Roman"/>
          <w:szCs w:val="24"/>
          <w:lang w:val="en-US"/>
        </w:rPr>
        <w:t xml:space="preserve">algorithms have </w:t>
      </w:r>
      <w:r w:rsidRPr="001810F6">
        <w:rPr>
          <w:rFonts w:cs="Times New Roman"/>
          <w:szCs w:val="24"/>
          <w:lang w:val="en-US"/>
        </w:rPr>
        <w:t xml:space="preserve">been widely researched and </w:t>
      </w:r>
      <w:r>
        <w:rPr>
          <w:rFonts w:cs="Times New Roman"/>
          <w:szCs w:val="24"/>
          <w:lang w:val="en-US"/>
        </w:rPr>
        <w:t>applied</w:t>
      </w:r>
      <w:r w:rsidRPr="001810F6">
        <w:rPr>
          <w:rFonts w:cs="Times New Roman"/>
          <w:szCs w:val="24"/>
          <w:lang w:val="en-US"/>
        </w:rPr>
        <w:t xml:space="preserve"> in various fields including statistics, business analysis, chemical engineering, </w:t>
      </w:r>
      <w:r>
        <w:rPr>
          <w:rFonts w:cs="Times New Roman"/>
          <w:szCs w:val="24"/>
          <w:lang w:val="en-US"/>
        </w:rPr>
        <w:t xml:space="preserve">energy demand, </w:t>
      </w:r>
      <w:r w:rsidRPr="001810F6">
        <w:rPr>
          <w:rFonts w:cs="Times New Roman"/>
          <w:szCs w:val="24"/>
          <w:lang w:val="en-US"/>
        </w:rPr>
        <w:t xml:space="preserve">navigation industry </w:t>
      </w:r>
      <w:r>
        <w:rPr>
          <w:rFonts w:cs="Times New Roman"/>
          <w:szCs w:val="24"/>
          <w:lang w:val="en-US"/>
        </w:rPr>
        <w:t xml:space="preserve">and transportation </w:t>
      </w:r>
      <w:r w:rsidR="00114AA7">
        <w:rPr>
          <w:rFonts w:cs="Times New Roman"/>
          <w:szCs w:val="24"/>
          <w:lang w:val="en-US"/>
        </w:rPr>
        <w:fldChar w:fldCharType="begin" w:fldLock="1"/>
      </w:r>
      <w:r w:rsidR="005E7EB4">
        <w:rPr>
          <w:rFonts w:cs="Times New Roman"/>
          <w:szCs w:val="24"/>
          <w:lang w:val="en-US"/>
        </w:rPr>
        <w:instrText>ADDIN CSL_CITATION {"citationItems":[{"id":"ITEM-1","itemData":{"DOI":"10.1016/j.aap.2015.08.009","ISSN":"00014575","PMID":"26342892","abstract":"Fatality Analysis Reporting System (FARS) and Generalized Estimates System (GES) data are most commonly used datasets to examine motor vehicle occupant injury severity in the United States (US). The FARS dataset focuses exclusively on fatal crashes, but provides detailed information on the continuum of fatality (a spectrum ranging from a death occurring within thirty days of the crash up to instantaneous death). While such data is beneficial for understanding fatal crashes, it inherently excludes crashes without fatalities. Hence, the exogenous factors identified as critical in contributing (or reducing) to fatality in the FARS data might possibly offer different effects on non-fatal crash severity levels when a truly random sample of crashes is considered. The GES data fills this gap by compiling data on a sample of roadway crashes involving all possible severity consequences providing a more representative sample of traffic crashes in the US. FARS data provides a continuous timeline of the fatal occurrences from the time to crash - as opposed to considering all fatalities to be the same. This allows an analysis of the survival time of victims before their death. The GES, on the other hand, does not offer such detailed information except identifying who died in the crash. The challenge in obtaining representative estimates for the crash population is the lack of readily available \"appropriate\" data that contains information available in both GES and FARS datasets. One way to address this issue is to replace the fatal crashes in the GES data with fatal crashes from FARS data thus augmenting the GES data sample with a very refined categorization of fatal crashes. The sample thus formed, if statistically valid, will provide us with a reasonable representation of the crash population. This paper focuses on developing a framework for pooling of data from FARS and GES data. The validation of the pooled sample against the original GES sample (unpooled sample) is carried out through two methods: (1) univariate sample comparison and (2) econometric model parameter estimate comparison. The validation exercise indicates that parameter estimates obtained using the pooled data model closely resemble the parameter estimates obtained using the unpooled data. After we confirm that the differences in model estimates obtained using the pooled and unpooled data are within an acceptable margin, we also simultaneously examine the whole spectrum of injury severity on an ele…","author":[{"dropping-particle":"","family":"Yasmin","given":"Shamsunnahar","non-dropping-particle":"","parse-names":false,"suffix":""},{"dropping-particle":"","family":"Eluru","given":"Naveen","non-dropping-particle":"","parse-names":false,"suffix":""},{"dropping-particle":"","family":"Pinjari","given":"Abdul R.","non-dropping-particle":"","parse-names":false,"suffix":""}],"container-title":"Accident Analysis and Prevention","id":"ITEM-1","issued":{"date-parts":[["2015","11","1"]]},"page":"112-127","publisher":"Pergamon","title":"Pooling data from fatality analysis reporting system (FARS) and generalized estimates system (GES) to explore the continuum of injury severity spectrum","type":"article-journal","volume":"84"},"uris":["http://www.mendeley.com/documents/?uuid=69cea4eb-287a-3213-b230-ebc5f2e06f05"]},{"id":"ITEM-2","itemData":{"DOI":"10.1016/j.trpro.2015.06.012","ISSN":"23521465","abstract":"A new convex optimization framework is developed for the route flow estimation problem from the fusion of vehicle count and cellular network data. The issue of highly underdetermined link flow based methods in transportation networks is investigated, then solved using the proposed concept of cellpaths for cellular network data. With this data-driven approach, our proposed approach is versatile: it is compatible with other data sources, and it is model agnostic and thus compatible with user equilibrium, system- optimum, Stackelberg concepts, and other models. Using a dimensionality reduction scheme, we design a projected gradient algorithm suitable for the proposed route flow estimation problem. The algorithm solves a block isotonic regression problem in the projection step in linear time. The accuracy, computational efficiency, and versatility of the proposed approach are validated on the I-210 corridor near Los Angeles, where we achieve 90% route flow accuracy with 1033 traffic sensors and 1000 cellular towers covering a large network of highways and arterials with more than 20,000 links. In contrast to long-term land use planning applications, we demonstrate the first system to our knowledge that can produce route-level flow estimates suitable for short time horizon prediction and control applications in traffic management. Our system is open source and available for validation and extension.","author":[{"dropping-particle":"","family":"Wu","given":"Cathy","non-dropping-particle":"","parse-names":false,"suffix":""},{"dropping-particle":"","family":"Thai","given":"Jérôme","non-dropping-particle":"","parse-names":false,"suffix":""},{"dropping-particle":"","family":"Yadlowsky","given":"Steve","non-dropping-particle":"","parse-names":false,"suffix":""},{"dropping-particle":"","family":"Pozdnoukhov","given":"Alexei","non-dropping-particle":"","parse-names":false,"suffix":""},{"dropping-particle":"","family":"Bayen","given":"Alexandre","non-dropping-particle":"","parse-names":false,"suffix":""}],"container-title":"Transportation Research Procedia","id":"ITEM-2","issued":{"date-parts":[["2015"]]},"page":"212-232","title":"Cellpath: Fusion of Cellular and Traffic Sensor Data for Route Flow Estimation via Convex Optimization","type":"article-journal","volume":"7"},"uris":["http://www.mendeley.com/documents/?uuid=7d7c650a-f543-3710-a1ba-b71b98dab4be"]},{"id":"ITEM-3","itemData":{"DOI":"10.1061/jtepbs.0000294","ISSN":"2473-2907","abstract":"© 2019 American Society of Civil Engineers. A major hurdle in freight demand modeling has always been the lack of adequate data on freight movements for different industry sectors for planning applications. Both Freight Analysis Framework (FAF) and Transearch (TS) databases contain annualized commodity flow data. However, the representations of commodity flows in the two databases are inherently different. FAF flows represent estimated transportation network flows, whereas TS flows represent production-consumption commodity flows. This study aims to develop a fused database from FAF and TS to determine transportation network flows at a fine spatial resolution (county level) while accommodating production and consumption behavioral trends (provided by TS). To this end, a joint econometric model framework embedded within a network flow approach and grounded in a maximum-likelihood technique is formulated to estimate county-level commodity flows. The algorithm is implemented for the commodity flow information from 2012 FAF data and 2011 TS databases to generate transportation network flows for 67 counties in Florida. The proposed approach may be able to circumvent the need to purchase expensive TS databases in the future.","author":[{"dropping-particle":"","family":"Momtaz","given":"Salah Uddin","non-dropping-particle":"","parse-names":false,"suffix":""},{"dropping-particle":"","family":"Eluru","given":"Naveen","non-dropping-particle":"","parse-names":false,"suffix":""},{"dropping-particle":"","family":"Anowar","given":"Sabreena","non-dropping-particle":"","parse-names":false,"suffix":""},{"dropping-particle":"","family":"Keya","given":"Nowreen","non-dropping-particle":"","parse-names":false,"suffix":""},{"dropping-particle":"","family":"Dey","given":"Bibhas Kumar","non-dropping-particle":"","parse-names":false,"suffix":""},{"dropping-particle":"","family":"Pinjari","given":"Abdul","non-dropping-particle":"","parse-names":false,"suffix":""},{"dropping-particle":"","family":"Tabatabaee","given":"S. Frank","non-dropping-particle":"","parse-names":false,"suffix":""}],"container-title":"Journal of Transportation Engineering, Part A: Systems","id":"ITEM-3","issue":"2","issued":{"date-parts":[["2020"]]},"page":"04019070","title":"Fusing Freight Analysis Framework and Transearch Data: Econometric Data Fusion Approach with Application to Florida","type":"article-journal","volume":"146"},"uris":["http://www.mendeley.com/documents/?uuid=6d0c7e5e-5b32-38ad-9d34-f716d258b175"]},{"id":"ITEM-4","itemData":{"DOI":"10.1016/j.trc.2014.01.002","ISSN":"0968090X","abstract":"In this research, we propose a methodology to develop OD matrices using mobile phone Call Detail Records (CDR) and limited traffic counts. CDR, which consist of time stamped tower locations with caller IDs, are analyzed first and trips occurring within certain time windows are used to generate tower-to-tower transient OD matrices for different time periods. These are then associated with corresponding nodes of the traffic network and converted to node-to-node transient OD matrices. The actual OD matrices are derived by scaling up these node-to-node transient OD matrices. An optimization based approach, in conjunction with a microscopic traffic simulation platform, is used to determine the scaling factors that result best matches with the observed traffic counts. The methodology is demonstrated using CDR from 2.87 million users of Dhaka, Bangladesh over a month and traffic counts from 13 key locations over 3. days of that month. The applicability of the methodology is supported by a validation study. © 2014 Elsevier Ltd.","author":[{"dropping-particle":"","family":"Iqbal","given":"Md Shahadat","non-dropping-particle":"","parse-names":false,"suffix":""},{"dropping-particle":"","family":"Choudhury","given":"Charisma F.","non-dropping-particle":"","parse-names":false,"suffix":""},{"dropping-particle":"","family":"Wang","given":"Pu","non-dropping-particle":"","parse-names":false,"suffix":""},{"dropping-particle":"","family":"González","given":"Marta C.","non-dropping-particle":"","parse-names":false,"suffix":""}],"container-title":"Transportation Research Part C: Emerging Technologies","id":"ITEM-4","issued":{"date-parts":[["2014","3","1"]]},"page":"63-74","publisher":"Pergamon","title":"Development of origin-destination matrices using mobile phone call data","type":"article-journal","volume":"40"},"uris":["http://www.mendeley.com/documents/?uuid=ce3ce7e3-857d-3e97-9ec1-c3af45f32ad0"]},{"id":"ITEM-5","itemData":{"URL":"https://www.sciencedirect.com/topics/computer-science/data-fusion","accessed":{"date-parts":[["2021","7","24"]]},"id":"ITEM-5","issued":{"date-parts":[["0"]]},"title":"Data Fusion - an overview | ScienceDirect Topics","type":"webpage"},"uris":["http://www.mendeley.com/documents/?uuid=b4452ecb-6056-306a-be91-4ca701f5245b"]},{"id":"ITEM-6","itemData":{"DOI":"10.1016/j.apenergy.2019.02.066","ISSN":"03062619","abstract":"Heating, Ventilation, and Air Conditioning (HVAC) is a major energy consumer in buildings. The predictive control has demonstrated a potential to reduce HVAC energy use. To facilitate predictive HVAC control, internal heat gains prediction is required. In this study, we applied Long Short-Term Memory Networks, a special form of deep neural network, to predict miscellaneous electric loads, lighting loads, occupant counts and internal heat gains in two United States office buildings. Compared with the predetermined schedules used in American Society of Heating, Refrigerating and Air-Conditioning Engineers (ASHRAE) standard 90.1, the Long Short-Term Memory Networks method could reduce the prediction errors of internal heat gains from 12% to 8% in Building A, and from 26% to 16% in Building B. It was also found that for internal heat gains prediction, miscellaneous electric loads is a more important feature than occupant counts for two reasons. First, miscellaneous electric loads is the best proxy variable for internal heat gains, as it is the major component of and has the highest correlation coefficient with the internal heat gains. Second, miscellaneous electric loads contain valuable information to predict occupant count, while occupant count could not help improve miscellaneous electric loads prediction. These findings could help researchers and practitioners select the most relevant features to more accurately predict internal heat gains for the implementation of predictive HVAC control in buildings.","author":[{"dropping-particle":"","family":"Wang","given":"Zhe","non-dropping-particle":"","parse-names":false,"suffix":""},{"dropping-particle":"","family":"Hong","given":"Tianzhen","non-dropping-particle":"","parse-names":false,"suffix":""},{"dropping-particle":"","family":"Piette","given":"Mary Ann","non-dropping-particle":"","parse-names":false,"suffix":""}],"container-title":"Applied Energy","id":"ITEM-6","issued":{"date-parts":[["2019","4","15"]]},"page":"386-398","publisher":"Elsevier","title":"Data fusion in predicting internal heat gains for office buildings through a deep learning approach","type":"article-journal","volume":"240"},"uris":["http://www.mendeley.com/documents/?uuid=6a78149d-aec1-3318-bcad-f794f39e314f"]}],"mendeley":{"formattedCitation":"(&lt;i&gt;9&lt;/i&gt;, &lt;i&gt;11&lt;/i&gt;, &lt;i&gt;19&lt;/i&gt;, &lt;i&gt;22&lt;/i&gt;, &lt;i&gt;39&lt;/i&gt;, &lt;i&gt;40&lt;/i&gt;)","plainTextFormattedCitation":"(9, 11, 19, 22, 39, 40)","previouslyFormattedCitation":"(&lt;i&gt;9&lt;/i&gt;, &lt;i&gt;11&lt;/i&gt;, &lt;i&gt;19&lt;/i&gt;, &lt;i&gt;22&lt;/i&gt;, &lt;i&gt;39&lt;/i&gt;, &lt;i&gt;40&lt;/i&gt;)"},"properties":{"noteIndex":0},"schema":"https://github.com/citation-style-language/schema/raw/master/csl-citation.json"}</w:instrText>
      </w:r>
      <w:r w:rsidR="00114AA7">
        <w:rPr>
          <w:rFonts w:cs="Times New Roman"/>
          <w:szCs w:val="24"/>
          <w:lang w:val="en-US"/>
        </w:rPr>
        <w:fldChar w:fldCharType="separate"/>
      </w:r>
      <w:r w:rsidR="00ED7F0F" w:rsidRPr="00ED7F0F">
        <w:rPr>
          <w:rFonts w:cs="Times New Roman"/>
          <w:noProof/>
          <w:szCs w:val="24"/>
          <w:lang w:val="en-US"/>
        </w:rPr>
        <w:t>(</w:t>
      </w:r>
      <w:r w:rsidR="00ED7F0F" w:rsidRPr="00ED7F0F">
        <w:rPr>
          <w:rFonts w:cs="Times New Roman"/>
          <w:i/>
          <w:noProof/>
          <w:szCs w:val="24"/>
          <w:lang w:val="en-US"/>
        </w:rPr>
        <w:t>9</w:t>
      </w:r>
      <w:r w:rsidR="00ED7F0F" w:rsidRPr="00ED7F0F">
        <w:rPr>
          <w:rFonts w:cs="Times New Roman"/>
          <w:noProof/>
          <w:szCs w:val="24"/>
          <w:lang w:val="en-US"/>
        </w:rPr>
        <w:t xml:space="preserve">, </w:t>
      </w:r>
      <w:r w:rsidR="00ED7F0F" w:rsidRPr="00ED7F0F">
        <w:rPr>
          <w:rFonts w:cs="Times New Roman"/>
          <w:i/>
          <w:noProof/>
          <w:szCs w:val="24"/>
          <w:lang w:val="en-US"/>
        </w:rPr>
        <w:t>11</w:t>
      </w:r>
      <w:r w:rsidR="00ED7F0F" w:rsidRPr="00ED7F0F">
        <w:rPr>
          <w:rFonts w:cs="Times New Roman"/>
          <w:noProof/>
          <w:szCs w:val="24"/>
          <w:lang w:val="en-US"/>
        </w:rPr>
        <w:t xml:space="preserve">, </w:t>
      </w:r>
      <w:r w:rsidR="00ED7F0F" w:rsidRPr="00ED7F0F">
        <w:rPr>
          <w:rFonts w:cs="Times New Roman"/>
          <w:i/>
          <w:noProof/>
          <w:szCs w:val="24"/>
          <w:lang w:val="en-US"/>
        </w:rPr>
        <w:t>19</w:t>
      </w:r>
      <w:r w:rsidR="00ED7F0F" w:rsidRPr="00ED7F0F">
        <w:rPr>
          <w:rFonts w:cs="Times New Roman"/>
          <w:noProof/>
          <w:szCs w:val="24"/>
          <w:lang w:val="en-US"/>
        </w:rPr>
        <w:t xml:space="preserve">, </w:t>
      </w:r>
      <w:r w:rsidR="00ED7F0F" w:rsidRPr="00ED7F0F">
        <w:rPr>
          <w:rFonts w:cs="Times New Roman"/>
          <w:i/>
          <w:noProof/>
          <w:szCs w:val="24"/>
          <w:lang w:val="en-US"/>
        </w:rPr>
        <w:t>22</w:t>
      </w:r>
      <w:r w:rsidR="00ED7F0F" w:rsidRPr="00ED7F0F">
        <w:rPr>
          <w:rFonts w:cs="Times New Roman"/>
          <w:noProof/>
          <w:szCs w:val="24"/>
          <w:lang w:val="en-US"/>
        </w:rPr>
        <w:t xml:space="preserve">, </w:t>
      </w:r>
      <w:r w:rsidR="00ED7F0F" w:rsidRPr="00ED7F0F">
        <w:rPr>
          <w:rFonts w:cs="Times New Roman"/>
          <w:i/>
          <w:noProof/>
          <w:szCs w:val="24"/>
          <w:lang w:val="en-US"/>
        </w:rPr>
        <w:t>39</w:t>
      </w:r>
      <w:r w:rsidR="00ED7F0F" w:rsidRPr="00ED7F0F">
        <w:rPr>
          <w:rFonts w:cs="Times New Roman"/>
          <w:noProof/>
          <w:szCs w:val="24"/>
          <w:lang w:val="en-US"/>
        </w:rPr>
        <w:t xml:space="preserve">, </w:t>
      </w:r>
      <w:r w:rsidR="00ED7F0F" w:rsidRPr="00ED7F0F">
        <w:rPr>
          <w:rFonts w:cs="Times New Roman"/>
          <w:i/>
          <w:noProof/>
          <w:szCs w:val="24"/>
          <w:lang w:val="en-US"/>
        </w:rPr>
        <w:t>40</w:t>
      </w:r>
      <w:r w:rsidR="00ED7F0F" w:rsidRPr="00ED7F0F">
        <w:rPr>
          <w:rFonts w:cs="Times New Roman"/>
          <w:noProof/>
          <w:szCs w:val="24"/>
          <w:lang w:val="en-US"/>
        </w:rPr>
        <w:t>)</w:t>
      </w:r>
      <w:r w:rsidR="00114AA7">
        <w:rPr>
          <w:rFonts w:cs="Times New Roman"/>
          <w:szCs w:val="24"/>
          <w:lang w:val="en-US"/>
        </w:rPr>
        <w:fldChar w:fldCharType="end"/>
      </w:r>
      <w:r w:rsidR="00114AA7">
        <w:rPr>
          <w:rFonts w:cs="Times New Roman"/>
          <w:szCs w:val="24"/>
          <w:lang w:val="en-US"/>
        </w:rPr>
        <w:t xml:space="preserve">. </w:t>
      </w:r>
      <w:r w:rsidR="00F353FA" w:rsidRPr="00F353FA">
        <w:rPr>
          <w:rFonts w:cs="Times New Roman"/>
          <w:szCs w:val="24"/>
          <w:lang w:val="en-US"/>
        </w:rPr>
        <w:t>For the current research effort, we have confined our attention to the studies adopting data fusion technique</w:t>
      </w:r>
      <w:r w:rsidR="00407D2E">
        <w:rPr>
          <w:rFonts w:cs="Times New Roman"/>
          <w:szCs w:val="24"/>
          <w:lang w:val="en-US"/>
        </w:rPr>
        <w:t>s</w:t>
      </w:r>
      <w:r w:rsidR="00F353FA" w:rsidRPr="00F353FA">
        <w:rPr>
          <w:rFonts w:cs="Times New Roman"/>
          <w:szCs w:val="24"/>
          <w:lang w:val="en-US"/>
        </w:rPr>
        <w:t xml:space="preserve"> </w:t>
      </w:r>
      <w:r w:rsidR="00BB6204">
        <w:rPr>
          <w:rFonts w:cs="Times New Roman"/>
          <w:szCs w:val="24"/>
          <w:lang w:val="en-US"/>
        </w:rPr>
        <w:t xml:space="preserve">in </w:t>
      </w:r>
      <w:r w:rsidR="00F353FA" w:rsidRPr="00F353FA">
        <w:rPr>
          <w:rFonts w:cs="Times New Roman"/>
          <w:szCs w:val="24"/>
          <w:lang w:val="en-US"/>
        </w:rPr>
        <w:t>energy demand sector.</w:t>
      </w:r>
    </w:p>
    <w:p w14:paraId="718F4115" w14:textId="6877CEBB" w:rsidR="0094667A" w:rsidRDefault="002C4C1B" w:rsidP="00C55859">
      <w:pPr>
        <w:ind w:firstLine="576"/>
        <w:rPr>
          <w:rFonts w:cs="Times New Roman"/>
          <w:color w:val="2E2E2E"/>
          <w:szCs w:val="24"/>
        </w:rPr>
      </w:pPr>
      <w:r>
        <w:rPr>
          <w:rFonts w:cs="Times New Roman"/>
          <w:color w:val="2E2E2E"/>
          <w:szCs w:val="24"/>
        </w:rPr>
        <w:t>E</w:t>
      </w:r>
      <w:r w:rsidR="0094667A">
        <w:rPr>
          <w:rFonts w:cs="Times New Roman"/>
          <w:color w:val="2E2E2E"/>
          <w:szCs w:val="24"/>
        </w:rPr>
        <w:t>nergy efficiency (in building) is a</w:t>
      </w:r>
      <w:r>
        <w:rPr>
          <w:rFonts w:cs="Times New Roman"/>
          <w:color w:val="2E2E2E"/>
          <w:szCs w:val="24"/>
        </w:rPr>
        <w:t xml:space="preserve"> </w:t>
      </w:r>
      <w:r w:rsidR="0094667A">
        <w:rPr>
          <w:rFonts w:cs="Times New Roman"/>
          <w:color w:val="2E2E2E"/>
          <w:szCs w:val="24"/>
        </w:rPr>
        <w:t xml:space="preserve">heavily researched area where data fusion is applied </w:t>
      </w:r>
      <w:r w:rsidR="00E84562">
        <w:rPr>
          <w:rFonts w:cs="Times New Roman"/>
          <w:color w:val="2E2E2E"/>
          <w:szCs w:val="24"/>
        </w:rPr>
        <w:t>at</w:t>
      </w:r>
      <w:r w:rsidR="0094667A">
        <w:rPr>
          <w:rFonts w:cs="Times New Roman"/>
          <w:color w:val="2E2E2E"/>
          <w:szCs w:val="24"/>
        </w:rPr>
        <w:t xml:space="preserve"> various </w:t>
      </w:r>
      <w:r w:rsidR="00BC429E">
        <w:rPr>
          <w:rFonts w:cs="Times New Roman"/>
          <w:color w:val="2E2E2E"/>
          <w:szCs w:val="24"/>
        </w:rPr>
        <w:t>resolutions</w:t>
      </w:r>
      <w:r w:rsidR="0094667A">
        <w:rPr>
          <w:rFonts w:cs="Times New Roman"/>
          <w:color w:val="2E2E2E"/>
          <w:szCs w:val="24"/>
        </w:rPr>
        <w:t>. However, unlike transportation field, data fusion algorithm</w:t>
      </w:r>
      <w:r w:rsidR="00611ED6">
        <w:rPr>
          <w:rFonts w:cs="Times New Roman"/>
          <w:color w:val="2E2E2E"/>
          <w:szCs w:val="24"/>
        </w:rPr>
        <w:t>s</w:t>
      </w:r>
      <w:r w:rsidR="0094667A">
        <w:rPr>
          <w:rFonts w:cs="Times New Roman"/>
          <w:color w:val="2E2E2E"/>
          <w:szCs w:val="24"/>
        </w:rPr>
        <w:t xml:space="preserve"> in energy demand literature mainly focused on appliance, sensor and semantic level fusion as opposed to data level fusion </w:t>
      </w:r>
      <w:r w:rsidR="0094667A">
        <w:rPr>
          <w:rFonts w:cs="Times New Roman"/>
          <w:color w:val="2E2E2E"/>
          <w:szCs w:val="24"/>
        </w:rPr>
        <w:fldChar w:fldCharType="begin" w:fldLock="1"/>
      </w:r>
      <w:r w:rsidR="00812451">
        <w:rPr>
          <w:rFonts w:cs="Times New Roman"/>
          <w:color w:val="2E2E2E"/>
          <w:szCs w:val="24"/>
        </w:rPr>
        <w:instrText>ADDIN CSL_CITATION {"citationItems":[{"id":"ITEM-1","itemData":{"DOI":"10.1016/j.inffus.2020.07.003","ISSN":"15662535","abstract":"Recently, tremendous interest has been devoted to develop data fusion strategies for energy efficiency in buildings, where various kinds of information can be processed. However, applying the appropriate data fusion strategy to design an efficient energy efficiency system is not straightforward; it requires a priori knowledge of existing fusion strategies, their applications and their properties. To this regard, seeking to provide the energy research community with a better understanding of data fusion strategies in building energy saving systems, their principles, advantages, and potential applications, this paper proposes an extensive survey of existing data fusion mechanisms deployed to reduce excessive consumption and promote sustainability. We investigate their conceptualizations, advantages, challenges and drawbacks, as well as performing a taxonomy of existing data fusion strategies and other contributing factors. Following, a comprehensive comparison of the state-of-the-art data fusion based energy efficiency frameworks is conducted using various parameters, including data fusion level, data fusion techniques, behavioral change influencer, behavioral change incentive, recorded data, platform architecture, IoT technology and application scenario. Moreover, a novel method for electrical appliance identification is proposed based on the fusion of 2D local texture descriptors, where 1D power signals are transformed into 2D space and treated as images. The empirical evaluation, conducted on three real datasets, shows promising performance, in which up to 99.68% accuracy and 99.52% F1 score have been attained. In addition, various open research challenges and future orientations to improve data fusion based energy efficiency ecosystems are explored.","author":[{"dropping-particle":"","family":"Himeur","given":"Yassine","non-dropping-particle":"","parse-names":false,"suffix":""},{"dropping-particle":"","family":"Alsalemi","given":"Abdullah","non-dropping-particle":"","parse-names":false,"suffix":""},{"dropping-particle":"","family":"Al-Kababji","given":"Ayman","non-dropping-particle":"","parse-names":false,"suffix":""},{"dropping-particle":"","family":"Bensaali","given":"Faycal","non-dropping-particle":"","parse-names":false,"suffix":""},{"dropping-particle":"","family":"Amira","given":"Abbes","non-dropping-particle":"","parse-names":false,"suffix":""}],"container-title":"Information Fusion","id":"ITEM-1","issued":{"date-parts":[["2020","12","1"]]},"page":"99-120","publisher":"Elsevier","title":"Data fusion strategies for energy efficiency in buildings: Overview, challenges and novel orientations","type":"article-journal","volume":"64"},"uris":["http://www.mendeley.com/documents/?uuid=90808168-d14e-3c16-b47c-ead3011ac32d"]}],"mendeley":{"formattedCitation":"(&lt;i&gt;14&lt;/i&gt;)","plainTextFormattedCitation":"(14)","previouslyFormattedCitation":"(&lt;i&gt;14&lt;/i&gt;)"},"properties":{"noteIndex":0},"schema":"https://github.com/citation-style-language/schema/raw/master/csl-citation.json"}</w:instrText>
      </w:r>
      <w:r w:rsidR="0094667A">
        <w:rPr>
          <w:rFonts w:cs="Times New Roman"/>
          <w:color w:val="2E2E2E"/>
          <w:szCs w:val="24"/>
        </w:rPr>
        <w:fldChar w:fldCharType="separate"/>
      </w:r>
      <w:r w:rsidR="009D3EDC" w:rsidRPr="009D3EDC">
        <w:rPr>
          <w:rFonts w:cs="Times New Roman"/>
          <w:noProof/>
          <w:color w:val="2E2E2E"/>
          <w:szCs w:val="24"/>
        </w:rPr>
        <w:t>(</w:t>
      </w:r>
      <w:r w:rsidR="009D3EDC" w:rsidRPr="009D3EDC">
        <w:rPr>
          <w:rFonts w:cs="Times New Roman"/>
          <w:i/>
          <w:noProof/>
          <w:color w:val="2E2E2E"/>
          <w:szCs w:val="24"/>
        </w:rPr>
        <w:t>14</w:t>
      </w:r>
      <w:r w:rsidR="009D3EDC" w:rsidRPr="009D3EDC">
        <w:rPr>
          <w:rFonts w:cs="Times New Roman"/>
          <w:noProof/>
          <w:color w:val="2E2E2E"/>
          <w:szCs w:val="24"/>
        </w:rPr>
        <w:t>)</w:t>
      </w:r>
      <w:r w:rsidR="0094667A">
        <w:rPr>
          <w:rFonts w:cs="Times New Roman"/>
          <w:color w:val="2E2E2E"/>
          <w:szCs w:val="24"/>
        </w:rPr>
        <w:fldChar w:fldCharType="end"/>
      </w:r>
      <w:r w:rsidR="0094667A">
        <w:rPr>
          <w:rFonts w:cs="Times New Roman"/>
          <w:color w:val="2E2E2E"/>
          <w:szCs w:val="24"/>
        </w:rPr>
        <w:t xml:space="preserve">. </w:t>
      </w:r>
      <w:r w:rsidR="00021157">
        <w:rPr>
          <w:rFonts w:cs="Times New Roman"/>
          <w:color w:val="2E2E2E"/>
          <w:szCs w:val="24"/>
        </w:rPr>
        <w:t xml:space="preserve">Example includes </w:t>
      </w:r>
      <w:r w:rsidR="00021157" w:rsidRPr="00021157">
        <w:rPr>
          <w:rFonts w:cs="Times New Roman"/>
          <w:color w:val="2E2E2E"/>
          <w:szCs w:val="24"/>
        </w:rPr>
        <w:t>system identification combined with Kalman filtering</w:t>
      </w:r>
      <w:r w:rsidR="00FE1FB7">
        <w:rPr>
          <w:rFonts w:cs="Times New Roman"/>
          <w:color w:val="2E2E2E"/>
          <w:szCs w:val="24"/>
        </w:rPr>
        <w:t xml:space="preserve"> </w:t>
      </w:r>
      <w:r w:rsidR="00FE1FB7">
        <w:rPr>
          <w:rFonts w:cs="Times New Roman"/>
          <w:color w:val="2E2E2E"/>
          <w:szCs w:val="24"/>
        </w:rPr>
        <w:fldChar w:fldCharType="begin" w:fldLock="1"/>
      </w:r>
      <w:r w:rsidR="00D60DFA">
        <w:rPr>
          <w:rFonts w:cs="Times New Roman"/>
          <w:color w:val="2E2E2E"/>
          <w:szCs w:val="24"/>
        </w:rPr>
        <w:instrText>ADDIN CSL_CITATION {"citationItems":[{"id":"ITEM-1","itemData":{"DOI":"10.1016/j.enbuild.2016.08.014","ISSN":"03787788","abstract":"Accurate, computationally efficient, and cost-effective energy forecasting models are essential for model based control. Existing studies in model based control have mostly been focusing on developing energy forecasting models using simplified physics based or data driven models. However, creating and identification the simplified physics model are often challenging, which requires expert knowledge for model simplification and significant engineering efforts for model training. In addition, the accuracy and robustness of data driven models are always bounded by the training data. To this end, developing high fidelity energy forecasting models with less engineering effort and good performance is still an urgent task. Although the previous studies from the authors have shown great promises in a system identification model and outperformed other data-driven and grey box models, they still have large errors at the special operation situations. Therefore, this paper investigates a novel methodology to develop energy estimation models for on-line building control and optimization using an integrated system identification and data fusion approach. The data fusion approach is able to adapt the forecasting model under the special operation situations based on the real measurements. An eigensystem realization algorithm based model reformation method is developed to convert the system identification models into state space models. Kalman filter based data fusion techniques are then implemented on the state space models to improve the model accuracy and robustness. The developed methodology are evaluated using data from a virtual building (simulated) and a real small size commercial building. Three different data fusion intervals: 15, 30, and 60 min, have been tested. The overall building energy estimation accuracy from this proposed methodology can reach to above 95% in the virtual building and around 90% in the real building. The results also show that the shorter data fusion interval used, the higher accuracy can be achieved.","author":[{"dropping-particle":"","family":"Li","given":"Xiwang","non-dropping-particle":"","parse-names":false,"suffix":""},{"dropping-particle":"","family":"Wen","given":"Jin","non-dropping-particle":"","parse-names":false,"suffix":""}],"container-title":"Energy and Buildings","id":"ITEM-1","issued":{"date-parts":[["2016"]]},"page":"227-237","publisher":"Elsevier","title":"System identification and data fusion for on-line adaptive energy forecasting in virtual and real commercial buildings","type":"article-journal","volume":"129"},"uris":["http://www.mendeley.com/documents/?uuid=6e7a32f7-7c86-4038-ae29-54c1655ac58f"]}],"mendeley":{"formattedCitation":"(&lt;i&gt;41&lt;/i&gt;)","plainTextFormattedCitation":"(41)","previouslyFormattedCitation":"(&lt;i&gt;41&lt;/i&gt;)"},"properties":{"noteIndex":0},"schema":"https://github.com/citation-style-language/schema/raw/master/csl-citation.json"}</w:instrText>
      </w:r>
      <w:r w:rsidR="00FE1FB7">
        <w:rPr>
          <w:rFonts w:cs="Times New Roman"/>
          <w:color w:val="2E2E2E"/>
          <w:szCs w:val="24"/>
        </w:rPr>
        <w:fldChar w:fldCharType="separate"/>
      </w:r>
      <w:r w:rsidR="00FE1FB7" w:rsidRPr="00FE1FB7">
        <w:rPr>
          <w:rFonts w:cs="Times New Roman"/>
          <w:noProof/>
          <w:color w:val="2E2E2E"/>
          <w:szCs w:val="24"/>
        </w:rPr>
        <w:t>(</w:t>
      </w:r>
      <w:r w:rsidR="00FE1FB7" w:rsidRPr="00FE1FB7">
        <w:rPr>
          <w:rFonts w:cs="Times New Roman"/>
          <w:i/>
          <w:noProof/>
          <w:color w:val="2E2E2E"/>
          <w:szCs w:val="24"/>
        </w:rPr>
        <w:t>41</w:t>
      </w:r>
      <w:r w:rsidR="00FE1FB7" w:rsidRPr="00FE1FB7">
        <w:rPr>
          <w:rFonts w:cs="Times New Roman"/>
          <w:noProof/>
          <w:color w:val="2E2E2E"/>
          <w:szCs w:val="24"/>
        </w:rPr>
        <w:t>)</w:t>
      </w:r>
      <w:r w:rsidR="00FE1FB7">
        <w:rPr>
          <w:rFonts w:cs="Times New Roman"/>
          <w:color w:val="2E2E2E"/>
          <w:szCs w:val="24"/>
        </w:rPr>
        <w:fldChar w:fldCharType="end"/>
      </w:r>
      <w:r w:rsidR="00021157" w:rsidRPr="00021157">
        <w:rPr>
          <w:rFonts w:cs="Times New Roman"/>
          <w:color w:val="2E2E2E"/>
          <w:szCs w:val="24"/>
        </w:rPr>
        <w:t>, and deep learning-based techniques</w:t>
      </w:r>
      <w:r w:rsidR="00B04498">
        <w:rPr>
          <w:rFonts w:cs="Times New Roman"/>
          <w:color w:val="2E2E2E"/>
          <w:szCs w:val="24"/>
        </w:rPr>
        <w:t xml:space="preserve"> </w:t>
      </w:r>
      <w:r w:rsidR="00B04498">
        <w:rPr>
          <w:rFonts w:cs="Times New Roman"/>
          <w:color w:val="2E2E2E"/>
          <w:szCs w:val="24"/>
        </w:rPr>
        <w:fldChar w:fldCharType="begin" w:fldLock="1"/>
      </w:r>
      <w:r w:rsidR="00D60DFA">
        <w:rPr>
          <w:rFonts w:cs="Times New Roman"/>
          <w:color w:val="2E2E2E"/>
          <w:szCs w:val="24"/>
        </w:rPr>
        <w:instrText>ADDIN CSL_CITATION {"citationItems":[{"id":"ITEM-1","itemData":{"DOI":"10.1109/TSG.2021.3091469","ISSN":"19493061","abstract":"With the detailed load data provided by smart meter, the learning of electricity usage behavior for individual household short-term load forecasting has become a hot research topic. The existing methods generally ignore the relation among multiple households and fail to obtain enough information from the limited household load data, resulting in accuracy reduction. To solve this problem, a novel hybrid Multitask Multi-information Fusion Deep Learning Framework (MFDL) considering both recent and long-term regular behaviors is proposed by integrating long short-term memory (LSTM), and convolutional neural network (CNN) to predict the multiple individual household short-term electricity consumptions. A multitask framework with two levels of information extraction is developed considering multiple household short-term load forecasting. In the low-level information extraction stage, the data structure including long and short datasets with different time scales is presented to learn the recent electricity usage behavior by LSTM and the long-term regular electricity behavior features by CNN. Then the multiple time-scale information is fused and further extracted in the high-level stage to complete the multiple individual short-term household load forecasting. The developed framework is implemented on one real-world load datasets and the results show the proposed method outperforms the state-of-the-art methods in common metrics.","author":[{"dropping-particle":"","family":"Jiang","given":"Lianjie","non-dropping-particle":"","parse-names":false,"suffix":""},{"dropping-particle":"","family":"Wang","given":"Xinli","non-dropping-particle":"","parse-names":false,"suffix":""},{"dropping-particle":"","family":"Li","given":"Wei","non-dropping-particle":"","parse-names":false,"suffix":""},{"dropping-particle":"","family":"Wang","given":"Lei","non-dropping-particle":"","parse-names":false,"suffix":""},{"dropping-particle":"","family":"Yin","given":"Xiaohong","non-dropping-particle":"","parse-names":false,"suffix":""},{"dropping-particle":"","family":"Jia","given":"Lei","non-dropping-particle":"","parse-names":false,"suffix":""}],"container-title":"IEEE Transactions on Smart Grid","id":"ITEM-1","issue":"6","issued":{"date-parts":[["2021"]]},"page":"5362-5372","publisher":"IEEE","title":"Hybrid Multitask Multi-Information Fusion Deep Learning for Household Short-Term Load Forecasting","type":"article-journal","volume":"12"},"uris":["http://www.mendeley.com/documents/?uuid=34648e79-8588-4f8c-9926-b109ffcffcd2"]},{"id":"ITEM-2","itemData":{"DOI":"10.1016/j.apenergy.2019.02.066","ISSN":"03062619","abstract":"Heating, Ventilation, and Air Conditioning (HVAC) is a major energy consumer in buildings. The predictive control has demonstrated a potential to reduce HVAC energy use. To facilitate predictive HVAC control, internal heat gains prediction is required. In this study, we applied Long Short-Term Memory Networks, a special form of deep neural network, to predict miscellaneous electric loads, lighting loads, occupant counts and internal heat gains in two United States office buildings. Compared with the predetermined schedules used in American Society of Heating, Refrigerating and Air-Conditioning Engineers (ASHRAE) standard 90.1, the Long Short-Term Memory Networks method could reduce the prediction errors of internal heat gains from 12% to 8% in Building A, and from 26% to 16% in Building B. It was also found that for internal heat gains prediction, miscellaneous electric loads is a more important feature than occupant counts for two reasons. First, miscellaneous electric loads is the best proxy variable for internal heat gains, as it is the major component of and has the highest correlation coefficient with the internal heat gains. Second, miscellaneous electric loads contain valuable information to predict occupant count, while occupant count could not help improve miscellaneous electric loads prediction. These findings could help researchers and practitioners select the most relevant features to more accurately predict internal heat gains for the implementation of predictive HVAC control in buildings.","author":[{"dropping-particle":"","family":"Wang","given":"Zhe","non-dropping-particle":"","parse-names":false,"suffix":""},{"dropping-particle":"","family":"Hong","given":"Tianzhen","non-dropping-particle":"","parse-names":false,"suffix":""},{"dropping-particle":"","family":"Piette","given":"Mary Ann","non-dropping-particle":"","parse-names":false,"suffix":""}],"container-title":"Applied Energy","id":"ITEM-2","issued":{"date-parts":[["2019","4","15"]]},"page":"386-398","publisher":"Elsevier","title":"Data fusion in predicting internal heat gains for office buildings through a deep learning approach","type":"article-journal","volume":"240"},"uris":["http://www.mendeley.com/documents/?uuid=6a78149d-aec1-3318-bcad-f794f39e314f"]}],"mendeley":{"formattedCitation":"(&lt;i&gt;11&lt;/i&gt;, &lt;i&gt;42&lt;/i&gt;)","plainTextFormattedCitation":"(11, 42)","previouslyFormattedCitation":"(&lt;i&gt;11&lt;/i&gt;, &lt;i&gt;42&lt;/i&gt;)"},"properties":{"noteIndex":0},"schema":"https://github.com/citation-style-language/schema/raw/master/csl-citation.json"}</w:instrText>
      </w:r>
      <w:r w:rsidR="00B04498">
        <w:rPr>
          <w:rFonts w:cs="Times New Roman"/>
          <w:color w:val="2E2E2E"/>
          <w:szCs w:val="24"/>
        </w:rPr>
        <w:fldChar w:fldCharType="separate"/>
      </w:r>
      <w:r w:rsidR="00FE1FB7" w:rsidRPr="00FE1FB7">
        <w:rPr>
          <w:rFonts w:cs="Times New Roman"/>
          <w:noProof/>
          <w:color w:val="2E2E2E"/>
          <w:szCs w:val="24"/>
        </w:rPr>
        <w:t>(</w:t>
      </w:r>
      <w:r w:rsidR="00FE1FB7" w:rsidRPr="00FE1FB7">
        <w:rPr>
          <w:rFonts w:cs="Times New Roman"/>
          <w:i/>
          <w:noProof/>
          <w:color w:val="2E2E2E"/>
          <w:szCs w:val="24"/>
        </w:rPr>
        <w:t>11</w:t>
      </w:r>
      <w:r w:rsidR="00FE1FB7" w:rsidRPr="00FE1FB7">
        <w:rPr>
          <w:rFonts w:cs="Times New Roman"/>
          <w:noProof/>
          <w:color w:val="2E2E2E"/>
          <w:szCs w:val="24"/>
        </w:rPr>
        <w:t xml:space="preserve">, </w:t>
      </w:r>
      <w:r w:rsidR="00FE1FB7" w:rsidRPr="00FE1FB7">
        <w:rPr>
          <w:rFonts w:cs="Times New Roman"/>
          <w:i/>
          <w:noProof/>
          <w:color w:val="2E2E2E"/>
          <w:szCs w:val="24"/>
        </w:rPr>
        <w:t>42</w:t>
      </w:r>
      <w:r w:rsidR="00FE1FB7" w:rsidRPr="00FE1FB7">
        <w:rPr>
          <w:rFonts w:cs="Times New Roman"/>
          <w:noProof/>
          <w:color w:val="2E2E2E"/>
          <w:szCs w:val="24"/>
        </w:rPr>
        <w:t>)</w:t>
      </w:r>
      <w:r w:rsidR="00B04498">
        <w:rPr>
          <w:rFonts w:cs="Times New Roman"/>
          <w:color w:val="2E2E2E"/>
          <w:szCs w:val="24"/>
        </w:rPr>
        <w:fldChar w:fldCharType="end"/>
      </w:r>
      <w:r w:rsidR="00021157" w:rsidRPr="00021157">
        <w:rPr>
          <w:rFonts w:cs="Times New Roman"/>
          <w:color w:val="2E2E2E"/>
          <w:szCs w:val="24"/>
        </w:rPr>
        <w:t xml:space="preserve"> that integrate data from multiple sources. These techniques have been applied to various types of data, including weather, occupancy, and equipment usage patterns. Multi-information fusion models, such as those using convolutional neural network (CNN) and long short-term memory (LSTM) networks, have also been used to enhance the accuracy of energy forecasting</w:t>
      </w:r>
      <w:r w:rsidR="00D60DFA">
        <w:rPr>
          <w:rFonts w:cs="Times New Roman"/>
          <w:color w:val="2E2E2E"/>
          <w:szCs w:val="24"/>
        </w:rPr>
        <w:t xml:space="preserve"> </w:t>
      </w:r>
      <w:r w:rsidR="00D60DFA">
        <w:rPr>
          <w:rFonts w:cs="Times New Roman"/>
          <w:color w:val="2E2E2E"/>
          <w:szCs w:val="24"/>
        </w:rPr>
        <w:fldChar w:fldCharType="begin" w:fldLock="1"/>
      </w:r>
      <w:r w:rsidR="00D60DFA">
        <w:rPr>
          <w:rFonts w:cs="Times New Roman"/>
          <w:color w:val="2E2E2E"/>
          <w:szCs w:val="24"/>
        </w:rPr>
        <w:instrText>ADDIN CSL_CITATION {"citationItems":[{"id":"ITEM-1","itemData":{"DOI":"10.1016/j.enbuild.2021.111828","ISSN":"03787788","abstract":"For several years now, smart building energy systems have been a research area of intensive activity. In light of the increasing need for sustainable buildings and energy systems, this trend motivates an increasing need for a solution to reduce carbon dioxide emissions and improve energy efficiency. This paper proposes a high-performing and transferable occupancy detection framework that combines sensor data from different data modalities, including time series environmental data (temperature, humidity, and illuminance), image data, and acoustic energy data using ensemble method. To draw out the best prediction performance in each modality, the proposed framework was developed, including various models that were designed to learn the occupancy patterns reflected in the physical data streams. To tackle the time series environmental data, we designed two variants of an occupancy detection spatiotemporal pattern network (Occ-STPN) that performs both feature level and decision level fusion, respectively. We also propose a new metric; the fading memory mean square error (FMMSE), that provides a fair evaluation and penalization of delayed occupancy predictions. Multiple open-sourced datasets, including the Electricity Consumption and Occupancy and the University of California, Irvine's (UCI) building occupancy detection dataset, along with our own real data collected from six different houses, were used to validate the algorithms’ performance. The experimental results presented herein break down the performance for each sensing modality, and a detailed analysis of the performance is also discussed.","author":[{"dropping-particle":"","family":"Tan","given":"Sin Yong","non-dropping-particle":"","parse-names":false,"suffix":""},{"dropping-particle":"","family":"Jacoby","given":"Margarite","non-dropping-particle":"","parse-names":false,"suffix":""},{"dropping-particle":"","family":"Saha","given":"Homagni","non-dropping-particle":"","parse-names":false,"suffix":""},{"dropping-particle":"","family":"Florita","given":"Anthony","non-dropping-particle":"","parse-names":false,"suffix":""},{"dropping-particle":"","family":"Henze","given":"Gregor","non-dropping-particle":"","parse-names":false,"suffix":""},{"dropping-particle":"","family":"Sarkar","given":"Soumik","non-dropping-particle":"","parse-names":false,"suffix":""}],"container-title":"Energy and Buildings","id":"ITEM-1","issued":{"date-parts":[["2022"]]},"page":"111828","publisher":"Elsevier","title":"Multimodal sensor fusion framework for residential building occupancy detection","type":"article-journal","volume":"258"},"uris":["http://www.mendeley.com/documents/?uuid=b8fe8e9d-e47f-4966-a961-4fdfba34a7a8"]},{"id":"ITEM-2","itemData":{"DOI":"10.1016/j.enbuild.2022.112566","ISSN":"03787788","abstract":"Building load forecasting is critical for energy saving and carbon emission reduction, as building loads account for a rising percentage of energy consumption. Existing load forecasting methods only target a single building and do not consider the spatial characteristics of different building loads in an architectural complex, making it impossible to effectively forecast loads for all buildings in an architectural complex simultaneously. In this paper, considering the spatial correlation among building loads in an architectural complex, a novel short-term load forecasting method is proposed to improve the load forecasting accuracy for the architectural complex. First, Pearson correlation analysis is carried out to determine the key influencing factors of load, which are treated as multi-information. Then, to realize the load forecasting of all buildings in an architectural complex at the same time, a multi-information fusion model combined with a graph convolutional network and a long-short term memory network is proposed, and spatio-temporal attention modules are included to extract the dynamic spatio-temporal correlations of load. The performance of the proposed model is evaluated using actual load data from a public university in Beijing. When compared to other current methods, the experimental results show that the proposed model not only achieves the best results for architectural complex load forecasting (the largest MAPE is only 6.86%, the smallest R2 and Accuracy reach 0.87 and 0.85, respectively), but also maintains forecasting stability to some extent over a longer forecast period. The proposed method is a meaningful step towards achieving fast and accurate architectural complex load forecasting.","author":[{"dropping-particle":"","family":"Xie","given":"Jiangjian","non-dropping-particle":"","parse-names":false,"suffix":""},{"dropping-particle":"","family":"Zhong","given":"Yujie","non-dropping-particle":"","parse-names":false,"suffix":""},{"dropping-particle":"","family":"Xiao","given":"Tong","non-dropping-particle":"","parse-names":false,"suffix":""},{"dropping-particle":"","family":"Wang","given":"Zheng","non-dropping-particle":"","parse-names":false,"suffix":""},{"dropping-particle":"","family":"Zhang","given":"Junguo","non-dropping-particle":"","parse-names":false,"suffix":""},{"dropping-particle":"","family":"Wang","given":"Tuowai","non-dropping-particle":"","parse-names":false,"suffix":""},{"dropping-particle":"","family":"Schuller","given":"Björn W.","non-dropping-particle":"","parse-names":false,"suffix":""}],"container-title":"Energy and Buildings","id":"ITEM-2","issued":{"date-parts":[["2022"]]},"page":"112566","publisher":"Elsevier","title":"A multi-information fusion model for short term load forecasting of an architectural complex considering spatio-temporal characteristics","type":"article-journal","volume":"277"},"uris":["http://www.mendeley.com/documents/?uuid=18e11248-5bc8-4399-8d82-a95bbd1104cd"]}],"mendeley":{"formattedCitation":"(&lt;i&gt;43&lt;/i&gt;, &lt;i&gt;44&lt;/i&gt;)","plainTextFormattedCitation":"(43, 44)","previouslyFormattedCitation":"(&lt;i&gt;43&lt;/i&gt;, &lt;i&gt;44&lt;/i&gt;)"},"properties":{"noteIndex":0},"schema":"https://github.com/citation-style-language/schema/raw/master/csl-citation.json"}</w:instrText>
      </w:r>
      <w:r w:rsidR="00D60DFA">
        <w:rPr>
          <w:rFonts w:cs="Times New Roman"/>
          <w:color w:val="2E2E2E"/>
          <w:szCs w:val="24"/>
        </w:rPr>
        <w:fldChar w:fldCharType="separate"/>
      </w:r>
      <w:r w:rsidR="00D60DFA" w:rsidRPr="00D60DFA">
        <w:rPr>
          <w:rFonts w:cs="Times New Roman"/>
          <w:noProof/>
          <w:color w:val="2E2E2E"/>
          <w:szCs w:val="24"/>
        </w:rPr>
        <w:t>(</w:t>
      </w:r>
      <w:r w:rsidR="00D60DFA" w:rsidRPr="00D60DFA">
        <w:rPr>
          <w:rFonts w:cs="Times New Roman"/>
          <w:i/>
          <w:noProof/>
          <w:color w:val="2E2E2E"/>
          <w:szCs w:val="24"/>
        </w:rPr>
        <w:t>43</w:t>
      </w:r>
      <w:r w:rsidR="00D60DFA" w:rsidRPr="00D60DFA">
        <w:rPr>
          <w:rFonts w:cs="Times New Roman"/>
          <w:noProof/>
          <w:color w:val="2E2E2E"/>
          <w:szCs w:val="24"/>
        </w:rPr>
        <w:t xml:space="preserve">, </w:t>
      </w:r>
      <w:r w:rsidR="00D60DFA" w:rsidRPr="00D60DFA">
        <w:rPr>
          <w:rFonts w:cs="Times New Roman"/>
          <w:i/>
          <w:noProof/>
          <w:color w:val="2E2E2E"/>
          <w:szCs w:val="24"/>
        </w:rPr>
        <w:t>44</w:t>
      </w:r>
      <w:r w:rsidR="00D60DFA" w:rsidRPr="00D60DFA">
        <w:rPr>
          <w:rFonts w:cs="Times New Roman"/>
          <w:noProof/>
          <w:color w:val="2E2E2E"/>
          <w:szCs w:val="24"/>
        </w:rPr>
        <w:t>)</w:t>
      </w:r>
      <w:r w:rsidR="00D60DFA">
        <w:rPr>
          <w:rFonts w:cs="Times New Roman"/>
          <w:color w:val="2E2E2E"/>
          <w:szCs w:val="24"/>
        </w:rPr>
        <w:fldChar w:fldCharType="end"/>
      </w:r>
      <w:r w:rsidR="00021157" w:rsidRPr="00021157">
        <w:rPr>
          <w:rFonts w:cs="Times New Roman"/>
          <w:color w:val="2E2E2E"/>
          <w:szCs w:val="24"/>
        </w:rPr>
        <w:t xml:space="preserve">. </w:t>
      </w:r>
      <w:r w:rsidR="00785370">
        <w:rPr>
          <w:rFonts w:cs="Times New Roman"/>
          <w:color w:val="2E2E2E"/>
          <w:szCs w:val="24"/>
        </w:rPr>
        <w:t xml:space="preserve">Based on the </w:t>
      </w:r>
      <w:r w:rsidR="0094667A">
        <w:rPr>
          <w:rFonts w:cs="Times New Roman"/>
          <w:color w:val="2E2E2E"/>
          <w:szCs w:val="24"/>
        </w:rPr>
        <w:t>dimension of crucial interest</w:t>
      </w:r>
      <w:r w:rsidR="00785370">
        <w:rPr>
          <w:rFonts w:cs="Times New Roman"/>
          <w:color w:val="2E2E2E"/>
          <w:szCs w:val="24"/>
        </w:rPr>
        <w:t>,</w:t>
      </w:r>
      <w:r w:rsidR="0094667A">
        <w:rPr>
          <w:rFonts w:cs="Times New Roman"/>
          <w:color w:val="2E2E2E"/>
          <w:szCs w:val="24"/>
        </w:rPr>
        <w:t xml:space="preserve"> these studies can be broadly classified </w:t>
      </w:r>
      <w:r w:rsidR="00B920B4">
        <w:rPr>
          <w:rFonts w:cs="Times New Roman"/>
          <w:color w:val="2E2E2E"/>
          <w:szCs w:val="24"/>
        </w:rPr>
        <w:t>into</w:t>
      </w:r>
      <w:r w:rsidR="0094667A">
        <w:rPr>
          <w:rFonts w:cs="Times New Roman"/>
          <w:color w:val="2E2E2E"/>
          <w:szCs w:val="24"/>
        </w:rPr>
        <w:t xml:space="preserve"> two </w:t>
      </w:r>
      <w:r w:rsidR="00B920B4">
        <w:rPr>
          <w:rFonts w:cs="Times New Roman"/>
          <w:color w:val="2E2E2E"/>
          <w:szCs w:val="24"/>
        </w:rPr>
        <w:t>groups</w:t>
      </w:r>
      <w:r w:rsidR="0094667A">
        <w:rPr>
          <w:rFonts w:cs="Times New Roman"/>
          <w:color w:val="2E2E2E"/>
          <w:szCs w:val="24"/>
        </w:rPr>
        <w:t xml:space="preserve">: 1) examine the occupancy status of the building and 2) understand the energy consumption pattern. </w:t>
      </w:r>
      <w:r w:rsidR="00BC429E">
        <w:rPr>
          <w:rFonts w:cs="Times New Roman"/>
          <w:color w:val="2E2E2E"/>
          <w:szCs w:val="24"/>
        </w:rPr>
        <w:t xml:space="preserve">The reader would note that </w:t>
      </w:r>
      <w:r w:rsidR="0094667A">
        <w:rPr>
          <w:rFonts w:cs="Times New Roman"/>
          <w:color w:val="2E2E2E"/>
          <w:szCs w:val="24"/>
        </w:rPr>
        <w:t xml:space="preserve">data fusing algorithms </w:t>
      </w:r>
      <w:r w:rsidR="00BC429E">
        <w:rPr>
          <w:rFonts w:cs="Times New Roman"/>
          <w:color w:val="2E2E2E"/>
          <w:szCs w:val="24"/>
        </w:rPr>
        <w:t xml:space="preserve">have also been developed </w:t>
      </w:r>
      <w:r w:rsidR="0094667A">
        <w:rPr>
          <w:rFonts w:cs="Times New Roman"/>
          <w:color w:val="2E2E2E"/>
          <w:szCs w:val="24"/>
        </w:rPr>
        <w:t xml:space="preserve">to minimize the variance of the fused data, which is beyond the scope of the current </w:t>
      </w:r>
      <w:r w:rsidR="00FC4BD7">
        <w:rPr>
          <w:rFonts w:cs="Times New Roman"/>
          <w:color w:val="2E2E2E"/>
          <w:szCs w:val="24"/>
        </w:rPr>
        <w:t>study</w:t>
      </w:r>
      <w:r w:rsidR="00EF08B6">
        <w:rPr>
          <w:rFonts w:cs="Times New Roman"/>
          <w:color w:val="2E2E2E"/>
          <w:szCs w:val="24"/>
        </w:rPr>
        <w:t xml:space="preserve"> (see </w:t>
      </w:r>
      <w:r w:rsidR="00806D47">
        <w:rPr>
          <w:rFonts w:cs="Times New Roman"/>
          <w:color w:val="2E2E2E"/>
          <w:szCs w:val="24"/>
        </w:rPr>
        <w:fldChar w:fldCharType="begin" w:fldLock="1"/>
      </w:r>
      <w:r w:rsidR="00D60DFA">
        <w:rPr>
          <w:rFonts w:cs="Times New Roman"/>
          <w:color w:val="2E2E2E"/>
          <w:szCs w:val="24"/>
        </w:rPr>
        <w:instrText>ADDIN CSL_CITATION {"citationItems":[{"id":"ITEM-1","itemData":{"DOI":"10.1088/1742-6596/2143/1/012030","ISSN":"17426596","abstract":"Analyzed in this paper based on the Internet of things technology for intelligent building data, redundancy of data fusion are pointed out, based on the dynamic Kalman filter algorithm of multi-sensor fusion, first using the theory of fuzzy and covariance matching technique to adjust the noise covariance of traditional algorithm, combined with weighted minimum variance matrix under the optimal information fusion algorithm of data fusion, Finally, the simulation results show that this algorithm can effectively reduce the redundancy of intelligent data and make the estimated value of data fusion more close to the actual value.","author":[{"dropping-particle":"","family":"Peng","given":"Duo","non-dropping-particle":"","parse-names":false,"suffix":""},{"dropping-particle":"","family":"Zhao","given":"Jingqiang","non-dropping-particle":"","parse-names":false,"suffix":""},{"dropping-particle":"","family":"Xu","given":"Tongtong","non-dropping-particle":"","parse-names":false,"suffix":""}],"container-title":"Journal of Physics: Conference Series","id":"ITEM-1","issue":"1","issued":{"date-parts":[["2021","12","1"]]},"page":"012030","publisher":"IOP Publishing","title":"Intelligent Building Data Fusion Algorithm by Using the Internet of Things Technology","type":"article-journal","volume":"2143"},"uris":["http://www.mendeley.com/documents/?uuid=14a0d939-1d05-3513-960c-a668d370e571"]},{"id":"ITEM-2","itemData":{"DOI":"10.3390/s21217035","ISSN":"14248220","PMID":"34770342","abstract":"Enormous heterogeneous sensory data are generated in the Internet of Things (IoT) for various applications. These big data are characterized by additional features related to IoT, including trustworthiness, timing and spatial features. This reveals more perspectives to consider while processing, posing vast challenges to traditional data fusion methods at different fusion levels for collection and analysis. In this paper, an IoT-based spatiotemporal data fusion (STDF) approach for low-level data in–data out fusion is proposed for real-time spatial IoT source aggregation. It grants optimum performance through leveraging traditional data fusion methods based on big data analytics while exclusively maintaining the data expiry, trustworthiness and spatial and temporal IoT data perspectives, in addition to the volume and velocity. It applies cluster sampling for data reduction upon data acquisition from all IoT sources. For each source, it utilizes a combination of k-means clustering for spatial analysis and Tiny AGgregation (TAG) for temporal aggregation to maintain spatiotemporal data fusion at the processing server. STDF is validated via a public IoT data stream simulator. The experiments examine diverse IoT processing challenges in different datasets, reducing the data size by 95% and decreasing the processing time by 80%, with an accuracy level up to 90% for the largest used dataset.","author":[{"dropping-particle":"","family":"Fawzy","given":"Dina","non-dropping-particle":"","parse-names":false,"suffix":""},{"dropping-particle":"","family":"Moussa","given":"Sherin","non-dropping-particle":"","parse-names":false,"suffix":""},{"dropping-particle":"","family":"Badr","given":"Nagwa","non-dropping-particle":"","parse-names":false,"suffix":""}],"container-title":"Sensors","id":"ITEM-2","issue":"21","issued":{"date-parts":[["2021","10","23"]]},"page":"7035","publisher":"Multidisciplinary Digital Publishing Institute","title":"The spatiotemporal data fusion (Stdf) approach: Iot-based data fusion using big data analytics","type":"article-journal","volume":"21"},"uris":["http://www.mendeley.com/documents/?uuid=40fcfa17-4856-3a89-9df2-d47c2a543cce"]}],"mendeley":{"formattedCitation":"(&lt;i&gt;45&lt;/i&gt;, &lt;i&gt;46&lt;/i&gt;)","plainTextFormattedCitation":"(45, 46)","previouslyFormattedCitation":"(&lt;i&gt;45&lt;/i&gt;, &lt;i&gt;46&lt;/i&gt;)"},"properties":{"noteIndex":0},"schema":"https://github.com/citation-style-language/schema/raw/master/csl-citation.json"}</w:instrText>
      </w:r>
      <w:r w:rsidR="00806D47">
        <w:rPr>
          <w:rFonts w:cs="Times New Roman"/>
          <w:color w:val="2E2E2E"/>
          <w:szCs w:val="24"/>
        </w:rPr>
        <w:fldChar w:fldCharType="separate"/>
      </w:r>
      <w:r w:rsidR="00D60DFA" w:rsidRPr="00D60DFA">
        <w:rPr>
          <w:rFonts w:cs="Times New Roman"/>
          <w:noProof/>
          <w:color w:val="2E2E2E"/>
          <w:szCs w:val="24"/>
        </w:rPr>
        <w:t>(</w:t>
      </w:r>
      <w:r w:rsidR="00D60DFA" w:rsidRPr="00D60DFA">
        <w:rPr>
          <w:rFonts w:cs="Times New Roman"/>
          <w:i/>
          <w:noProof/>
          <w:color w:val="2E2E2E"/>
          <w:szCs w:val="24"/>
        </w:rPr>
        <w:t>45</w:t>
      </w:r>
      <w:r w:rsidR="00D60DFA" w:rsidRPr="00D60DFA">
        <w:rPr>
          <w:rFonts w:cs="Times New Roman"/>
          <w:noProof/>
          <w:color w:val="2E2E2E"/>
          <w:szCs w:val="24"/>
        </w:rPr>
        <w:t xml:space="preserve">, </w:t>
      </w:r>
      <w:r w:rsidR="00D60DFA" w:rsidRPr="00D60DFA">
        <w:rPr>
          <w:rFonts w:cs="Times New Roman"/>
          <w:i/>
          <w:noProof/>
          <w:color w:val="2E2E2E"/>
          <w:szCs w:val="24"/>
        </w:rPr>
        <w:t>46</w:t>
      </w:r>
      <w:r w:rsidR="00D60DFA" w:rsidRPr="00D60DFA">
        <w:rPr>
          <w:rFonts w:cs="Times New Roman"/>
          <w:noProof/>
          <w:color w:val="2E2E2E"/>
          <w:szCs w:val="24"/>
        </w:rPr>
        <w:t>)</w:t>
      </w:r>
      <w:r w:rsidR="00806D47">
        <w:rPr>
          <w:rFonts w:cs="Times New Roman"/>
          <w:color w:val="2E2E2E"/>
          <w:szCs w:val="24"/>
        </w:rPr>
        <w:fldChar w:fldCharType="end"/>
      </w:r>
      <w:r w:rsidR="00806D47">
        <w:rPr>
          <w:rFonts w:cs="Times New Roman"/>
          <w:color w:val="2E2E2E"/>
          <w:szCs w:val="24"/>
        </w:rPr>
        <w:t xml:space="preserve"> </w:t>
      </w:r>
      <w:r w:rsidR="00EF08B6">
        <w:rPr>
          <w:rFonts w:cs="Times New Roman"/>
          <w:color w:val="2E2E2E"/>
          <w:szCs w:val="24"/>
        </w:rPr>
        <w:t xml:space="preserve">for </w:t>
      </w:r>
      <w:r w:rsidR="002F370B">
        <w:rPr>
          <w:rFonts w:cs="Times New Roman"/>
          <w:color w:val="2E2E2E"/>
          <w:szCs w:val="24"/>
        </w:rPr>
        <w:t>details</w:t>
      </w:r>
      <w:r w:rsidR="00EF08B6">
        <w:rPr>
          <w:rFonts w:cs="Times New Roman"/>
          <w:color w:val="2E2E2E"/>
          <w:szCs w:val="24"/>
        </w:rPr>
        <w:t>)</w:t>
      </w:r>
      <w:r w:rsidR="0094667A">
        <w:rPr>
          <w:rFonts w:cs="Times New Roman"/>
          <w:color w:val="2E2E2E"/>
          <w:szCs w:val="24"/>
        </w:rPr>
        <w:t>.</w:t>
      </w:r>
    </w:p>
    <w:p w14:paraId="412EDEB8" w14:textId="7463639F" w:rsidR="005D780A" w:rsidRDefault="0094667A" w:rsidP="005D780A">
      <w:pPr>
        <w:ind w:firstLine="576"/>
        <w:rPr>
          <w:rFonts w:cs="Times New Roman"/>
          <w:color w:val="2E2E2E"/>
          <w:szCs w:val="24"/>
        </w:rPr>
      </w:pPr>
      <w:r>
        <w:rPr>
          <w:rFonts w:cs="Times New Roman"/>
          <w:color w:val="2E2E2E"/>
          <w:szCs w:val="24"/>
        </w:rPr>
        <w:t>The first group of studies mainly adopted different data fusion algorithm</w:t>
      </w:r>
      <w:r w:rsidR="00B920B4">
        <w:rPr>
          <w:rFonts w:cs="Times New Roman"/>
          <w:color w:val="2E2E2E"/>
          <w:szCs w:val="24"/>
        </w:rPr>
        <w:t>s</w:t>
      </w:r>
      <w:r>
        <w:rPr>
          <w:rFonts w:cs="Times New Roman"/>
          <w:color w:val="2E2E2E"/>
          <w:szCs w:val="24"/>
        </w:rPr>
        <w:t xml:space="preserve"> for </w:t>
      </w:r>
      <w:r w:rsidR="00127733">
        <w:rPr>
          <w:rFonts w:cs="Times New Roman"/>
          <w:color w:val="2E2E2E"/>
          <w:szCs w:val="24"/>
        </w:rPr>
        <w:t>analyzing</w:t>
      </w:r>
      <w:r>
        <w:rPr>
          <w:rFonts w:cs="Times New Roman"/>
          <w:color w:val="2E2E2E"/>
          <w:szCs w:val="24"/>
        </w:rPr>
        <w:t xml:space="preserve"> the occupancy status of a building, a crucial component in energy efficiency and energy consumption analysis </w:t>
      </w:r>
      <w:r>
        <w:rPr>
          <w:rFonts w:cs="Times New Roman"/>
          <w:color w:val="2E2E2E"/>
          <w:szCs w:val="24"/>
        </w:rPr>
        <w:fldChar w:fldCharType="begin" w:fldLock="1"/>
      </w:r>
      <w:r w:rsidR="00D60DFA">
        <w:rPr>
          <w:rFonts w:cs="Times New Roman"/>
          <w:color w:val="2E2E2E"/>
          <w:szCs w:val="24"/>
        </w:rPr>
        <w:instrText>ADDIN CSL_CITATION {"citationItems":[{"id":"ITEM-1","itemData":{"DOI":"10.1016/j.autcon.2018.07.007","ISSN":"09265805","abstract":"Occupancy information is crucial to building facility design, operation, and energy efficiency. Many studies propose the use of environmental sensors (such as carbon dioxide, air temperature, and relative humidity sensors) and radio-frequency sensors (Wi-Fi networks) to monitor, assess, and predict occupancy information for buildings. As many methods have been developed and a variety of sensory data sources are available, establishing a proper selection of model and data source is critical to the successful implementation of occupancy prediction systems. This study compared three popular machine learning algorithms, including k-nearest neighbors (kNN), support vector machine (SVM), and artificial neural network (ANN), combined with three data sources, including environmental data, Wi-Fi data, and fused data, to optimize the occupancy models’ performance in various scenarios. Three error measurement metrics, the mean average error (MAE), mean average percentage error (MAPE), and root mean squared error (RMSE), have been employed to compare the models’ accuracies. Examined with an on-site experiment, the results suggest that the ANN-based model with fused data has the best performance, while the SVM model is more suitable with Wi-Fi data. The results also indicate that, comparing with independent data sources, the fused data set does not necessarily improve model accuracy but shows a better robustness for occupancy prediction.","author":[{"dropping-particle":"","family":"Wang","given":"Wei","non-dropping-particle":"","parse-names":false,"suffix":""},{"dropping-particle":"","family":"Chen","given":"Jiayu","non-dropping-particle":"","parse-names":false,"suffix":""},{"dropping-particle":"","family":"Hong","given":"Tianzhen","non-dropping-particle":"","parse-names":false,"suffix":""}],"container-title":"Automation in Construction","id":"ITEM-1","issued":{"date-parts":[["2018","10","1"]]},"page":"233-243","publisher":"Elsevier","title":"Occupancy prediction through machine learning and data fusion of environmental sensing and Wi-Fi sensing in buildings","type":"article-journal","volume":"94"},"uris":["http://www.mendeley.com/documents/?uuid=70ec84f6-ac32-3738-9b62-1de9b8ce2970"]},{"id":"ITEM-2","itemData":{"DOI":"10.1109/JIOT.2017.2723424","ISSN":"23274662","abstract":"With the advent of Internet of Things technologies and smart buildings, the need for building automation systems that automatically performs computations without the intervention of humans have also increased. This paper deals with detection of occupancy in a room from various ambient sources like temperature, humidity, light, and CO2. With the help of this system, remote monitoring of the building as well as leveraging control on the indoor parameters through HVAC control systems is possible at real-time. This paper adopts Dempster-Shafer evidence theory for fusing sensory information collected from heterogeneous sensors, assigns probability mass assignments (PMAs) to the raw sensor readings, and finally performs mass combination to derive a conclusion about the occupancy status in a room. A PMA function has been proposed for this purpose. The results reveal a substantially high percentage of accuracy (up to 99.09%) which was observed to increase with the increase in number of fusion parameters.","author":[{"dropping-particle":"","family":"Nesa","given":"Nashreen","non-dropping-particle":"","parse-names":false,"suffix":""},{"dropping-particle":"","family":"Banerjee","given":"Indrajit","non-dropping-particle":"","parse-names":false,"suffix":""}],"container-title":"IEEE Internet of Things Journal","id":"ITEM-2","issue":"5","issued":{"date-parts":[["2017","10","1"]]},"page":"1563-1570","publisher":"Institute of Electrical and Electronics Engineers Inc.","title":"IoT-Based Sensor Data Fusion for Occupancy Sensing Using Dempster-Shafer Evidence Theory for Smart Buildings","type":"article-journal","volume":"4"},"uris":["http://www.mendeley.com/documents/?uuid=63ae9f31-19b8-3658-8d3f-f16e7f98c176"]},{"id":"ITEM-3","itemData":{"DOI":"10.1016/j.apenergy.2019.02.066","ISSN":"03062619","abstract":"Heating, Ventilation, and Air Conditioning (HVAC) is a major energy consumer in buildings. The predictive control has demonstrated a potential to reduce HVAC energy use. To facilitate predictive HVAC control, internal heat gains prediction is required. In this study, we applied Long Short-Term Memory Networks, a special form of deep neural network, to predict miscellaneous electric loads, lighting loads, occupant counts and internal heat gains in two United States office buildings. Compared with the predetermined schedules used in American Society of Heating, Refrigerating and Air-Conditioning Engineers (ASHRAE) standard 90.1, the Long Short-Term Memory Networks method could reduce the prediction errors of internal heat gains from 12% to 8% in Building A, and from 26% to 16% in Building B. It was also found that for internal heat gains prediction, miscellaneous electric loads is a more important feature than occupant counts for two reasons. First, miscellaneous electric loads is the best proxy variable for internal heat gains, as it is the major component of and has the highest correlation coefficient with the internal heat gains. Second, miscellaneous electric loads contain valuable information to predict occupant count, while occupant count could not help improve miscellaneous electric loads prediction. These findings could help researchers and practitioners select the most relevant features to more accurately predict internal heat gains for the implementation of predictive HVAC control in buildings.","author":[{"dropping-particle":"","family":"Wang","given":"Zhe","non-dropping-particle":"","parse-names":false,"suffix":""},{"dropping-particle":"","family":"Hong","given":"Tianzhen","non-dropping-particle":"","parse-names":false,"suffix":""},{"dropping-particle":"","family":"Piette","given":"Mary Ann","non-dropping-particle":"","parse-names":false,"suffix":""}],"container-title":"Applied Energy","id":"ITEM-3","issued":{"date-parts":[["2019","4","15"]]},"page":"386-398","publisher":"Elsevier","title":"Data fusion in predicting internal heat gains for office buildings through a deep learning approach","type":"article-journal","volume":"240"},"uris":["http://www.mendeley.com/documents/?uuid=6a78149d-aec1-3318-bcad-f794f39e314f"]},{"id":"ITEM-4","itemData":{"DOI":"10.1016/j.apenergy.2021.117775","ISSN":"03062619","abstract":"Despite the variety of sensors that can be used in a smart home or office setup, for monitoring energy consumption and assisting users to save energy, their usefulness is limited when they are not properly integrated into the daily activities of humans. Energy-saving applications in such environments can benefit from the use of sensors and actuators when data are properly fused with previous knowledge about user habits and feedback about current user preferences. In this article, we present an online recommender system implemented in the EM3 platform, a platform for Consumer Engagement Toward Energy-Saving Behavior. The recommender system uniquely fuses sensors’ data with user habits and user feedback and provides personalized recommendations for energy efficiency at the right moment. The user response to the recommendations directly triggers actuators that perform energy-saving actions and is recorded and processed for refining future recommendations. The EM3 recommendation engine continuously evaluates the three inputs (i.e. sensor data, user habits, user feedback) and identifies the micro-moments that maximize the need for the recommended action and thus the recommendation acceptance. We evaluate the efficiency of the proposed recommender system, which is based on a stacked-LSTM for fusing multi-sensor data streams, in several scenarios, and the observed accuracy on predicting the right moment to send a recommendation to the user ranged from 93% to 97%.","author":[{"dropping-particle":"","family":"Varlamis","given":"Iraklis","non-dropping-particle":"","parse-names":false,"suffix":""},{"dropping-particle":"","family":"Sardianos","given":"Christos","non-dropping-particle":"","parse-names":false,"suffix":""},{"dropping-particle":"","family":"Chronis","given":"Christos","non-dropping-particle":"","parse-names":false,"suffix":""},{"dropping-particle":"","family":"Dimitrakopoulos","given":"George","non-dropping-particle":"","parse-names":false,"suffix":""},{"dropping-particle":"","family":"Himeur","given":"Yassine","non-dropping-particle":"","parse-names":false,"suffix":""},{"dropping-particle":"","family":"Alsalemi","given":"Abdullah","non-dropping-particle":"","parse-names":false,"suffix":""},{"dropping-particle":"","family":"Bensaali","given":"Faycal","non-dropping-particle":"","parse-names":false,"suffix":""},{"dropping-particle":"","family":"Amira","given":"Abbes","non-dropping-particle":"","parse-names":false,"suffix":""}],"container-title":"Applied Energy","id":"ITEM-4","issued":{"date-parts":[["2022","1","1"]]},"page":"117775","publisher":"Elsevier","title":"Smart fusion of sensor data and human feedback for personalized energy-saving recommendations","type":"article-journal","volume":"305"},"uris":["http://www.mendeley.com/documents/?uuid=9631c4a0-b2fe-34af-8ed2-f44fe351729b"]},{"id":"ITEM-5","itemData":{"DOI":"10.2139/ssrn.4059927","author":[{"dropping-particle":"","family":"He","given":"Ning","non-dropping-particle":"","parse-names":false,"suffix":""},{"dropping-particle":"","family":"Liu","given":"Liqiang","non-dropping-particle":"","parse-names":false,"suffix":""},{"dropping-particle":"","family":"Qian","given":"Cheng","non-dropping-particle":"","parse-names":false,"suffix":""},{"dropping-particle":"","family":"Zhang","given":"Lijun","non-dropping-particle":"","parse-names":false,"suffix":""},{"dropping-particle":"","family":"Yang","given":"Ziqi","non-dropping-particle":"","parse-names":false,"suffix":""},{"dropping-particle":"","family":"Li","given":"Shang","non-dropping-particle":"","parse-names":false,"suffix":""}],"container-title":"SSRN Electronic Journal","id":"ITEM-5","issued":{"date-parts":[["2022","3","18"]]},"publisher":"Elsevier BV","title":"Air Conditioning Load Prediction Based on Data Fusion Model","type":"article-journal"},"uris":["http://www.mendeley.com/documents/?uuid=90f861ba-04eb-3e71-9266-582062e639e3"]}],"mendeley":{"formattedCitation":"(&lt;i&gt;10&lt;/i&gt;, &lt;i&gt;11&lt;/i&gt;, &lt;i&gt;47&lt;/i&gt;–&lt;i&gt;49&lt;/i&gt;)","plainTextFormattedCitation":"(10, 11, 47–49)","previouslyFormattedCitation":"(&lt;i&gt;10&lt;/i&gt;, &lt;i&gt;11&lt;/i&gt;, &lt;i&gt;47&lt;/i&gt;–&lt;i&gt;49&lt;/i&gt;)"},"properties":{"noteIndex":0},"schema":"https://github.com/citation-style-language/schema/raw/master/csl-citation.json"}</w:instrText>
      </w:r>
      <w:r>
        <w:rPr>
          <w:rFonts w:cs="Times New Roman"/>
          <w:color w:val="2E2E2E"/>
          <w:szCs w:val="24"/>
        </w:rPr>
        <w:fldChar w:fldCharType="separate"/>
      </w:r>
      <w:r w:rsidR="00D60DFA" w:rsidRPr="00D60DFA">
        <w:rPr>
          <w:rFonts w:cs="Times New Roman"/>
          <w:noProof/>
          <w:color w:val="2E2E2E"/>
          <w:szCs w:val="24"/>
        </w:rPr>
        <w:t>(</w:t>
      </w:r>
      <w:r w:rsidR="00D60DFA" w:rsidRPr="00D60DFA">
        <w:rPr>
          <w:rFonts w:cs="Times New Roman"/>
          <w:i/>
          <w:noProof/>
          <w:color w:val="2E2E2E"/>
          <w:szCs w:val="24"/>
        </w:rPr>
        <w:t>10</w:t>
      </w:r>
      <w:r w:rsidR="00D60DFA" w:rsidRPr="00D60DFA">
        <w:rPr>
          <w:rFonts w:cs="Times New Roman"/>
          <w:noProof/>
          <w:color w:val="2E2E2E"/>
          <w:szCs w:val="24"/>
        </w:rPr>
        <w:t xml:space="preserve">, </w:t>
      </w:r>
      <w:r w:rsidR="00D60DFA" w:rsidRPr="00D60DFA">
        <w:rPr>
          <w:rFonts w:cs="Times New Roman"/>
          <w:i/>
          <w:noProof/>
          <w:color w:val="2E2E2E"/>
          <w:szCs w:val="24"/>
        </w:rPr>
        <w:t>11</w:t>
      </w:r>
      <w:r w:rsidR="00D60DFA" w:rsidRPr="00D60DFA">
        <w:rPr>
          <w:rFonts w:cs="Times New Roman"/>
          <w:noProof/>
          <w:color w:val="2E2E2E"/>
          <w:szCs w:val="24"/>
        </w:rPr>
        <w:t xml:space="preserve">, </w:t>
      </w:r>
      <w:r w:rsidR="00D60DFA" w:rsidRPr="00D60DFA">
        <w:rPr>
          <w:rFonts w:cs="Times New Roman"/>
          <w:i/>
          <w:noProof/>
          <w:color w:val="2E2E2E"/>
          <w:szCs w:val="24"/>
        </w:rPr>
        <w:t>47</w:t>
      </w:r>
      <w:r w:rsidR="00D60DFA" w:rsidRPr="00D60DFA">
        <w:rPr>
          <w:rFonts w:cs="Times New Roman"/>
          <w:noProof/>
          <w:color w:val="2E2E2E"/>
          <w:szCs w:val="24"/>
        </w:rPr>
        <w:t>–</w:t>
      </w:r>
      <w:r w:rsidR="00D60DFA" w:rsidRPr="00D60DFA">
        <w:rPr>
          <w:rFonts w:cs="Times New Roman"/>
          <w:i/>
          <w:noProof/>
          <w:color w:val="2E2E2E"/>
          <w:szCs w:val="24"/>
        </w:rPr>
        <w:t>49</w:t>
      </w:r>
      <w:r w:rsidR="00D60DFA" w:rsidRPr="00D60DFA">
        <w:rPr>
          <w:rFonts w:cs="Times New Roman"/>
          <w:noProof/>
          <w:color w:val="2E2E2E"/>
          <w:szCs w:val="24"/>
        </w:rPr>
        <w:t>)</w:t>
      </w:r>
      <w:r>
        <w:rPr>
          <w:rFonts w:cs="Times New Roman"/>
          <w:color w:val="2E2E2E"/>
          <w:szCs w:val="24"/>
        </w:rPr>
        <w:fldChar w:fldCharType="end"/>
      </w:r>
      <w:r>
        <w:rPr>
          <w:rFonts w:cs="Times New Roman"/>
          <w:color w:val="2E2E2E"/>
          <w:szCs w:val="24"/>
        </w:rPr>
        <w:t xml:space="preserve">. For instance, Wang and his </w:t>
      </w:r>
      <w:r w:rsidRPr="001A6A37">
        <w:rPr>
          <w:rFonts w:cs="Times New Roman"/>
          <w:color w:val="2E2E2E"/>
          <w:szCs w:val="24"/>
        </w:rPr>
        <w:t>colleagues</w:t>
      </w:r>
      <w:r>
        <w:rPr>
          <w:rFonts w:cs="Times New Roman"/>
          <w:color w:val="2E2E2E"/>
          <w:szCs w:val="24"/>
        </w:rPr>
        <w:t xml:space="preserve"> </w:t>
      </w:r>
      <w:r>
        <w:rPr>
          <w:rFonts w:cs="Times New Roman"/>
          <w:color w:val="2E2E2E"/>
          <w:szCs w:val="24"/>
        </w:rPr>
        <w:fldChar w:fldCharType="begin" w:fldLock="1"/>
      </w:r>
      <w:r w:rsidR="00D60DFA">
        <w:rPr>
          <w:rFonts w:cs="Times New Roman"/>
          <w:color w:val="2E2E2E"/>
          <w:szCs w:val="24"/>
        </w:rPr>
        <w:instrText>ADDIN CSL_CITATION {"citationItems":[{"id":"ITEM-1","itemData":{"DOI":"10.1016/j.autcon.2018.07.007","ISSN":"09265805","abstract":"Occupancy information is crucial to building facility design, operation, and energy efficiency. Many studies propose the use of environmental sensors (such as carbon dioxide, air temperature, and relative humidity sensors) and radio-frequency sensors (Wi-Fi networks) to monitor, assess, and predict occupancy information for buildings. As many methods have been developed and a variety of sensory data sources are available, establishing a proper selection of model and data source is critical to the successful implementation of occupancy prediction systems. This study compared three popular machine learning algorithms, including k-nearest neighbors (kNN), support vector machine (SVM), and artificial neural network (ANN), combined with three data sources, including environmental data, Wi-Fi data, and fused data, to optimize the occupancy models’ performance in various scenarios. Three error measurement metrics, the mean average error (MAE), mean average percentage error (MAPE), and root mean squared error (RMSE), have been employed to compare the models’ accuracies. Examined with an on-site experiment, the results suggest that the ANN-based model with fused data has the best performance, while the SVM model is more suitable with Wi-Fi data. The results also indicate that, comparing with independent data sources, the fused data set does not necessarily improve model accuracy but shows a better robustness for occupancy prediction.","author":[{"dropping-particle":"","family":"Wang","given":"Wei","non-dropping-particle":"","parse-names":false,"suffix":""},{"dropping-particle":"","family":"Chen","given":"Jiayu","non-dropping-particle":"","parse-names":false,"suffix":""},{"dropping-particle":"","family":"Hong","given":"Tianzhen","non-dropping-particle":"","parse-names":false,"suffix":""}],"container-title":"Automation in Construction","id":"ITEM-1","issued":{"date-parts":[["2018","10","1"]]},"page":"233-243","publisher":"Elsevier","title":"Occupancy prediction through machine learning and data fusion of environmental sensing and Wi-Fi sensing in buildings","type":"article-journal","volume":"94"},"uris":["http://www.mendeley.com/documents/?uuid=70ec84f6-ac32-3738-9b62-1de9b8ce2970"]}],"mendeley":{"formattedCitation":"(&lt;i&gt;47&lt;/i&gt;)","plainTextFormattedCitation":"(47)","previouslyFormattedCitation":"(&lt;i&gt;47&lt;/i&gt;)"},"properties":{"noteIndex":0},"schema":"https://github.com/citation-style-language/schema/raw/master/csl-citation.json"}</w:instrText>
      </w:r>
      <w:r>
        <w:rPr>
          <w:rFonts w:cs="Times New Roman"/>
          <w:color w:val="2E2E2E"/>
          <w:szCs w:val="24"/>
        </w:rPr>
        <w:fldChar w:fldCharType="separate"/>
      </w:r>
      <w:r w:rsidR="00D60DFA" w:rsidRPr="00D60DFA">
        <w:rPr>
          <w:rFonts w:cs="Times New Roman"/>
          <w:noProof/>
          <w:color w:val="2E2E2E"/>
          <w:szCs w:val="24"/>
        </w:rPr>
        <w:t>(</w:t>
      </w:r>
      <w:r w:rsidR="00D60DFA" w:rsidRPr="00D60DFA">
        <w:rPr>
          <w:rFonts w:cs="Times New Roman"/>
          <w:i/>
          <w:noProof/>
          <w:color w:val="2E2E2E"/>
          <w:szCs w:val="24"/>
        </w:rPr>
        <w:t>47</w:t>
      </w:r>
      <w:r w:rsidR="00D60DFA" w:rsidRPr="00D60DFA">
        <w:rPr>
          <w:rFonts w:cs="Times New Roman"/>
          <w:noProof/>
          <w:color w:val="2E2E2E"/>
          <w:szCs w:val="24"/>
        </w:rPr>
        <w:t>)</w:t>
      </w:r>
      <w:r>
        <w:rPr>
          <w:rFonts w:cs="Times New Roman"/>
          <w:color w:val="2E2E2E"/>
          <w:szCs w:val="24"/>
        </w:rPr>
        <w:fldChar w:fldCharType="end"/>
      </w:r>
      <w:r w:rsidRPr="001A6A37">
        <w:rPr>
          <w:rFonts w:cs="Times New Roman"/>
          <w:color w:val="2E2E2E"/>
          <w:szCs w:val="24"/>
        </w:rPr>
        <w:t xml:space="preserve"> </w:t>
      </w:r>
      <w:r>
        <w:rPr>
          <w:rFonts w:cs="Times New Roman"/>
          <w:color w:val="2E2E2E"/>
          <w:szCs w:val="24"/>
        </w:rPr>
        <w:t xml:space="preserve">considered K-Nearest Neighbour (KNN), Support Vector Machine (SVM) and Artificial Neural Network (ANN) </w:t>
      </w:r>
      <w:r>
        <w:rPr>
          <w:rFonts w:cs="Times New Roman"/>
          <w:color w:val="2E2E2E"/>
          <w:szCs w:val="24"/>
        </w:rPr>
        <w:lastRenderedPageBreak/>
        <w:t>algorithms to fuse the environmental data with WI-FI data for predicting the building occupancy. Another research effort by Nesa and B</w:t>
      </w:r>
      <w:r w:rsidR="00B920B4">
        <w:rPr>
          <w:rFonts w:cs="Times New Roman"/>
          <w:color w:val="2E2E2E"/>
          <w:szCs w:val="24"/>
        </w:rPr>
        <w:t>a</w:t>
      </w:r>
      <w:r>
        <w:rPr>
          <w:rFonts w:cs="Times New Roman"/>
          <w:color w:val="2E2E2E"/>
          <w:szCs w:val="24"/>
        </w:rPr>
        <w:t xml:space="preserve">nerjee </w:t>
      </w:r>
      <w:r>
        <w:rPr>
          <w:rFonts w:cs="Times New Roman"/>
          <w:color w:val="2E2E2E"/>
          <w:szCs w:val="24"/>
        </w:rPr>
        <w:fldChar w:fldCharType="begin" w:fldLock="1"/>
      </w:r>
      <w:r w:rsidR="00D60DFA">
        <w:rPr>
          <w:rFonts w:cs="Times New Roman"/>
          <w:color w:val="2E2E2E"/>
          <w:szCs w:val="24"/>
        </w:rPr>
        <w:instrText>ADDIN CSL_CITATION {"citationItems":[{"id":"ITEM-1","itemData":{"DOI":"10.1109/JIOT.2017.2723424","ISSN":"23274662","abstract":"With the advent of Internet of Things technologies and smart buildings, the need for building automation systems that automatically performs computations without the intervention of humans have also increased. This paper deals with detection of occupancy in a room from various ambient sources like temperature, humidity, light, and CO2. With the help of this system, remote monitoring of the building as well as leveraging control on the indoor parameters through HVAC control systems is possible at real-time. This paper adopts Dempster-Shafer evidence theory for fusing sensory information collected from heterogeneous sensors, assigns probability mass assignments (PMAs) to the raw sensor readings, and finally performs mass combination to derive a conclusion about the occupancy status in a room. A PMA function has been proposed for this purpose. The results reveal a substantially high percentage of accuracy (up to 99.09%) which was observed to increase with the increase in number of fusion parameters.","author":[{"dropping-particle":"","family":"Nesa","given":"Nashreen","non-dropping-particle":"","parse-names":false,"suffix":""},{"dropping-particle":"","family":"Banerjee","given":"Indrajit","non-dropping-particle":"","parse-names":false,"suffix":""}],"container-title":"IEEE Internet of Things Journal","id":"ITEM-1","issue":"5","issued":{"date-parts":[["2017","10","1"]]},"page":"1563-1570","publisher":"Institute of Electrical and Electronics Engineers Inc.","title":"IoT-Based Sensor Data Fusion for Occupancy Sensing Using Dempster-Shafer Evidence Theory for Smart Buildings","type":"article-journal","volume":"4"},"uris":["http://www.mendeley.com/documents/?uuid=63ae9f31-19b8-3658-8d3f-f16e7f98c176"]}],"mendeley":{"formattedCitation":"(&lt;i&gt;48&lt;/i&gt;)","plainTextFormattedCitation":"(48)","previouslyFormattedCitation":"(&lt;i&gt;48&lt;/i&gt;)"},"properties":{"noteIndex":0},"schema":"https://github.com/citation-style-language/schema/raw/master/csl-citation.json"}</w:instrText>
      </w:r>
      <w:r>
        <w:rPr>
          <w:rFonts w:cs="Times New Roman"/>
          <w:color w:val="2E2E2E"/>
          <w:szCs w:val="24"/>
        </w:rPr>
        <w:fldChar w:fldCharType="separate"/>
      </w:r>
      <w:r w:rsidR="00D60DFA" w:rsidRPr="00D60DFA">
        <w:rPr>
          <w:rFonts w:cs="Times New Roman"/>
          <w:noProof/>
          <w:color w:val="2E2E2E"/>
          <w:szCs w:val="24"/>
        </w:rPr>
        <w:t>(</w:t>
      </w:r>
      <w:r w:rsidR="00D60DFA" w:rsidRPr="00D60DFA">
        <w:rPr>
          <w:rFonts w:cs="Times New Roman"/>
          <w:i/>
          <w:noProof/>
          <w:color w:val="2E2E2E"/>
          <w:szCs w:val="24"/>
        </w:rPr>
        <w:t>48</w:t>
      </w:r>
      <w:r w:rsidR="00D60DFA" w:rsidRPr="00D60DFA">
        <w:rPr>
          <w:rFonts w:cs="Times New Roman"/>
          <w:noProof/>
          <w:color w:val="2E2E2E"/>
          <w:szCs w:val="24"/>
        </w:rPr>
        <w:t>)</w:t>
      </w:r>
      <w:r>
        <w:rPr>
          <w:rFonts w:cs="Times New Roman"/>
          <w:color w:val="2E2E2E"/>
          <w:szCs w:val="24"/>
        </w:rPr>
        <w:fldChar w:fldCharType="end"/>
      </w:r>
      <w:r>
        <w:rPr>
          <w:rFonts w:cs="Times New Roman"/>
          <w:color w:val="2E2E2E"/>
          <w:szCs w:val="24"/>
        </w:rPr>
        <w:t xml:space="preserve"> presented </w:t>
      </w:r>
      <w:r w:rsidR="00002310">
        <w:rPr>
          <w:rFonts w:cs="Times New Roman"/>
          <w:color w:val="2E2E2E"/>
          <w:szCs w:val="24"/>
        </w:rPr>
        <w:t>Internet of Things (</w:t>
      </w:r>
      <w:r>
        <w:rPr>
          <w:rFonts w:cs="Times New Roman"/>
          <w:color w:val="2E2E2E"/>
          <w:szCs w:val="24"/>
        </w:rPr>
        <w:t>IoT</w:t>
      </w:r>
      <w:r w:rsidR="00002310">
        <w:rPr>
          <w:rFonts w:cs="Times New Roman"/>
          <w:color w:val="2E2E2E"/>
          <w:szCs w:val="24"/>
        </w:rPr>
        <w:t>) b</w:t>
      </w:r>
      <w:r>
        <w:rPr>
          <w:rFonts w:cs="Times New Roman"/>
          <w:color w:val="2E2E2E"/>
          <w:szCs w:val="24"/>
        </w:rPr>
        <w:t xml:space="preserve">ased real time sensor data fusion using the data collected from various sensors within office space to predict the occupancy status of the office spaces. Varlamis and his </w:t>
      </w:r>
      <w:r w:rsidRPr="001A6A37">
        <w:rPr>
          <w:rFonts w:cs="Times New Roman"/>
          <w:color w:val="2E2E2E"/>
          <w:szCs w:val="24"/>
        </w:rPr>
        <w:t>colleagues</w:t>
      </w:r>
      <w:r>
        <w:rPr>
          <w:rFonts w:cs="Times New Roman"/>
          <w:color w:val="2E2E2E"/>
          <w:szCs w:val="24"/>
        </w:rPr>
        <w:t xml:space="preserve"> </w:t>
      </w:r>
      <w:r>
        <w:rPr>
          <w:rFonts w:cs="Times New Roman"/>
          <w:color w:val="2E2E2E"/>
          <w:szCs w:val="24"/>
        </w:rPr>
        <w:fldChar w:fldCharType="begin" w:fldLock="1"/>
      </w:r>
      <w:r w:rsidR="00812451">
        <w:rPr>
          <w:rFonts w:cs="Times New Roman"/>
          <w:color w:val="2E2E2E"/>
          <w:szCs w:val="24"/>
        </w:rPr>
        <w:instrText>ADDIN CSL_CITATION {"citationItems":[{"id":"ITEM-1","itemData":{"DOI":"10.1016/j.apenergy.2021.117775","ISSN":"03062619","abstract":"Despite the variety of sensors that can be used in a smart home or office setup, for monitoring energy consumption and assisting users to save energy, their usefulness is limited when they are not properly integrated into the daily activities of humans. Energy-saving applications in such environments can benefit from the use of sensors and actuators when data are properly fused with previous knowledge about user habits and feedback about current user preferences. In this article, we present an online recommender system implemented in the EM3 platform, a platform for Consumer Engagement Toward Energy-Saving Behavior. The recommender system uniquely fuses sensors’ data with user habits and user feedback and provides personalized recommendations for energy efficiency at the right moment. The user response to the recommendations directly triggers actuators that perform energy-saving actions and is recorded and processed for refining future recommendations. The EM3 recommendation engine continuously evaluates the three inputs (i.e. sensor data, user habits, user feedback) and identifies the micro-moments that maximize the need for the recommended action and thus the recommendation acceptance. We evaluate the efficiency of the proposed recommender system, which is based on a stacked-LSTM for fusing multi-sensor data streams, in several scenarios, and the observed accuracy on predicting the right moment to send a recommendation to the user ranged from 93% to 97%.","author":[{"dropping-particle":"","family":"Varlamis","given":"Iraklis","non-dropping-particle":"","parse-names":false,"suffix":""},{"dropping-particle":"","family":"Sardianos","given":"Christos","non-dropping-particle":"","parse-names":false,"suffix":""},{"dropping-particle":"","family":"Chronis","given":"Christos","non-dropping-particle":"","parse-names":false,"suffix":""},{"dropping-particle":"","family":"Dimitrakopoulos","given":"George","non-dropping-particle":"","parse-names":false,"suffix":""},{"dropping-particle":"","family":"Himeur","given":"Yassine","non-dropping-particle":"","parse-names":false,"suffix":""},{"dropping-particle":"","family":"Alsalemi","given":"Abdullah","non-dropping-particle":"","parse-names":false,"suffix":""},{"dropping-particle":"","family":"Bensaali","given":"Faycal","non-dropping-particle":"","parse-names":false,"suffix":""},{"dropping-particle":"","family":"Amira","given":"Abbes","non-dropping-particle":"","parse-names":false,"suffix":""}],"container-title":"Applied Energy","id":"ITEM-1","issued":{"date-parts":[["2022","1","1"]]},"page":"117775","publisher":"Elsevier","title":"Smart fusion of sensor data and human feedback for personalized energy-saving recommendations","type":"article-journal","volume":"305"},"uris":["http://www.mendeley.com/documents/?uuid=9631c4a0-b2fe-34af-8ed2-f44fe351729b"]}],"mendeley":{"formattedCitation":"(&lt;i&gt;10&lt;/i&gt;)","plainTextFormattedCitation":"(10)","previouslyFormattedCitation":"(&lt;i&gt;10&lt;/i&gt;)"},"properties":{"noteIndex":0},"schema":"https://github.com/citation-style-language/schema/raw/master/csl-citation.json"}</w:instrText>
      </w:r>
      <w:r>
        <w:rPr>
          <w:rFonts w:cs="Times New Roman"/>
          <w:color w:val="2E2E2E"/>
          <w:szCs w:val="24"/>
        </w:rPr>
        <w:fldChar w:fldCharType="separate"/>
      </w:r>
      <w:r w:rsidR="009D3EDC" w:rsidRPr="009D3EDC">
        <w:rPr>
          <w:rFonts w:cs="Times New Roman"/>
          <w:noProof/>
          <w:color w:val="2E2E2E"/>
          <w:szCs w:val="24"/>
        </w:rPr>
        <w:t>(</w:t>
      </w:r>
      <w:r w:rsidR="009D3EDC" w:rsidRPr="009D3EDC">
        <w:rPr>
          <w:rFonts w:cs="Times New Roman"/>
          <w:i/>
          <w:noProof/>
          <w:color w:val="2E2E2E"/>
          <w:szCs w:val="24"/>
        </w:rPr>
        <w:t>10</w:t>
      </w:r>
      <w:r w:rsidR="009D3EDC" w:rsidRPr="009D3EDC">
        <w:rPr>
          <w:rFonts w:cs="Times New Roman"/>
          <w:noProof/>
          <w:color w:val="2E2E2E"/>
          <w:szCs w:val="24"/>
        </w:rPr>
        <w:t>)</w:t>
      </w:r>
      <w:r>
        <w:rPr>
          <w:rFonts w:cs="Times New Roman"/>
          <w:color w:val="2E2E2E"/>
          <w:szCs w:val="24"/>
        </w:rPr>
        <w:fldChar w:fldCharType="end"/>
      </w:r>
      <w:r>
        <w:rPr>
          <w:rFonts w:cs="Times New Roman"/>
          <w:color w:val="2E2E2E"/>
          <w:szCs w:val="24"/>
        </w:rPr>
        <w:t xml:space="preserve"> fused sensor-based energy data with the historical data and user feedback to generate recommendations for smart homes and offices.</w:t>
      </w:r>
      <w:r w:rsidRPr="00DF7554">
        <w:rPr>
          <w:rFonts w:cs="Times New Roman"/>
          <w:color w:val="2E2E2E"/>
          <w:szCs w:val="24"/>
        </w:rPr>
        <w:t xml:space="preserve"> </w:t>
      </w:r>
      <w:r>
        <w:rPr>
          <w:rFonts w:cs="Times New Roman"/>
          <w:color w:val="2E2E2E"/>
          <w:szCs w:val="24"/>
        </w:rPr>
        <w:t>Wang et al.,</w:t>
      </w:r>
      <w:r>
        <w:rPr>
          <w:rFonts w:cs="Times New Roman"/>
          <w:color w:val="2E2E2E"/>
          <w:szCs w:val="24"/>
        </w:rPr>
        <w:fldChar w:fldCharType="begin" w:fldLock="1"/>
      </w:r>
      <w:r w:rsidR="00812451">
        <w:rPr>
          <w:rFonts w:cs="Times New Roman"/>
          <w:color w:val="2E2E2E"/>
          <w:szCs w:val="24"/>
        </w:rPr>
        <w:instrText>ADDIN CSL_CITATION {"citationItems":[{"id":"ITEM-1","itemData":{"DOI":"10.1016/j.apenergy.2019.02.066","ISSN":"03062619","abstract":"Heating, Ventilation, and Air Conditioning (HVAC) is a major energy consumer in buildings. The predictive control has demonstrated a potential to reduce HVAC energy use. To facilitate predictive HVAC control, internal heat gains prediction is required. In this study, we applied Long Short-Term Memory Networks, a special form of deep neural network, to predict miscellaneous electric loads, lighting loads, occupant counts and internal heat gains in two United States office buildings. Compared with the predetermined schedules used in American Society of Heating, Refrigerating and Air-Conditioning Engineers (ASHRAE) standard 90.1, the Long Short-Term Memory Networks method could reduce the prediction errors of internal heat gains from 12% to 8% in Building A, and from 26% to 16% in Building B. It was also found that for internal heat gains prediction, miscellaneous electric loads is a more important feature than occupant counts for two reasons. First, miscellaneous electric loads is the best proxy variable for internal heat gains, as it is the major component of and has the highest correlation coefficient with the internal heat gains. Second, miscellaneous electric loads contain valuable information to predict occupant count, while occupant count could not help improve miscellaneous electric loads prediction. These findings could help researchers and practitioners select the most relevant features to more accurately predict internal heat gains for the implementation of predictive HVAC control in buildings.","author":[{"dropping-particle":"","family":"Wang","given":"Zhe","non-dropping-particle":"","parse-names":false,"suffix":""},{"dropping-particle":"","family":"Hong","given":"Tianzhen","non-dropping-particle":"","parse-names":false,"suffix":""},{"dropping-particle":"","family":"Piette","given":"Mary Ann","non-dropping-particle":"","parse-names":false,"suffix":""}],"container-title":"Applied Energy","id":"ITEM-1","issued":{"date-parts":[["2019","4","15"]]},"page":"386-398","publisher":"Elsevier","title":"Data fusion in predicting internal heat gains for office buildings through a deep learning approach","type":"article-journal","volume":"240"},"uris":["http://www.mendeley.com/documents/?uuid=6a78149d-aec1-3318-bcad-f794f39e314f"]}],"mendeley":{"formattedCitation":"(&lt;i&gt;11&lt;/i&gt;)","plainTextFormattedCitation":"(11)","previouslyFormattedCitation":"(&lt;i&gt;11&lt;/i&gt;)"},"properties":{"noteIndex":0},"schema":"https://github.com/citation-style-language/schema/raw/master/csl-citation.json"}</w:instrText>
      </w:r>
      <w:r>
        <w:rPr>
          <w:rFonts w:cs="Times New Roman"/>
          <w:color w:val="2E2E2E"/>
          <w:szCs w:val="24"/>
        </w:rPr>
        <w:fldChar w:fldCharType="separate"/>
      </w:r>
      <w:r w:rsidR="009D3EDC" w:rsidRPr="009D3EDC">
        <w:rPr>
          <w:rFonts w:cs="Times New Roman"/>
          <w:noProof/>
          <w:color w:val="2E2E2E"/>
          <w:szCs w:val="24"/>
        </w:rPr>
        <w:t>(</w:t>
      </w:r>
      <w:r w:rsidR="009D3EDC" w:rsidRPr="009D3EDC">
        <w:rPr>
          <w:rFonts w:cs="Times New Roman"/>
          <w:i/>
          <w:noProof/>
          <w:color w:val="2E2E2E"/>
          <w:szCs w:val="24"/>
        </w:rPr>
        <w:t>11</w:t>
      </w:r>
      <w:r w:rsidR="009D3EDC" w:rsidRPr="009D3EDC">
        <w:rPr>
          <w:rFonts w:cs="Times New Roman"/>
          <w:noProof/>
          <w:color w:val="2E2E2E"/>
          <w:szCs w:val="24"/>
        </w:rPr>
        <w:t>)</w:t>
      </w:r>
      <w:r>
        <w:rPr>
          <w:rFonts w:cs="Times New Roman"/>
          <w:color w:val="2E2E2E"/>
          <w:szCs w:val="24"/>
        </w:rPr>
        <w:fldChar w:fldCharType="end"/>
      </w:r>
      <w:r>
        <w:rPr>
          <w:rFonts w:cs="Times New Roman"/>
          <w:color w:val="2E2E2E"/>
          <w:szCs w:val="24"/>
        </w:rPr>
        <w:t xml:space="preserve"> used Long Short-Term Memory</w:t>
      </w:r>
      <w:r w:rsidR="00127733">
        <w:rPr>
          <w:rFonts w:cs="Times New Roman"/>
          <w:color w:val="2E2E2E"/>
          <w:szCs w:val="24"/>
        </w:rPr>
        <w:t xml:space="preserve"> (LSTM)</w:t>
      </w:r>
      <w:r>
        <w:rPr>
          <w:rFonts w:cs="Times New Roman"/>
          <w:color w:val="2E2E2E"/>
          <w:szCs w:val="24"/>
        </w:rPr>
        <w:t xml:space="preserve"> networks to fuse data from various utilities to predict internal heat gains for office buildings</w:t>
      </w:r>
      <w:r w:rsidR="002D06CA">
        <w:rPr>
          <w:rFonts w:cs="Times New Roman"/>
          <w:color w:val="2E2E2E"/>
          <w:szCs w:val="24"/>
        </w:rPr>
        <w:t xml:space="preserve"> -</w:t>
      </w:r>
      <w:r>
        <w:rPr>
          <w:rFonts w:cs="Times New Roman"/>
          <w:color w:val="2E2E2E"/>
          <w:szCs w:val="24"/>
        </w:rPr>
        <w:t xml:space="preserve">  a major component in </w:t>
      </w:r>
      <w:r w:rsidR="002D06CA">
        <w:rPr>
          <w:rFonts w:cs="Times New Roman"/>
          <w:color w:val="2E2E2E"/>
          <w:szCs w:val="24"/>
        </w:rPr>
        <w:t>h</w:t>
      </w:r>
      <w:r w:rsidR="002D06CA" w:rsidRPr="00F5445C">
        <w:rPr>
          <w:rFonts w:cs="Times New Roman"/>
          <w:color w:val="2E2E2E"/>
          <w:szCs w:val="24"/>
        </w:rPr>
        <w:t>eating, ventilation, and air conditioning</w:t>
      </w:r>
      <w:r w:rsidR="002D06CA">
        <w:rPr>
          <w:rFonts w:cs="Times New Roman"/>
          <w:color w:val="2E2E2E"/>
          <w:szCs w:val="24"/>
        </w:rPr>
        <w:t xml:space="preserve"> (</w:t>
      </w:r>
      <w:r>
        <w:rPr>
          <w:rFonts w:cs="Times New Roman"/>
          <w:color w:val="2E2E2E"/>
          <w:szCs w:val="24"/>
        </w:rPr>
        <w:t>HVAC</w:t>
      </w:r>
      <w:r w:rsidR="002D06CA">
        <w:rPr>
          <w:rFonts w:cs="Times New Roman"/>
          <w:color w:val="2E2E2E"/>
          <w:szCs w:val="24"/>
        </w:rPr>
        <w:t>)</w:t>
      </w:r>
      <w:r>
        <w:rPr>
          <w:rFonts w:cs="Times New Roman"/>
          <w:color w:val="2E2E2E"/>
          <w:szCs w:val="24"/>
        </w:rPr>
        <w:t xml:space="preserve"> operations</w:t>
      </w:r>
      <w:r w:rsidR="002D06CA">
        <w:rPr>
          <w:rFonts w:cs="Times New Roman"/>
          <w:color w:val="2E2E2E"/>
          <w:szCs w:val="24"/>
        </w:rPr>
        <w:t xml:space="preserve">. </w:t>
      </w:r>
      <w:r>
        <w:rPr>
          <w:rFonts w:cs="Times New Roman"/>
          <w:color w:val="2E2E2E"/>
          <w:szCs w:val="24"/>
        </w:rPr>
        <w:t xml:space="preserve"> </w:t>
      </w:r>
      <w:r w:rsidR="005D780A">
        <w:rPr>
          <w:rFonts w:cs="Times New Roman"/>
          <w:color w:val="2E2E2E"/>
          <w:szCs w:val="24"/>
        </w:rPr>
        <w:fldChar w:fldCharType="begin" w:fldLock="1"/>
      </w:r>
      <w:r w:rsidR="00D60DFA">
        <w:rPr>
          <w:rFonts w:cs="Times New Roman"/>
          <w:color w:val="2E2E2E"/>
          <w:szCs w:val="24"/>
        </w:rPr>
        <w:instrText>ADDIN CSL_CITATION {"citationItems":[{"id":"ITEM-1","itemData":{"DOI":"10.2139/ssrn.4059927","author":[{"dropping-particle":"","family":"He","given":"Ning","non-dropping-particle":"","parse-names":false,"suffix":""},{"dropping-particle":"","family":"Liu","given":"Liqiang","non-dropping-particle":"","parse-names":false,"suffix":""},{"dropping-particle":"","family":"Qian","given":"Cheng","non-dropping-particle":"","parse-names":false,"suffix":""},{"dropping-particle":"","family":"Zhang","given":"Lijun","non-dropping-particle":"","parse-names":false,"suffix":""},{"dropping-particle":"","family":"Yang","given":"Ziqi","non-dropping-particle":"","parse-names":false,"suffix":""},{"dropping-particle":"","family":"Li","given":"Shang","non-dropping-particle":"","parse-names":false,"suffix":""}],"container-title":"SSRN Electronic Journal","id":"ITEM-1","issued":{"date-parts":[["2022","3","18"]]},"publisher":"Elsevier BV","title":"Air Conditioning Load Prediction Based on Data Fusion Model","type":"article-journal"},"uris":["http://www.mendeley.com/documents/?uuid=90f861ba-04eb-3e71-9266-582062e639e3"]}],"mendeley":{"formattedCitation":"(&lt;i&gt;49&lt;/i&gt;)","manualFormatting":"He et al. (49)","plainTextFormattedCitation":"(49)","previouslyFormattedCitation":"(&lt;i&gt;49&lt;/i&gt;)"},"properties":{"noteIndex":0},"schema":"https://github.com/citation-style-language/schema/raw/master/csl-citation.json"}</w:instrText>
      </w:r>
      <w:r w:rsidR="005D780A">
        <w:rPr>
          <w:rFonts w:cs="Times New Roman"/>
          <w:color w:val="2E2E2E"/>
          <w:szCs w:val="24"/>
        </w:rPr>
        <w:fldChar w:fldCharType="separate"/>
      </w:r>
      <w:r w:rsidR="005D780A" w:rsidRPr="00A01EF7">
        <w:rPr>
          <w:rFonts w:cs="Times New Roman"/>
          <w:noProof/>
          <w:color w:val="2E2E2E"/>
          <w:szCs w:val="24"/>
        </w:rPr>
        <w:t>He et al.</w:t>
      </w:r>
      <w:r w:rsidR="00806D47">
        <w:rPr>
          <w:rFonts w:cs="Times New Roman"/>
          <w:noProof/>
          <w:color w:val="2E2E2E"/>
          <w:szCs w:val="24"/>
        </w:rPr>
        <w:t xml:space="preserve"> </w:t>
      </w:r>
      <w:r w:rsidR="00806D47">
        <w:rPr>
          <w:rFonts w:cs="Times New Roman"/>
          <w:noProof/>
          <w:color w:val="2E2E2E"/>
          <w:szCs w:val="24"/>
        </w:rPr>
        <w:fldChar w:fldCharType="begin" w:fldLock="1"/>
      </w:r>
      <w:r w:rsidR="00D60DFA">
        <w:rPr>
          <w:rFonts w:cs="Times New Roman"/>
          <w:noProof/>
          <w:color w:val="2E2E2E"/>
          <w:szCs w:val="24"/>
        </w:rPr>
        <w:instrText>ADDIN CSL_CITATION {"citationItems":[{"id":"ITEM-1","itemData":{"DOI":"10.2139/ssrn.4059927","author":[{"dropping-particle":"","family":"He","given":"Ning","non-dropping-particle":"","parse-names":false,"suffix":""},{"dropping-particle":"","family":"Liu","given":"Liqiang","non-dropping-particle":"","parse-names":false,"suffix":""},{"dropping-particle":"","family":"Qian","given":"Cheng","non-dropping-particle":"","parse-names":false,"suffix":""},{"dropping-particle":"","family":"Zhang","given":"Lijun","non-dropping-particle":"","parse-names":false,"suffix":""},{"dropping-particle":"","family":"Yang","given":"Ziqi","non-dropping-particle":"","parse-names":false,"suffix":""},{"dropping-particle":"","family":"Li","given":"Shang","non-dropping-particle":"","parse-names":false,"suffix":""}],"container-title":"SSRN Electronic Journal","id":"ITEM-1","issued":{"date-parts":[["2022","3","18"]]},"publisher":"Elsevier BV","title":"Air Conditioning Load Prediction Based on Data Fusion Model","type":"article-journal"},"uris":["http://www.mendeley.com/documents/?uuid=90f861ba-04eb-3e71-9266-582062e639e3"]}],"mendeley":{"formattedCitation":"(&lt;i&gt;49&lt;/i&gt;)","plainTextFormattedCitation":"(49)","previouslyFormattedCitation":"(&lt;i&gt;49&lt;/i&gt;)"},"properties":{"noteIndex":0},"schema":"https://github.com/citation-style-language/schema/raw/master/csl-citation.json"}</w:instrText>
      </w:r>
      <w:r w:rsidR="00806D47">
        <w:rPr>
          <w:rFonts w:cs="Times New Roman"/>
          <w:noProof/>
          <w:color w:val="2E2E2E"/>
          <w:szCs w:val="24"/>
        </w:rPr>
        <w:fldChar w:fldCharType="separate"/>
      </w:r>
      <w:r w:rsidR="00D60DFA" w:rsidRPr="00D60DFA">
        <w:rPr>
          <w:rFonts w:cs="Times New Roman"/>
          <w:noProof/>
          <w:color w:val="2E2E2E"/>
          <w:szCs w:val="24"/>
        </w:rPr>
        <w:t>(</w:t>
      </w:r>
      <w:r w:rsidR="00D60DFA" w:rsidRPr="00D60DFA">
        <w:rPr>
          <w:rFonts w:cs="Times New Roman"/>
          <w:i/>
          <w:noProof/>
          <w:color w:val="2E2E2E"/>
          <w:szCs w:val="24"/>
        </w:rPr>
        <w:t>49</w:t>
      </w:r>
      <w:r w:rsidR="00D60DFA" w:rsidRPr="00D60DFA">
        <w:rPr>
          <w:rFonts w:cs="Times New Roman"/>
          <w:noProof/>
          <w:color w:val="2E2E2E"/>
          <w:szCs w:val="24"/>
        </w:rPr>
        <w:t>)</w:t>
      </w:r>
      <w:r w:rsidR="00806D47">
        <w:rPr>
          <w:rFonts w:cs="Times New Roman"/>
          <w:noProof/>
          <w:color w:val="2E2E2E"/>
          <w:szCs w:val="24"/>
        </w:rPr>
        <w:fldChar w:fldCharType="end"/>
      </w:r>
      <w:r w:rsidR="005D780A">
        <w:rPr>
          <w:rFonts w:cs="Times New Roman"/>
          <w:color w:val="2E2E2E"/>
          <w:szCs w:val="24"/>
        </w:rPr>
        <w:fldChar w:fldCharType="end"/>
      </w:r>
      <w:r w:rsidR="005D780A">
        <w:rPr>
          <w:rFonts w:cs="Times New Roman"/>
          <w:color w:val="2E2E2E"/>
          <w:szCs w:val="24"/>
        </w:rPr>
        <w:t xml:space="preserve"> proposed the fusion of LSTM and Back Propagation Neural Network (BPNN) algorithms to predict air conditioning load in buildings. </w:t>
      </w:r>
      <w:r w:rsidR="006254A9">
        <w:rPr>
          <w:rFonts w:cs="Times New Roman"/>
          <w:color w:val="2E2E2E"/>
          <w:szCs w:val="24"/>
        </w:rPr>
        <w:t xml:space="preserve">Tan and his </w:t>
      </w:r>
      <w:r w:rsidR="006254A9" w:rsidRPr="001A6A37">
        <w:rPr>
          <w:rFonts w:cs="Times New Roman"/>
          <w:color w:val="2E2E2E"/>
          <w:szCs w:val="24"/>
        </w:rPr>
        <w:t>colleagues</w:t>
      </w:r>
      <w:r w:rsidR="006254A9">
        <w:rPr>
          <w:rFonts w:cs="Times New Roman"/>
          <w:color w:val="2E2E2E"/>
          <w:szCs w:val="24"/>
        </w:rPr>
        <w:t xml:space="preserve"> </w:t>
      </w:r>
      <w:r w:rsidR="006254A9">
        <w:rPr>
          <w:rFonts w:cs="Times New Roman"/>
          <w:color w:val="2E2E2E"/>
          <w:szCs w:val="24"/>
        </w:rPr>
        <w:fldChar w:fldCharType="begin" w:fldLock="1"/>
      </w:r>
      <w:r w:rsidR="00E11A55">
        <w:rPr>
          <w:rFonts w:cs="Times New Roman"/>
          <w:color w:val="2E2E2E"/>
          <w:szCs w:val="24"/>
        </w:rPr>
        <w:instrText>ADDIN CSL_CITATION {"citationItems":[{"id":"ITEM-1","itemData":{"DOI":"10.1016/j.enbuild.2021.111828","ISSN":"03787788","abstract":"For several years now, smart building energy systems have been a research area of intensive activity. In light of the increasing need for sustainable buildings and energy systems, this trend motivates an increasing need for a solution to reduce carbon dioxide emissions and improve energy efficiency. This paper proposes a high-performing and transferable occupancy detection framework that combines sensor data from different data modalities, including time series environmental data (temperature, humidity, and illuminance), image data, and acoustic energy data using ensemble method. To draw out the best prediction performance in each modality, the proposed framework was developed, including various models that were designed to learn the occupancy patterns reflected in the physical data streams. To tackle the time series environmental data, we designed two variants of an occupancy detection spatiotemporal pattern network (Occ-STPN) that performs both feature level and decision level fusion, respectively. We also propose a new metric; the fading memory mean square error (FMMSE), that provides a fair evaluation and penalization of delayed occupancy predictions. Multiple open-sourced datasets, including the Electricity Consumption and Occupancy and the University of California, Irvine's (UCI) building occupancy detection dataset, along with our own real data collected from six different houses, were used to validate the algorithms’ performance. The experimental results presented herein break down the performance for each sensing modality, and a detailed analysis of the performance is also discussed.","author":[{"dropping-particle":"","family":"Tan","given":"Sin Yong","non-dropping-particle":"","parse-names":false,"suffix":""},{"dropping-particle":"","family":"Jacoby","given":"Margarite","non-dropping-particle":"","parse-names":false,"suffix":""},{"dropping-particle":"","family":"Saha","given":"Homagni","non-dropping-particle":"","parse-names":false,"suffix":""},{"dropping-particle":"","family":"Florita","given":"Anthony","non-dropping-particle":"","parse-names":false,"suffix":""},{"dropping-particle":"","family":"Henze","given":"Gregor","non-dropping-particle":"","parse-names":false,"suffix":""},{"dropping-particle":"","family":"Sarkar","given":"Soumik","non-dropping-particle":"","parse-names":false,"suffix":""}],"container-title":"Energy and Buildings","id":"ITEM-1","issued":{"date-parts":[["2022"]]},"page":"111828","publisher":"Elsevier","title":"Multimodal sensor fusion framework for residential building occupancy detection","type":"article-journal","volume":"258"},"uris":["http://www.mendeley.com/documents/?uuid=b8fe8e9d-e47f-4966-a961-4fdfba34a7a8"]}],"mendeley":{"formattedCitation":"(&lt;i&gt;43&lt;/i&gt;)","plainTextFormattedCitation":"(43)","previouslyFormattedCitation":"(&lt;i&gt;43&lt;/i&gt;)"},"properties":{"noteIndex":0},"schema":"https://github.com/citation-style-language/schema/raw/master/csl-citation.json"}</w:instrText>
      </w:r>
      <w:r w:rsidR="006254A9">
        <w:rPr>
          <w:rFonts w:cs="Times New Roman"/>
          <w:color w:val="2E2E2E"/>
          <w:szCs w:val="24"/>
        </w:rPr>
        <w:fldChar w:fldCharType="separate"/>
      </w:r>
      <w:r w:rsidR="006254A9" w:rsidRPr="006254A9">
        <w:rPr>
          <w:rFonts w:cs="Times New Roman"/>
          <w:noProof/>
          <w:color w:val="2E2E2E"/>
          <w:szCs w:val="24"/>
        </w:rPr>
        <w:t>(</w:t>
      </w:r>
      <w:r w:rsidR="006254A9" w:rsidRPr="006254A9">
        <w:rPr>
          <w:rFonts w:cs="Times New Roman"/>
          <w:i/>
          <w:noProof/>
          <w:color w:val="2E2E2E"/>
          <w:szCs w:val="24"/>
        </w:rPr>
        <w:t>43</w:t>
      </w:r>
      <w:r w:rsidR="006254A9" w:rsidRPr="006254A9">
        <w:rPr>
          <w:rFonts w:cs="Times New Roman"/>
          <w:noProof/>
          <w:color w:val="2E2E2E"/>
          <w:szCs w:val="24"/>
        </w:rPr>
        <w:t>)</w:t>
      </w:r>
      <w:r w:rsidR="006254A9">
        <w:rPr>
          <w:rFonts w:cs="Times New Roman"/>
          <w:color w:val="2E2E2E"/>
          <w:szCs w:val="24"/>
        </w:rPr>
        <w:fldChar w:fldCharType="end"/>
      </w:r>
      <w:r w:rsidR="006254A9">
        <w:rPr>
          <w:rFonts w:cs="Times New Roman"/>
          <w:color w:val="2E2E2E"/>
          <w:szCs w:val="24"/>
        </w:rPr>
        <w:t xml:space="preserve"> employed</w:t>
      </w:r>
      <w:r w:rsidR="00D60DFA" w:rsidRPr="00021157">
        <w:rPr>
          <w:rFonts w:cs="Times New Roman"/>
          <w:color w:val="2E2E2E"/>
          <w:szCs w:val="24"/>
        </w:rPr>
        <w:t xml:space="preserve"> rule-based decision-making algorithms to combine data from multiple sensors, such as motion, door, and light sensors to improve occupancy detection accuracy in residential buildings</w:t>
      </w:r>
      <w:r w:rsidR="006254A9">
        <w:rPr>
          <w:rFonts w:cs="Times New Roman"/>
          <w:color w:val="2E2E2E"/>
          <w:szCs w:val="24"/>
        </w:rPr>
        <w:t>.</w:t>
      </w:r>
    </w:p>
    <w:p w14:paraId="411915E3" w14:textId="795BAC06" w:rsidR="0094667A" w:rsidRDefault="0094667A" w:rsidP="0094667A">
      <w:pPr>
        <w:ind w:firstLine="576"/>
        <w:rPr>
          <w:rFonts w:cs="Times New Roman"/>
          <w:color w:val="2E2E2E"/>
          <w:szCs w:val="24"/>
        </w:rPr>
      </w:pPr>
      <w:r>
        <w:rPr>
          <w:rFonts w:cs="Times New Roman"/>
          <w:color w:val="2E2E2E"/>
          <w:szCs w:val="24"/>
        </w:rPr>
        <w:t>The second line of inquiry is focused on analyzing the energy consumption pattern</w:t>
      </w:r>
      <w:r w:rsidR="00C368FD">
        <w:rPr>
          <w:rFonts w:cs="Times New Roman"/>
          <w:color w:val="2E2E2E"/>
          <w:szCs w:val="24"/>
        </w:rPr>
        <w:t>s</w:t>
      </w:r>
      <w:r>
        <w:rPr>
          <w:rFonts w:cs="Times New Roman"/>
          <w:color w:val="2E2E2E"/>
          <w:szCs w:val="24"/>
        </w:rPr>
        <w:t xml:space="preserve"> of buildings by applying data fusion techniques </w:t>
      </w:r>
      <w:r>
        <w:rPr>
          <w:rFonts w:cs="Times New Roman"/>
          <w:color w:val="2E2E2E"/>
          <w:szCs w:val="24"/>
        </w:rPr>
        <w:fldChar w:fldCharType="begin" w:fldLock="1"/>
      </w:r>
      <w:r w:rsidR="00D60DFA">
        <w:rPr>
          <w:rFonts w:cs="Times New Roman"/>
          <w:color w:val="2E2E2E"/>
          <w:szCs w:val="24"/>
        </w:rPr>
        <w:instrText>ADDIN CSL_CITATION {"citationItems":[{"id":"ITEM-1","itemData":{"DOI":"10.1016/j.enbuild.2019.05.002","ISSN":"03787788","abstract":"The paper aims to achieve the modelling of climate change effects on heating and cooling in the building sector, through the use of the available Intergovernmental Panel on Climate Change forecasted data. Data from several different climate models will be fused with regards to mean air temperature, wind speed and horizontal solar radiation. Several climatic models data were analysed ranging from January 2006 to December 2100. Rather than considering each model in isolation, we propose a data fusion approach for providing a robust combined model for morphing an existing weather data file. The final aim is simulating future energy use for heating and cooling of a reference building as a consequence of the expected climate changes. We compare results, in terms of robustness to overfitting, for two different fusion methodologies, based on the comparison between errors on punctual historical data or prediction models that can be obtained by each climate simulator and by the actual ERA-INTERIM data set. Finally, we map the new aggregated data into a prediction trace of heating and cooling energy requirements. The expected energy demand is in the range of the one provided by single climate models, with a variability that reaches up to the 10% of the overall energy requirements. The approach proposed is an advancement as it allows to achieve better fits with existing re-analysis data if compared to specific global circulation models output data. Thus a more reliable estimation of energy use for heating and cooling can be achieved.","author":[{"dropping-particle":"","family":"Guarino","given":"Francesco","non-dropping-particle":"","parse-names":false,"suffix":""},{"dropping-particle":"","family":"Croce","given":"Daniele","non-dropping-particle":"","parse-names":false,"suffix":""},{"dropping-particle":"","family":"Tinnirello","given":"Ilenia","non-dropping-particle":"","parse-names":false,"suffix":""},{"dropping-particle":"","family":"Cellura","given":"Maurizio","non-dropping-particle":"","parse-names":false,"suffix":""}],"container-title":"Energy and Buildings","id":"ITEM-1","issued":{"date-parts":[["2019","8","1"]]},"page":"240-254","publisher":"Elsevier","title":"Data fusion analysis applied to different climate change models: An application to the energy consumptions of a building office","type":"article-journal","volume":"196"},"uris":["http://www.mendeley.com/documents/?uuid=26fabc4a-9434-3456-8e65-c49f11fae387"]},{"id":"ITEM-2","itemData":{"author":[{"dropping-particle":"","family":"Gouveia","given":"João Pedro","non-dropping-particle":"","parse-names":false,"suffix":""}],"container-title":"Eceee 2015","id":"ITEM-2","issue":"1983","issued":{"date-parts":[["2015"]]},"page":"957-966","title":"Understanding electricity consumption patterns in households through data fusion of smart meters and door-to-door surveys","type":"article-journal"},"uris":["http://www.mendeley.com/documents/?uuid=a615fac7-b2f2-41fb-bc1f-2bc404a650c2"]},{"id":"ITEM-3","itemData":{"DOI":"10.1109/IECON.2016.7793298","ISBN":"9781509034741","abstract":"As the world advances into the information age, the proliferating demand for energy entails an increasing need for effective smart energy management systems. The resulting smart grids and smart energy management solutions are beginning to generate Big Data; high-variety data at cumulative volumes and velocity. Simultaneously, data analytics techniques and methodologies are being introduced to comprehend this changing nature of data. A number of conventional data mining techniques have successfully transitioned into the Big Data landscape. However, integration of multi-source information in this landscape remains hitherto unaddressed. In this paper, we present a novel data fusion technique that incrementally integrates information from multiple sources. Based on an incremental, unsupervised learning algorithm and possibilistic fusion, the technique overcomes limitations to continuous learning and integrating information of mixed granularity. The technique is also extensible into the Big Data landscape. The collective effect of these features postulate smart energy management as a fitting application domain for the proposed technique. We demonstrate practical applicability of the technique using a household energy and utility consumption dataset. Results and analytics outcomes from these experiments confirm its effectiveness as a data fusion technique and its extensibility into further high-volume applications in smart energy management.","author":[{"dropping-particle":"","family":"Silva","given":"Daswin","non-dropping-particle":"De","parse-names":false,"suffix":""},{"dropping-particle":"","family":"Alahakoon","given":"Damminda","non-dropping-particle":"","parse-names":false,"suffix":""},{"dropping-particle":"","family":"Yu","given":"Xinghuo","non-dropping-particle":"","parse-names":false,"suffix":""}],"container-title":"IECON Proceedings (Industrial Electronics Conference)","id":"ITEM-3","issued":{"date-parts":[["2016","12","21"]]},"page":"4594-4600","publisher":"IEEE Computer Society","title":"A data fusion technique for smart home energy management and analysis","type":"article-journal"},"uris":["http://www.mendeley.com/documents/?uuid=cdf5bfac-1479-31a4-9ecd-c8163a47bde6"]},{"id":"ITEM-4","itemData":{"DOI":"10.1109/IECON.2015.7392809","ISBN":"9781479917624","abstract":"Buildings are known to be significant energy consumers throughout the world. Thus, improving the energy efficiency of buildings is a key research goal. However, maintaining occupant comfort while improving energy efficiency in buildings requires close monitoring of the building environment and immediate control actions taken when sub-optimal behavior is identified. Such monitoring requires high frequency data from sensors. Therefore, increasing the data collection rate or the temporal resolution of sensors can lead to improved building control and state-awareness. This paper presents an on-line learning, data-fusion based methodology that uses Artificial Neural Networks (ANNs) to increase temporal resolution of building sensor data. The presented method utilizes sensor information from different sensors in the building to predict higher temporal resolution data of specific sensors. Furthermore, the presented method is capable of learning changing building behavior for improved long-term accuracy. The presented method was applied to a real-world building dataset and was shown to be able to predict high temporal resolution data with a higher accuracy compared to classical methods. Furthermore, the on-line learning was shown to increase the prediction accuracy in long-term operation.","author":[{"dropping-particle":"","family":"Wijayasekara","given":"Dumidu","non-dropping-particle":"","parse-names":false,"suffix":""},{"dropping-particle":"","family":"Manic","given":"Milos","non-dropping-particle":"","parse-names":false,"suffix":""}],"container-title":"IECON 2015 - 41st Annual Conference of the IEEE Industrial Electronics Society","id":"ITEM-4","issued":{"date-parts":[["2015"]]},"page":"4550-4555","publisher":"Institute of Electrical and Electronics Engineers Inc.","title":"Data-fusion for increasing temporal resolution of building energy management system data","type":"article-journal"},"uris":["http://www.mendeley.com/documents/?uuid=0d62a8bf-aa77-3348-9f33-8ca9a8753ef6"]}],"mendeley":{"formattedCitation":"(&lt;i&gt;12&lt;/i&gt;, &lt;i&gt;13&lt;/i&gt;, &lt;i&gt;50&lt;/i&gt;, &lt;i&gt;51&lt;/i&gt;)","plainTextFormattedCitation":"(12, 13, 50, 51)","previouslyFormattedCitation":"(&lt;i&gt;12&lt;/i&gt;, &lt;i&gt;13&lt;/i&gt;, &lt;i&gt;50&lt;/i&gt;, &lt;i&gt;51&lt;/i&gt;)"},"properties":{"noteIndex":0},"schema":"https://github.com/citation-style-language/schema/raw/master/csl-citation.json"}</w:instrText>
      </w:r>
      <w:r>
        <w:rPr>
          <w:rFonts w:cs="Times New Roman"/>
          <w:color w:val="2E2E2E"/>
          <w:szCs w:val="24"/>
        </w:rPr>
        <w:fldChar w:fldCharType="separate"/>
      </w:r>
      <w:r w:rsidR="00D60DFA" w:rsidRPr="00D60DFA">
        <w:rPr>
          <w:rFonts w:cs="Times New Roman"/>
          <w:noProof/>
          <w:color w:val="2E2E2E"/>
          <w:szCs w:val="24"/>
        </w:rPr>
        <w:t>(</w:t>
      </w:r>
      <w:r w:rsidR="00D60DFA" w:rsidRPr="00D60DFA">
        <w:rPr>
          <w:rFonts w:cs="Times New Roman"/>
          <w:i/>
          <w:noProof/>
          <w:color w:val="2E2E2E"/>
          <w:szCs w:val="24"/>
        </w:rPr>
        <w:t>12</w:t>
      </w:r>
      <w:r w:rsidR="00D60DFA" w:rsidRPr="00D60DFA">
        <w:rPr>
          <w:rFonts w:cs="Times New Roman"/>
          <w:noProof/>
          <w:color w:val="2E2E2E"/>
          <w:szCs w:val="24"/>
        </w:rPr>
        <w:t xml:space="preserve">, </w:t>
      </w:r>
      <w:r w:rsidR="00D60DFA" w:rsidRPr="00D60DFA">
        <w:rPr>
          <w:rFonts w:cs="Times New Roman"/>
          <w:i/>
          <w:noProof/>
          <w:color w:val="2E2E2E"/>
          <w:szCs w:val="24"/>
        </w:rPr>
        <w:t>13</w:t>
      </w:r>
      <w:r w:rsidR="00D60DFA" w:rsidRPr="00D60DFA">
        <w:rPr>
          <w:rFonts w:cs="Times New Roman"/>
          <w:noProof/>
          <w:color w:val="2E2E2E"/>
          <w:szCs w:val="24"/>
        </w:rPr>
        <w:t xml:space="preserve">, </w:t>
      </w:r>
      <w:r w:rsidR="00D60DFA" w:rsidRPr="00D60DFA">
        <w:rPr>
          <w:rFonts w:cs="Times New Roman"/>
          <w:i/>
          <w:noProof/>
          <w:color w:val="2E2E2E"/>
          <w:szCs w:val="24"/>
        </w:rPr>
        <w:t>50</w:t>
      </w:r>
      <w:r w:rsidR="00D60DFA" w:rsidRPr="00D60DFA">
        <w:rPr>
          <w:rFonts w:cs="Times New Roman"/>
          <w:noProof/>
          <w:color w:val="2E2E2E"/>
          <w:szCs w:val="24"/>
        </w:rPr>
        <w:t xml:space="preserve">, </w:t>
      </w:r>
      <w:r w:rsidR="00D60DFA" w:rsidRPr="00D60DFA">
        <w:rPr>
          <w:rFonts w:cs="Times New Roman"/>
          <w:i/>
          <w:noProof/>
          <w:color w:val="2E2E2E"/>
          <w:szCs w:val="24"/>
        </w:rPr>
        <w:t>51</w:t>
      </w:r>
      <w:r w:rsidR="00D60DFA" w:rsidRPr="00D60DFA">
        <w:rPr>
          <w:rFonts w:cs="Times New Roman"/>
          <w:noProof/>
          <w:color w:val="2E2E2E"/>
          <w:szCs w:val="24"/>
        </w:rPr>
        <w:t>)</w:t>
      </w:r>
      <w:r>
        <w:rPr>
          <w:rFonts w:cs="Times New Roman"/>
          <w:color w:val="2E2E2E"/>
          <w:szCs w:val="24"/>
        </w:rPr>
        <w:fldChar w:fldCharType="end"/>
      </w:r>
      <w:r>
        <w:rPr>
          <w:rFonts w:cs="Times New Roman"/>
          <w:color w:val="2E2E2E"/>
          <w:szCs w:val="24"/>
        </w:rPr>
        <w:t xml:space="preserve">. Gouveia </w:t>
      </w:r>
      <w:r>
        <w:rPr>
          <w:rFonts w:cs="Times New Roman"/>
          <w:color w:val="2E2E2E"/>
          <w:szCs w:val="24"/>
        </w:rPr>
        <w:fldChar w:fldCharType="begin" w:fldLock="1"/>
      </w:r>
      <w:r w:rsidR="00812451">
        <w:rPr>
          <w:rFonts w:cs="Times New Roman"/>
          <w:color w:val="2E2E2E"/>
          <w:szCs w:val="24"/>
        </w:rPr>
        <w:instrText>ADDIN CSL_CITATION {"citationItems":[{"id":"ITEM-1","itemData":{"author":[{"dropping-particle":"","family":"Gouveia","given":"João Pedro","non-dropping-particle":"","parse-names":false,"suffix":""}],"container-title":"Eceee 2015","id":"ITEM-1","issue":"1983","issued":{"date-parts":[["2015"]]},"page":"957-966","title":"Understanding electricity consumption patterns in households through data fusion of smart meters and door-to-door surveys","type":"article-journal"},"uris":["http://www.mendeley.com/documents/?uuid=a615fac7-b2f2-41fb-bc1f-2bc404a650c2"]}],"mendeley":{"formattedCitation":"(&lt;i&gt;13&lt;/i&gt;)","plainTextFormattedCitation":"(13)","previouslyFormattedCitation":"(&lt;i&gt;13&lt;/i&gt;)"},"properties":{"noteIndex":0},"schema":"https://github.com/citation-style-language/schema/raw/master/csl-citation.json"}</w:instrText>
      </w:r>
      <w:r>
        <w:rPr>
          <w:rFonts w:cs="Times New Roman"/>
          <w:color w:val="2E2E2E"/>
          <w:szCs w:val="24"/>
        </w:rPr>
        <w:fldChar w:fldCharType="separate"/>
      </w:r>
      <w:r w:rsidR="009D3EDC" w:rsidRPr="009D3EDC">
        <w:rPr>
          <w:rFonts w:cs="Times New Roman"/>
          <w:noProof/>
          <w:color w:val="2E2E2E"/>
          <w:szCs w:val="24"/>
        </w:rPr>
        <w:t>(</w:t>
      </w:r>
      <w:r w:rsidR="009D3EDC" w:rsidRPr="009D3EDC">
        <w:rPr>
          <w:rFonts w:cs="Times New Roman"/>
          <w:i/>
          <w:noProof/>
          <w:color w:val="2E2E2E"/>
          <w:szCs w:val="24"/>
        </w:rPr>
        <w:t>13</w:t>
      </w:r>
      <w:r w:rsidR="009D3EDC" w:rsidRPr="009D3EDC">
        <w:rPr>
          <w:rFonts w:cs="Times New Roman"/>
          <w:noProof/>
          <w:color w:val="2E2E2E"/>
          <w:szCs w:val="24"/>
        </w:rPr>
        <w:t>)</w:t>
      </w:r>
      <w:r>
        <w:rPr>
          <w:rFonts w:cs="Times New Roman"/>
          <w:color w:val="2E2E2E"/>
          <w:szCs w:val="24"/>
        </w:rPr>
        <w:fldChar w:fldCharType="end"/>
      </w:r>
      <w:r>
        <w:rPr>
          <w:rFonts w:cs="Times New Roman"/>
          <w:color w:val="2E2E2E"/>
          <w:szCs w:val="24"/>
        </w:rPr>
        <w:t xml:space="preserve"> fused the electricity consumption data from smart meters with door-to-door surveys to understand the energy patterns of the households.</w:t>
      </w:r>
      <w:r w:rsidRPr="00DF7554">
        <w:rPr>
          <w:rFonts w:cs="Times New Roman"/>
          <w:color w:val="2E2E2E"/>
          <w:szCs w:val="24"/>
        </w:rPr>
        <w:t xml:space="preserve"> </w:t>
      </w:r>
      <w:r>
        <w:rPr>
          <w:rFonts w:cs="Times New Roman"/>
          <w:color w:val="2E2E2E"/>
          <w:szCs w:val="24"/>
        </w:rPr>
        <w:t xml:space="preserve">Wijayasekara and Manic </w:t>
      </w:r>
      <w:r>
        <w:rPr>
          <w:rFonts w:cs="Times New Roman"/>
          <w:color w:val="2E2E2E"/>
          <w:szCs w:val="24"/>
        </w:rPr>
        <w:fldChar w:fldCharType="begin" w:fldLock="1"/>
      </w:r>
      <w:r w:rsidR="00D60DFA">
        <w:rPr>
          <w:rFonts w:cs="Times New Roman"/>
          <w:color w:val="2E2E2E"/>
          <w:szCs w:val="24"/>
        </w:rPr>
        <w:instrText>ADDIN CSL_CITATION {"citationItems":[{"id":"ITEM-1","itemData":{"DOI":"10.1109/IECON.2015.7392809","ISBN":"9781479917624","abstract":"Buildings are known to be significant energy consumers throughout the world. Thus, improving the energy efficiency of buildings is a key research goal. However, maintaining occupant comfort while improving energy efficiency in buildings requires close monitoring of the building environment and immediate control actions taken when sub-optimal behavior is identified. Such monitoring requires high frequency data from sensors. Therefore, increasing the data collection rate or the temporal resolution of sensors can lead to improved building control and state-awareness. This paper presents an on-line learning, data-fusion based methodology that uses Artificial Neural Networks (ANNs) to increase temporal resolution of building sensor data. The presented method utilizes sensor information from different sensors in the building to predict higher temporal resolution data of specific sensors. Furthermore, the presented method is capable of learning changing building behavior for improved long-term accuracy. The presented method was applied to a real-world building dataset and was shown to be able to predict high temporal resolution data with a higher accuracy compared to classical methods. Furthermore, the on-line learning was shown to increase the prediction accuracy in long-term operation.","author":[{"dropping-particle":"","family":"Wijayasekara","given":"Dumidu","non-dropping-particle":"","parse-names":false,"suffix":""},{"dropping-particle":"","family":"Manic","given":"Milos","non-dropping-particle":"","parse-names":false,"suffix":""}],"container-title":"IECON 2015 - 41st Annual Conference of the IEEE Industrial Electronics Society","id":"ITEM-1","issued":{"date-parts":[["2015"]]},"page":"4550-4555","publisher":"Institute of Electrical and Electronics Engineers Inc.","title":"Data-fusion for increasing temporal resolution of building energy management system data","type":"article-journal"},"uris":["http://www.mendeley.com/documents/?uuid=0d62a8bf-aa77-3348-9f33-8ca9a8753ef6"]}],"mendeley":{"formattedCitation":"(&lt;i&gt;51&lt;/i&gt;)","plainTextFormattedCitation":"(51)","previouslyFormattedCitation":"(&lt;i&gt;51&lt;/i&gt;)"},"properties":{"noteIndex":0},"schema":"https://github.com/citation-style-language/schema/raw/master/csl-citation.json"}</w:instrText>
      </w:r>
      <w:r>
        <w:rPr>
          <w:rFonts w:cs="Times New Roman"/>
          <w:color w:val="2E2E2E"/>
          <w:szCs w:val="24"/>
        </w:rPr>
        <w:fldChar w:fldCharType="separate"/>
      </w:r>
      <w:r w:rsidR="00D60DFA" w:rsidRPr="00D60DFA">
        <w:rPr>
          <w:rFonts w:cs="Times New Roman"/>
          <w:noProof/>
          <w:color w:val="2E2E2E"/>
          <w:szCs w:val="24"/>
        </w:rPr>
        <w:t>(</w:t>
      </w:r>
      <w:r w:rsidR="00D60DFA" w:rsidRPr="00D60DFA">
        <w:rPr>
          <w:rFonts w:cs="Times New Roman"/>
          <w:i/>
          <w:noProof/>
          <w:color w:val="2E2E2E"/>
          <w:szCs w:val="24"/>
        </w:rPr>
        <w:t>51</w:t>
      </w:r>
      <w:r w:rsidR="00D60DFA" w:rsidRPr="00D60DFA">
        <w:rPr>
          <w:rFonts w:cs="Times New Roman"/>
          <w:noProof/>
          <w:color w:val="2E2E2E"/>
          <w:szCs w:val="24"/>
        </w:rPr>
        <w:t>)</w:t>
      </w:r>
      <w:r>
        <w:rPr>
          <w:rFonts w:cs="Times New Roman"/>
          <w:color w:val="2E2E2E"/>
          <w:szCs w:val="24"/>
        </w:rPr>
        <w:fldChar w:fldCharType="end"/>
      </w:r>
      <w:r>
        <w:rPr>
          <w:rFonts w:cs="Times New Roman"/>
          <w:color w:val="2E2E2E"/>
          <w:szCs w:val="24"/>
        </w:rPr>
        <w:t xml:space="preserve"> used ANN based data fusion </w:t>
      </w:r>
      <w:r w:rsidR="00127733">
        <w:rPr>
          <w:rFonts w:cs="Times New Roman"/>
          <w:color w:val="2E2E2E"/>
          <w:szCs w:val="24"/>
        </w:rPr>
        <w:t xml:space="preserve">method </w:t>
      </w:r>
      <w:r>
        <w:rPr>
          <w:rFonts w:cs="Times New Roman"/>
          <w:color w:val="2E2E2E"/>
          <w:szCs w:val="24"/>
        </w:rPr>
        <w:t xml:space="preserve">to increase the temporal resolution of building energy consumption data. Similar approach was also used by De Silva and his </w:t>
      </w:r>
      <w:r w:rsidRPr="001A6A37">
        <w:rPr>
          <w:rFonts w:cs="Times New Roman"/>
          <w:color w:val="2E2E2E"/>
          <w:szCs w:val="24"/>
        </w:rPr>
        <w:t>colleagues</w:t>
      </w:r>
      <w:r>
        <w:rPr>
          <w:rFonts w:cs="Times New Roman"/>
          <w:color w:val="2E2E2E"/>
          <w:szCs w:val="24"/>
        </w:rPr>
        <w:t xml:space="preserve"> </w:t>
      </w:r>
      <w:r>
        <w:rPr>
          <w:rFonts w:cs="Times New Roman"/>
          <w:color w:val="2E2E2E"/>
          <w:szCs w:val="24"/>
        </w:rPr>
        <w:fldChar w:fldCharType="begin" w:fldLock="1"/>
      </w:r>
      <w:r w:rsidR="00D60DFA">
        <w:rPr>
          <w:rFonts w:cs="Times New Roman"/>
          <w:color w:val="2E2E2E"/>
          <w:szCs w:val="24"/>
        </w:rPr>
        <w:instrText>ADDIN CSL_CITATION {"citationItems":[{"id":"ITEM-1","itemData":{"DOI":"10.1109/IECON.2016.7793298","ISBN":"9781509034741","abstract":"As the world advances into the information age, the proliferating demand for energy entails an increasing need for effective smart energy management systems. The resulting smart grids and smart energy management solutions are beginning to generate Big Data; high-variety data at cumulative volumes and velocity. Simultaneously, data analytics techniques and methodologies are being introduced to comprehend this changing nature of data. A number of conventional data mining techniques have successfully transitioned into the Big Data landscape. However, integration of multi-source information in this landscape remains hitherto unaddressed. In this paper, we present a novel data fusion technique that incrementally integrates information from multiple sources. Based on an incremental, unsupervised learning algorithm and possibilistic fusion, the technique overcomes limitations to continuous learning and integrating information of mixed granularity. The technique is also extensible into the Big Data landscape. The collective effect of these features postulate smart energy management as a fitting application domain for the proposed technique. We demonstrate practical applicability of the technique using a household energy and utility consumption dataset. Results and analytics outcomes from these experiments confirm its effectiveness as a data fusion technique and its extensibility into further high-volume applications in smart energy management.","author":[{"dropping-particle":"","family":"Silva","given":"Daswin","non-dropping-particle":"De","parse-names":false,"suffix":""},{"dropping-particle":"","family":"Alahakoon","given":"Damminda","non-dropping-particle":"","parse-names":false,"suffix":""},{"dropping-particle":"","family":"Yu","given":"Xinghuo","non-dropping-particle":"","parse-names":false,"suffix":""}],"container-title":"IECON Proceedings (Industrial Electronics Conference)","id":"ITEM-1","issued":{"date-parts":[["2016","12","21"]]},"page":"4594-4600","publisher":"IEEE Computer Society","title":"A data fusion technique for smart home energy management and analysis","type":"article-journal"},"uris":["http://www.mendeley.com/documents/?uuid=cdf5bfac-1479-31a4-9ecd-c8163a47bde6"]}],"mendeley":{"formattedCitation":"(&lt;i&gt;50&lt;/i&gt;)","plainTextFormattedCitation":"(50)","previouslyFormattedCitation":"(&lt;i&gt;50&lt;/i&gt;)"},"properties":{"noteIndex":0},"schema":"https://github.com/citation-style-language/schema/raw/master/csl-citation.json"}</w:instrText>
      </w:r>
      <w:r>
        <w:rPr>
          <w:rFonts w:cs="Times New Roman"/>
          <w:color w:val="2E2E2E"/>
          <w:szCs w:val="24"/>
        </w:rPr>
        <w:fldChar w:fldCharType="separate"/>
      </w:r>
      <w:r w:rsidR="00D60DFA" w:rsidRPr="00D60DFA">
        <w:rPr>
          <w:rFonts w:cs="Times New Roman"/>
          <w:noProof/>
          <w:color w:val="2E2E2E"/>
          <w:szCs w:val="24"/>
        </w:rPr>
        <w:t>(</w:t>
      </w:r>
      <w:r w:rsidR="00D60DFA" w:rsidRPr="00D60DFA">
        <w:rPr>
          <w:rFonts w:cs="Times New Roman"/>
          <w:i/>
          <w:noProof/>
          <w:color w:val="2E2E2E"/>
          <w:szCs w:val="24"/>
        </w:rPr>
        <w:t>50</w:t>
      </w:r>
      <w:r w:rsidR="00D60DFA" w:rsidRPr="00D60DFA">
        <w:rPr>
          <w:rFonts w:cs="Times New Roman"/>
          <w:noProof/>
          <w:color w:val="2E2E2E"/>
          <w:szCs w:val="24"/>
        </w:rPr>
        <w:t>)</w:t>
      </w:r>
      <w:r>
        <w:rPr>
          <w:rFonts w:cs="Times New Roman"/>
          <w:color w:val="2E2E2E"/>
          <w:szCs w:val="24"/>
        </w:rPr>
        <w:fldChar w:fldCharType="end"/>
      </w:r>
      <w:r>
        <w:rPr>
          <w:rFonts w:cs="Times New Roman"/>
          <w:color w:val="2E2E2E"/>
          <w:szCs w:val="24"/>
        </w:rPr>
        <w:t xml:space="preserve"> to understand the energy consumption patterns in buildings.  Gurino et al.,</w:t>
      </w:r>
      <w:r>
        <w:rPr>
          <w:rFonts w:cs="Times New Roman"/>
          <w:color w:val="2E2E2E"/>
          <w:szCs w:val="24"/>
        </w:rPr>
        <w:fldChar w:fldCharType="begin" w:fldLock="1"/>
      </w:r>
      <w:r w:rsidR="00812451">
        <w:rPr>
          <w:rFonts w:cs="Times New Roman"/>
          <w:color w:val="2E2E2E"/>
          <w:szCs w:val="24"/>
        </w:rPr>
        <w:instrText>ADDIN CSL_CITATION {"citationItems":[{"id":"ITEM-1","itemData":{"DOI":"10.1016/j.enbuild.2019.05.002","ISSN":"03787788","abstract":"The paper aims to achieve the modelling of climate change effects on heating and cooling in the building sector, through the use of the available Intergovernmental Panel on Climate Change forecasted data. Data from several different climate models will be fused with regards to mean air temperature, wind speed and horizontal solar radiation. Several climatic models data were analysed ranging from January 2006 to December 2100. Rather than considering each model in isolation, we propose a data fusion approach for providing a robust combined model for morphing an existing weather data file. The final aim is simulating future energy use for heating and cooling of a reference building as a consequence of the expected climate changes. We compare results, in terms of robustness to overfitting, for two different fusion methodologies, based on the comparison between errors on punctual historical data or prediction models that can be obtained by each climate simulator and by the actual ERA-INTERIM data set. Finally, we map the new aggregated data into a prediction trace of heating and cooling energy requirements. The expected energy demand is in the range of the one provided by single climate models, with a variability that reaches up to the 10% of the overall energy requirements. The approach proposed is an advancement as it allows to achieve better fits with existing re-analysis data if compared to specific global circulation models output data. Thus a more reliable estimation of energy use for heating and cooling can be achieved.","author":[{"dropping-particle":"","family":"Guarino","given":"Francesco","non-dropping-particle":"","parse-names":false,"suffix":""},{"dropping-particle":"","family":"Croce","given":"Daniele","non-dropping-particle":"","parse-names":false,"suffix":""},{"dropping-particle":"","family":"Tinnirello","given":"Ilenia","non-dropping-particle":"","parse-names":false,"suffix":""},{"dropping-particle":"","family":"Cellura","given":"Maurizio","non-dropping-particle":"","parse-names":false,"suffix":""}],"container-title":"Energy and Buildings","id":"ITEM-1","issued":{"date-parts":[["2019","8","1"]]},"page":"240-254","publisher":"Elsevier","title":"Data fusion analysis applied to different climate change models: An application to the energy consumptions of a building office","type":"article-journal","volume":"196"},"uris":["http://www.mendeley.com/documents/?uuid=26fabc4a-9434-3456-8e65-c49f11fae387"]}],"mendeley":{"formattedCitation":"(&lt;i&gt;12&lt;/i&gt;)","plainTextFormattedCitation":"(12)","previouslyFormattedCitation":"(&lt;i&gt;12&lt;/i&gt;)"},"properties":{"noteIndex":0},"schema":"https://github.com/citation-style-language/schema/raw/master/csl-citation.json"}</w:instrText>
      </w:r>
      <w:r>
        <w:rPr>
          <w:rFonts w:cs="Times New Roman"/>
          <w:color w:val="2E2E2E"/>
          <w:szCs w:val="24"/>
        </w:rPr>
        <w:fldChar w:fldCharType="separate"/>
      </w:r>
      <w:r w:rsidR="009D3EDC" w:rsidRPr="009D3EDC">
        <w:rPr>
          <w:rFonts w:cs="Times New Roman"/>
          <w:noProof/>
          <w:color w:val="2E2E2E"/>
          <w:szCs w:val="24"/>
        </w:rPr>
        <w:t>(</w:t>
      </w:r>
      <w:r w:rsidR="009D3EDC" w:rsidRPr="009D3EDC">
        <w:rPr>
          <w:rFonts w:cs="Times New Roman"/>
          <w:i/>
          <w:noProof/>
          <w:color w:val="2E2E2E"/>
          <w:szCs w:val="24"/>
        </w:rPr>
        <w:t>12</w:t>
      </w:r>
      <w:r w:rsidR="009D3EDC" w:rsidRPr="009D3EDC">
        <w:rPr>
          <w:rFonts w:cs="Times New Roman"/>
          <w:noProof/>
          <w:color w:val="2E2E2E"/>
          <w:szCs w:val="24"/>
        </w:rPr>
        <w:t>)</w:t>
      </w:r>
      <w:r>
        <w:rPr>
          <w:rFonts w:cs="Times New Roman"/>
          <w:color w:val="2E2E2E"/>
          <w:szCs w:val="24"/>
        </w:rPr>
        <w:fldChar w:fldCharType="end"/>
      </w:r>
      <w:r>
        <w:rPr>
          <w:rFonts w:cs="Times New Roman"/>
          <w:color w:val="2E2E2E"/>
          <w:szCs w:val="24"/>
        </w:rPr>
        <w:t xml:space="preserve"> compared the existing climatic databases with the simulated historical weather data aimed to generate a fused dataset by using various climate change models. This fused database was used to predict the consumption of energy requirements for office buildings. </w:t>
      </w:r>
    </w:p>
    <w:p w14:paraId="12BBE299" w14:textId="77777777" w:rsidR="00857AEF" w:rsidRDefault="00857AEF" w:rsidP="00E33F8C">
      <w:pPr>
        <w:ind w:firstLine="576"/>
        <w:rPr>
          <w:rFonts w:cs="Times New Roman"/>
          <w:color w:val="2E2E2E"/>
          <w:szCs w:val="24"/>
        </w:rPr>
      </w:pPr>
    </w:p>
    <w:p w14:paraId="7444FDA3" w14:textId="4D84A0C0" w:rsidR="002E67FC" w:rsidRPr="008F4092" w:rsidRDefault="00ED2BCB" w:rsidP="000B26F3">
      <w:pPr>
        <w:pStyle w:val="Heading2"/>
      </w:pPr>
      <w:r>
        <w:lastRenderedPageBreak/>
        <w:t xml:space="preserve">2.3 </w:t>
      </w:r>
      <w:r w:rsidR="002E67FC">
        <w:t>Current Study in Context</w:t>
      </w:r>
    </w:p>
    <w:p w14:paraId="79DB6EA5" w14:textId="75031A9F" w:rsidR="00695AF5" w:rsidRPr="00695AF5" w:rsidRDefault="002E67FC" w:rsidP="00F82762">
      <w:pPr>
        <w:rPr>
          <w:color w:val="000000" w:themeColor="text1"/>
        </w:rPr>
      </w:pPr>
      <w:r w:rsidRPr="00237874">
        <w:rPr>
          <w:color w:val="000000" w:themeColor="text1"/>
        </w:rPr>
        <w:t xml:space="preserve">The literature review clearly highlights the prevalence of data fusion algorithm across various </w:t>
      </w:r>
      <w:r w:rsidR="00DB1BA6" w:rsidRPr="00237874">
        <w:rPr>
          <w:color w:val="000000" w:themeColor="text1"/>
        </w:rPr>
        <w:t xml:space="preserve">energy </w:t>
      </w:r>
      <w:r w:rsidRPr="00237874">
        <w:rPr>
          <w:color w:val="000000" w:themeColor="text1"/>
        </w:rPr>
        <w:t xml:space="preserve">sectors. </w:t>
      </w:r>
      <w:r w:rsidR="00F2010B" w:rsidRPr="00237874">
        <w:rPr>
          <w:color w:val="000000" w:themeColor="text1"/>
        </w:rPr>
        <w:t xml:space="preserve">However, </w:t>
      </w:r>
      <w:r w:rsidR="000F1E90" w:rsidRPr="00237874">
        <w:rPr>
          <w:color w:val="000000" w:themeColor="text1"/>
        </w:rPr>
        <w:t>all</w:t>
      </w:r>
      <w:r w:rsidR="00F2010B" w:rsidRPr="00237874">
        <w:rPr>
          <w:color w:val="000000" w:themeColor="text1"/>
        </w:rPr>
        <w:t xml:space="preserve"> these studies </w:t>
      </w:r>
      <w:r w:rsidRPr="00237874">
        <w:rPr>
          <w:color w:val="000000" w:themeColor="text1"/>
        </w:rPr>
        <w:t>focused on combining two/more datasets</w:t>
      </w:r>
      <w:r w:rsidR="00B71596" w:rsidRPr="00237874">
        <w:rPr>
          <w:color w:val="000000" w:themeColor="text1"/>
        </w:rPr>
        <w:t xml:space="preserve"> </w:t>
      </w:r>
      <w:r w:rsidR="00F2010B" w:rsidRPr="00237874">
        <w:rPr>
          <w:color w:val="000000" w:themeColor="text1"/>
        </w:rPr>
        <w:t>based on a common identifier (</w:t>
      </w:r>
      <w:r w:rsidR="00C368FD" w:rsidRPr="00237874">
        <w:rPr>
          <w:rFonts w:cs="Times New Roman"/>
          <w:color w:val="000000" w:themeColor="text1"/>
          <w:szCs w:val="24"/>
        </w:rPr>
        <w:t>such as</w:t>
      </w:r>
      <w:r w:rsidR="000F1E90" w:rsidRPr="00237874">
        <w:rPr>
          <w:rFonts w:cs="Times New Roman"/>
          <w:color w:val="000000" w:themeColor="text1"/>
          <w:szCs w:val="24"/>
        </w:rPr>
        <w:t xml:space="preserve"> </w:t>
      </w:r>
      <w:r w:rsidR="00F2010B" w:rsidRPr="00237874">
        <w:rPr>
          <w:rFonts w:cs="Times New Roman"/>
          <w:color w:val="000000" w:themeColor="text1"/>
          <w:szCs w:val="24"/>
        </w:rPr>
        <w:t>fusing information to a house based on its ID)</w:t>
      </w:r>
      <w:r w:rsidR="00F2010B" w:rsidRPr="00237874">
        <w:rPr>
          <w:color w:val="000000" w:themeColor="text1"/>
        </w:rPr>
        <w:t xml:space="preserve"> or by </w:t>
      </w:r>
      <w:r w:rsidR="00B71596" w:rsidRPr="00237874">
        <w:rPr>
          <w:color w:val="000000" w:themeColor="text1"/>
        </w:rPr>
        <w:t>employ</w:t>
      </w:r>
      <w:r w:rsidR="001F397A" w:rsidRPr="00237874">
        <w:rPr>
          <w:color w:val="000000" w:themeColor="text1"/>
        </w:rPr>
        <w:t>ing</w:t>
      </w:r>
      <w:r w:rsidR="00B71596" w:rsidRPr="00237874">
        <w:rPr>
          <w:color w:val="000000" w:themeColor="text1"/>
        </w:rPr>
        <w:t xml:space="preserve"> black box approaches to data fusion</w:t>
      </w:r>
      <w:r w:rsidRPr="00237874">
        <w:rPr>
          <w:color w:val="000000" w:themeColor="text1"/>
        </w:rPr>
        <w:t xml:space="preserve">. </w:t>
      </w:r>
      <w:r w:rsidR="00B71596" w:rsidRPr="00237874">
        <w:rPr>
          <w:color w:val="000000" w:themeColor="text1"/>
        </w:rPr>
        <w:t xml:space="preserve">Furthermore, the data fusion approaches are geared towards </w:t>
      </w:r>
      <w:r w:rsidR="0062540A" w:rsidRPr="00237874">
        <w:rPr>
          <w:color w:val="000000" w:themeColor="text1"/>
        </w:rPr>
        <w:t xml:space="preserve">compiling </w:t>
      </w:r>
      <w:r w:rsidR="00C368FD" w:rsidRPr="00237874">
        <w:rPr>
          <w:color w:val="000000" w:themeColor="text1"/>
        </w:rPr>
        <w:t xml:space="preserve">dependent </w:t>
      </w:r>
      <w:r w:rsidR="0062540A" w:rsidRPr="00237874">
        <w:rPr>
          <w:color w:val="000000" w:themeColor="text1"/>
        </w:rPr>
        <w:t xml:space="preserve">variables of interest not available in one of the datasets. </w:t>
      </w:r>
      <w:bookmarkStart w:id="11" w:name="_Hlk78656822"/>
      <w:bookmarkStart w:id="12" w:name="_Hlk78652665"/>
      <w:r w:rsidR="001E6E51">
        <w:rPr>
          <w:color w:val="000000" w:themeColor="text1"/>
        </w:rPr>
        <w:t xml:space="preserve">In our research, the focus is on providing additional independent variables for accurately </w:t>
      </w:r>
      <w:r w:rsidR="001E6E51">
        <w:rPr>
          <w:rFonts w:cs="Times New Roman"/>
          <w:color w:val="000000" w:themeColor="text1"/>
          <w:szCs w:val="24"/>
        </w:rPr>
        <w:t xml:space="preserve">representing the dependent variable of interest. </w:t>
      </w:r>
      <w:r w:rsidR="007B3352" w:rsidRPr="00857AEF">
        <w:rPr>
          <w:rFonts w:cs="Times New Roman"/>
          <w:color w:val="2E2E2E"/>
          <w:szCs w:val="24"/>
        </w:rPr>
        <w:t xml:space="preserve">The </w:t>
      </w:r>
      <w:r w:rsidR="007B3352">
        <w:rPr>
          <w:rFonts w:cs="Times New Roman"/>
          <w:color w:val="2E2E2E"/>
          <w:szCs w:val="24"/>
        </w:rPr>
        <w:t xml:space="preserve">preceding </w:t>
      </w:r>
      <w:r w:rsidR="007B3352" w:rsidRPr="00857AEF">
        <w:rPr>
          <w:rFonts w:cs="Times New Roman"/>
          <w:color w:val="2E2E2E"/>
          <w:szCs w:val="24"/>
        </w:rPr>
        <w:t xml:space="preserve">discussion </w:t>
      </w:r>
      <w:r w:rsidR="007B3352">
        <w:rPr>
          <w:rFonts w:cs="Times New Roman"/>
          <w:color w:val="2E2E2E"/>
          <w:szCs w:val="24"/>
        </w:rPr>
        <w:t xml:space="preserve">also </w:t>
      </w:r>
      <w:r w:rsidR="007B3352" w:rsidRPr="00857AEF">
        <w:rPr>
          <w:rFonts w:cs="Times New Roman"/>
          <w:color w:val="2E2E2E"/>
          <w:szCs w:val="24"/>
        </w:rPr>
        <w:t>make</w:t>
      </w:r>
      <w:r w:rsidR="007B3352">
        <w:rPr>
          <w:rFonts w:cs="Times New Roman"/>
          <w:color w:val="2E2E2E"/>
          <w:szCs w:val="24"/>
        </w:rPr>
        <w:t>s</w:t>
      </w:r>
      <w:r w:rsidR="007B3352" w:rsidRPr="00857AEF">
        <w:rPr>
          <w:rFonts w:cs="Times New Roman"/>
          <w:color w:val="2E2E2E"/>
          <w:szCs w:val="24"/>
        </w:rPr>
        <w:t xml:space="preserve"> it clear that data fusion algorithms in energy demand literature are primarily focused on semantic, sensor, and appliance level fusion, as opposed to observation level probabilistic fusion approach proposed in our study</w:t>
      </w:r>
      <w:r w:rsidR="007B3352">
        <w:rPr>
          <w:rFonts w:cs="Times New Roman"/>
          <w:color w:val="2E2E2E"/>
          <w:szCs w:val="24"/>
        </w:rPr>
        <w:t xml:space="preserve"> </w:t>
      </w:r>
      <w:r w:rsidR="007B3352">
        <w:rPr>
          <w:rFonts w:cs="Times New Roman"/>
          <w:color w:val="2E2E2E"/>
          <w:szCs w:val="24"/>
        </w:rPr>
        <w:fldChar w:fldCharType="begin" w:fldLock="1"/>
      </w:r>
      <w:r w:rsidR="007B3352">
        <w:rPr>
          <w:rFonts w:cs="Times New Roman"/>
          <w:color w:val="2E2E2E"/>
          <w:szCs w:val="24"/>
        </w:rPr>
        <w:instrText>ADDIN CSL_CITATION {"citationItems":[{"id":"ITEM-1","itemData":{"DOI":"10.1016/j.inffus.2020.07.003","ISSN":"15662535","abstract":"Recently, tremendous interest has been devoted to develop data fusion strategies for energy efficiency in buildings, where various kinds of information can be processed. However, applying the appropriate data fusion strategy to design an efficient energy efficiency system is not straightforward; it requires a priori knowledge of existing fusion strategies, their applications and their properties. To this regard, seeking to provide the energy research community with a better understanding of data fusion strategies in building energy saving systems, their principles, advantages, and potential applications, this paper proposes an extensive survey of existing data fusion mechanisms deployed to reduce excessive consumption and promote sustainability. We investigate their conceptualizations, advantages, challenges and drawbacks, as well as performing a taxonomy of existing data fusion strategies and other contributing factors. Following, a comprehensive comparison of the state-of-the-art data fusion based energy efficiency frameworks is conducted using various parameters, including data fusion level, data fusion techniques, behavioral change influencer, behavioral change incentive, recorded data, platform architecture, IoT technology and application scenario. Moreover, a novel method for electrical appliance identification is proposed based on the fusion of 2D local texture descriptors, where 1D power signals are transformed into 2D space and treated as images. The empirical evaluation, conducted on three real datasets, shows promising performance, in which up to 99.68% accuracy and 99.52% F1 score have been attained. In addition, various open research challenges and future orientations to improve data fusion based energy efficiency ecosystems are explored.","author":[{"dropping-particle":"","family":"Himeur","given":"Yassine","non-dropping-particle":"","parse-names":false,"suffix":""},{"dropping-particle":"","family":"Alsalemi","given":"Abdullah","non-dropping-particle":"","parse-names":false,"suffix":""},{"dropping-particle":"","family":"Al-Kababji","given":"Ayman","non-dropping-particle":"","parse-names":false,"suffix":""},{"dropping-particle":"","family":"Bensaali","given":"Faycal","non-dropping-particle":"","parse-names":false,"suffix":""},{"dropping-particle":"","family":"Amira","given":"Abbes","non-dropping-particle":"","parse-names":false,"suffix":""}],"container-title":"Information Fusion","id":"ITEM-1","issued":{"date-parts":[["2020","12","1"]]},"page":"99-120","publisher":"Elsevier","title":"Data fusion strategies for energy efficiency in buildings: Overview, challenges and novel orientations","type":"article-journal","volume":"64"},"uris":["http://www.mendeley.com/documents/?uuid=90808168-d14e-3c16-b47c-ead3011ac32d"]}],"mendeley":{"formattedCitation":"(&lt;i&gt;14&lt;/i&gt;)","plainTextFormattedCitation":"(14)","previouslyFormattedCitation":"(&lt;i&gt;14&lt;/i&gt;)"},"properties":{"noteIndex":0},"schema":"https://github.com/citation-style-language/schema/raw/master/csl-citation.json"}</w:instrText>
      </w:r>
      <w:r w:rsidR="007B3352">
        <w:rPr>
          <w:rFonts w:cs="Times New Roman"/>
          <w:color w:val="2E2E2E"/>
          <w:szCs w:val="24"/>
        </w:rPr>
        <w:fldChar w:fldCharType="separate"/>
      </w:r>
      <w:r w:rsidR="007B3352" w:rsidRPr="00C36602">
        <w:rPr>
          <w:rFonts w:cs="Times New Roman"/>
          <w:noProof/>
          <w:color w:val="2E2E2E"/>
          <w:szCs w:val="24"/>
        </w:rPr>
        <w:t>(</w:t>
      </w:r>
      <w:r w:rsidR="007B3352" w:rsidRPr="00C36602">
        <w:rPr>
          <w:rFonts w:cs="Times New Roman"/>
          <w:i/>
          <w:noProof/>
          <w:color w:val="2E2E2E"/>
          <w:szCs w:val="24"/>
        </w:rPr>
        <w:t>14</w:t>
      </w:r>
      <w:r w:rsidR="007B3352" w:rsidRPr="00C36602">
        <w:rPr>
          <w:rFonts w:cs="Times New Roman"/>
          <w:noProof/>
          <w:color w:val="2E2E2E"/>
          <w:szCs w:val="24"/>
        </w:rPr>
        <w:t>)</w:t>
      </w:r>
      <w:r w:rsidR="007B3352">
        <w:rPr>
          <w:rFonts w:cs="Times New Roman"/>
          <w:color w:val="2E2E2E"/>
          <w:szCs w:val="24"/>
        </w:rPr>
        <w:fldChar w:fldCharType="end"/>
      </w:r>
      <w:r w:rsidR="007B3352" w:rsidRPr="00857AEF">
        <w:rPr>
          <w:rFonts w:cs="Times New Roman"/>
          <w:color w:val="2E2E2E"/>
          <w:szCs w:val="24"/>
        </w:rPr>
        <w:t>. To the best of the authors’ knowledge, this is the first attempt (in both transportation and energy demand literature) to develop a behavioral fusion algorithm to combine two different datasets without any common identifier.</w:t>
      </w:r>
      <w:r w:rsidR="00C37652">
        <w:rPr>
          <w:rFonts w:cs="Times New Roman"/>
          <w:color w:val="2E2E2E"/>
          <w:szCs w:val="24"/>
        </w:rPr>
        <w:t xml:space="preserve"> </w:t>
      </w:r>
      <w:r w:rsidR="00C37652" w:rsidRPr="00C37652">
        <w:rPr>
          <w:rFonts w:cs="Times New Roman"/>
          <w:color w:val="2E2E2E"/>
          <w:szCs w:val="24"/>
        </w:rPr>
        <w:t>A recent paper by Zhang and his colleagues (60) adopted a fusion approach to predict credit risks for small and medium-sized businesses (SMEs) in supply chain financing by merging behavioral and demographic data. However, the work also focused on deterministic fusion as both these data were matched based on the common entity of SMEs in supply chain finance.</w:t>
      </w:r>
    </w:p>
    <w:p w14:paraId="165B2068" w14:textId="23B7748F" w:rsidR="00C653B4" w:rsidRDefault="0062540A" w:rsidP="00F8191C">
      <w:pPr>
        <w:ind w:firstLine="720"/>
        <w:rPr>
          <w:rFonts w:cs="Times New Roman"/>
          <w:lang w:val="en-US"/>
        </w:rPr>
      </w:pPr>
      <w:r>
        <w:t xml:space="preserve">The current approach is focused on a data fusion approach that augments </w:t>
      </w:r>
      <w:r w:rsidR="00EE18D6">
        <w:t>RECS data (</w:t>
      </w:r>
      <w:r>
        <w:t>source</w:t>
      </w:r>
      <w:r w:rsidR="00EE18D6">
        <w:t xml:space="preserve">) </w:t>
      </w:r>
      <w:r>
        <w:t xml:space="preserve">with additional variables </w:t>
      </w:r>
      <w:r w:rsidR="00EE18D6">
        <w:t xml:space="preserve">from NHTS dataset (donor) </w:t>
      </w:r>
      <w:r>
        <w:t xml:space="preserve">with a focus on improving the data fit of the </w:t>
      </w:r>
      <w:r>
        <w:rPr>
          <w:rFonts w:cs="Times New Roman"/>
          <w:lang w:val="en-US"/>
        </w:rPr>
        <w:t>dependent variable of interest</w:t>
      </w:r>
      <w:r w:rsidR="00EE18D6">
        <w:rPr>
          <w:rFonts w:cs="Times New Roman"/>
          <w:lang w:val="en-US"/>
        </w:rPr>
        <w:t xml:space="preserve"> (energy use by fuel type)</w:t>
      </w:r>
      <w:r>
        <w:rPr>
          <w:rFonts w:cs="Times New Roman"/>
          <w:lang w:val="en-US"/>
        </w:rPr>
        <w:t xml:space="preserve"> in the source dataset.</w:t>
      </w:r>
      <w:bookmarkEnd w:id="11"/>
      <w:r>
        <w:rPr>
          <w:rFonts w:cs="Times New Roman"/>
          <w:lang w:val="en-US"/>
        </w:rPr>
        <w:t xml:space="preserve"> </w:t>
      </w:r>
      <w:bookmarkStart w:id="13" w:name="_Hlk78656845"/>
      <w:bookmarkEnd w:id="12"/>
      <w:r w:rsidR="00C653B4">
        <w:rPr>
          <w:rFonts w:cs="Times New Roman"/>
          <w:lang w:val="en-US"/>
        </w:rPr>
        <w:t xml:space="preserve">The source and donor dataset can have common attributes such as census region, household size, </w:t>
      </w:r>
      <w:r w:rsidR="00944F45">
        <w:rPr>
          <w:rFonts w:cs="Times New Roman"/>
          <w:lang w:val="en-US"/>
        </w:rPr>
        <w:t xml:space="preserve">household ownership, </w:t>
      </w:r>
      <w:r w:rsidR="00C653B4">
        <w:rPr>
          <w:rFonts w:cs="Times New Roman"/>
          <w:lang w:val="en-US"/>
        </w:rPr>
        <w:t xml:space="preserve">number of adults, and </w:t>
      </w:r>
      <w:r w:rsidR="001F397A">
        <w:rPr>
          <w:rFonts w:cs="Times New Roman"/>
          <w:lang w:val="en-US"/>
        </w:rPr>
        <w:t>area (urban/rural)</w:t>
      </w:r>
      <w:r w:rsidR="00C653B4">
        <w:rPr>
          <w:rFonts w:cs="Times New Roman"/>
          <w:lang w:val="en-US"/>
        </w:rPr>
        <w:t xml:space="preserve">. </w:t>
      </w:r>
      <w:r w:rsidR="0051299B" w:rsidRPr="0051299B">
        <w:rPr>
          <w:rFonts w:cs="Times New Roman"/>
          <w:lang w:val="en-US"/>
        </w:rPr>
        <w:t xml:space="preserve">Ideally, selecting all or the majority of the </w:t>
      </w:r>
      <w:r w:rsidR="0051299B" w:rsidRPr="0051299B">
        <w:rPr>
          <w:rFonts w:cs="Times New Roman"/>
          <w:lang w:val="en-US"/>
        </w:rPr>
        <w:lastRenderedPageBreak/>
        <w:t xml:space="preserve">common attributes for matching would provide the most precise fusion. However, the reader would recognize that selecting </w:t>
      </w:r>
      <w:r w:rsidR="0051299B">
        <w:rPr>
          <w:rFonts w:cs="Times New Roman"/>
          <w:lang w:val="en-US"/>
        </w:rPr>
        <w:t xml:space="preserve">all or </w:t>
      </w:r>
      <w:r w:rsidR="0051299B" w:rsidRPr="0051299B">
        <w:rPr>
          <w:rFonts w:cs="Times New Roman"/>
          <w:lang w:val="en-US"/>
        </w:rPr>
        <w:t>a large number of common attributes as matching variables can potentially reduce viable matching candidates or result in zero candidates. This would have resulted in the loss of records and potentially introduced bias, as significant portions of the dataset might be excluded from the analysis.</w:t>
      </w:r>
      <w:r w:rsidR="0051299B">
        <w:rPr>
          <w:rFonts w:cs="Times New Roman"/>
          <w:lang w:val="en-US"/>
        </w:rPr>
        <w:t xml:space="preserve"> </w:t>
      </w:r>
      <w:r w:rsidR="0051299B" w:rsidRPr="0051299B">
        <w:rPr>
          <w:rFonts w:cs="Times New Roman"/>
          <w:lang w:val="en-US"/>
        </w:rPr>
        <w:t>Hence, we employ an approach where we choose a subset of common attributes for matching.</w:t>
      </w:r>
      <w:r w:rsidR="0051299B">
        <w:rPr>
          <w:rFonts w:cs="Times New Roman"/>
          <w:lang w:val="en-US"/>
        </w:rPr>
        <w:t xml:space="preserve"> </w:t>
      </w:r>
      <w:bookmarkEnd w:id="13"/>
      <w:r w:rsidR="00C653B4">
        <w:rPr>
          <w:rFonts w:cs="Times New Roman"/>
          <w:lang w:val="en-US"/>
        </w:rPr>
        <w:t xml:space="preserve">As the matching between source and donor sets are being considered across different datasets, we hypothesize that fusing multiple candidates (as opposed to one record) would allow for </w:t>
      </w:r>
      <w:r w:rsidR="00246ADC">
        <w:rPr>
          <w:rFonts w:cs="Times New Roman"/>
          <w:lang w:val="en-US"/>
        </w:rPr>
        <w:t xml:space="preserve">a </w:t>
      </w:r>
      <w:r w:rsidR="00C653B4">
        <w:rPr>
          <w:rFonts w:cs="Times New Roman"/>
          <w:lang w:val="en-US"/>
        </w:rPr>
        <w:t xml:space="preserve">more useful </w:t>
      </w:r>
      <w:r w:rsidR="00246ADC">
        <w:rPr>
          <w:rFonts w:cs="Times New Roman"/>
          <w:lang w:val="en-US"/>
        </w:rPr>
        <w:t xml:space="preserve">and representative </w:t>
      </w:r>
      <w:r w:rsidR="00C653B4">
        <w:rPr>
          <w:rFonts w:cs="Times New Roman"/>
          <w:lang w:val="en-US"/>
        </w:rPr>
        <w:t>fused dataset. At the same time, as we fuse multiple records (</w:t>
      </w:r>
      <w:r w:rsidR="0077293C">
        <w:rPr>
          <w:rFonts w:cs="Times New Roman"/>
          <w:lang w:val="en-US"/>
        </w:rPr>
        <w:t xml:space="preserve">say </w:t>
      </w:r>
      <w:r w:rsidR="00C653B4">
        <w:rPr>
          <w:rFonts w:cs="Times New Roman"/>
          <w:lang w:val="en-US"/>
        </w:rPr>
        <w:t>K) from the donor dataset</w:t>
      </w:r>
      <w:r w:rsidR="001E6E51">
        <w:rPr>
          <w:rFonts w:cs="Times New Roman"/>
          <w:lang w:val="en-US"/>
        </w:rPr>
        <w:t xml:space="preserve"> (NHTS)</w:t>
      </w:r>
      <w:r w:rsidR="00C653B4">
        <w:rPr>
          <w:rFonts w:cs="Times New Roman"/>
          <w:lang w:val="en-US"/>
        </w:rPr>
        <w:t xml:space="preserve"> with the source dataset</w:t>
      </w:r>
      <w:r w:rsidR="001E6E51">
        <w:rPr>
          <w:rFonts w:cs="Times New Roman"/>
          <w:lang w:val="en-US"/>
        </w:rPr>
        <w:t xml:space="preserve"> (RECS)</w:t>
      </w:r>
      <w:r w:rsidR="00C653B4">
        <w:rPr>
          <w:rFonts w:cs="Times New Roman"/>
          <w:lang w:val="en-US"/>
        </w:rPr>
        <w:t xml:space="preserve">, the </w:t>
      </w:r>
      <w:r w:rsidR="00F30297">
        <w:rPr>
          <w:rFonts w:cs="Times New Roman"/>
          <w:lang w:val="en-US"/>
        </w:rPr>
        <w:t>source record will need to be duplicated K time</w:t>
      </w:r>
      <w:r w:rsidR="00D46429">
        <w:rPr>
          <w:rFonts w:cs="Times New Roman"/>
          <w:lang w:val="en-US"/>
        </w:rPr>
        <w:t>s</w:t>
      </w:r>
      <w:r w:rsidR="00F30297">
        <w:rPr>
          <w:rFonts w:cs="Times New Roman"/>
          <w:lang w:val="en-US"/>
        </w:rPr>
        <w:t xml:space="preserve"> to generate fused </w:t>
      </w:r>
      <w:r w:rsidR="00C653B4">
        <w:rPr>
          <w:rFonts w:cs="Times New Roman"/>
          <w:lang w:val="en-US"/>
        </w:rPr>
        <w:t>records. To address this</w:t>
      </w:r>
      <w:r w:rsidR="00F30297">
        <w:rPr>
          <w:rFonts w:cs="Times New Roman"/>
          <w:lang w:val="en-US"/>
        </w:rPr>
        <w:t xml:space="preserve"> duplication</w:t>
      </w:r>
      <w:r w:rsidR="00C653B4">
        <w:rPr>
          <w:rFonts w:cs="Times New Roman"/>
          <w:lang w:val="en-US"/>
        </w:rPr>
        <w:t>, a simple</w:t>
      </w:r>
      <w:r w:rsidR="005C17E4">
        <w:rPr>
          <w:rFonts w:cs="Times New Roman"/>
          <w:lang w:val="en-US"/>
        </w:rPr>
        <w:t xml:space="preserve"> </w:t>
      </w:r>
      <w:r w:rsidR="005C17E4" w:rsidRPr="00C5763A">
        <w:rPr>
          <w:rFonts w:cs="Times New Roman"/>
          <w:i/>
          <w:iCs/>
          <w:u w:val="single"/>
          <w:lang w:val="en-US"/>
        </w:rPr>
        <w:t>deterministic</w:t>
      </w:r>
      <w:r w:rsidR="00C653B4">
        <w:rPr>
          <w:rFonts w:cs="Times New Roman"/>
          <w:lang w:val="en-US"/>
        </w:rPr>
        <w:t xml:space="preserve"> weight (1/K) is applied to ensure for each source record, the multiple matched rows of data represent only one new record. </w:t>
      </w:r>
      <w:bookmarkStart w:id="14" w:name="_Hlk78653228"/>
      <w:r w:rsidR="000B2111" w:rsidRPr="000B2111">
        <w:rPr>
          <w:rFonts w:cs="Times New Roman"/>
          <w:lang w:val="en-US"/>
        </w:rPr>
        <w:t xml:space="preserve">The proposed fusion approach makes several variables that are not available in the original dataset accessible for modeling. The benefit from these additional variables can be evaluated in a straightforward manner. If these additional variables contribute to improving the data fit of the dependent </w:t>
      </w:r>
      <w:r w:rsidR="007C79CD" w:rsidRPr="000B2111">
        <w:rPr>
          <w:rFonts w:cs="Times New Roman"/>
          <w:lang w:val="en-US"/>
        </w:rPr>
        <w:t>variable,</w:t>
      </w:r>
      <w:r w:rsidR="000B2111" w:rsidRPr="000B2111">
        <w:rPr>
          <w:rFonts w:cs="Times New Roman"/>
          <w:lang w:val="en-US"/>
        </w:rPr>
        <w:t xml:space="preserve"> then the fused dataset offers improved analysis of the dependent variable of interest. The improvement in data fit is compared using the log-likelihood and Bayesian Inference Criteria metrics that are well established in the literature</w:t>
      </w:r>
      <w:r w:rsidR="000B2111">
        <w:rPr>
          <w:rFonts w:cs="Times New Roman"/>
          <w:lang w:val="en-US"/>
        </w:rPr>
        <w:t xml:space="preserve"> </w:t>
      </w:r>
      <w:bookmarkEnd w:id="14"/>
    </w:p>
    <w:p w14:paraId="674FC365" w14:textId="58F95E0A" w:rsidR="007E1AE3" w:rsidRDefault="00C14303" w:rsidP="000B2976">
      <w:pPr>
        <w:rPr>
          <w:rFonts w:cs="Times New Roman"/>
          <w:lang w:val="en-US"/>
        </w:rPr>
      </w:pPr>
      <w:r>
        <w:tab/>
      </w:r>
      <w:r>
        <w:rPr>
          <w:rFonts w:cs="Times New Roman"/>
          <w:lang w:val="en-US"/>
        </w:rPr>
        <w:t xml:space="preserve">The </w:t>
      </w:r>
      <w:r w:rsidR="001F397A">
        <w:rPr>
          <w:rFonts w:cs="Times New Roman"/>
          <w:lang w:val="en-US"/>
        </w:rPr>
        <w:t xml:space="preserve">deterministic </w:t>
      </w:r>
      <w:r>
        <w:rPr>
          <w:rFonts w:cs="Times New Roman"/>
          <w:lang w:val="en-US"/>
        </w:rPr>
        <w:t xml:space="preserve">matching </w:t>
      </w:r>
      <w:r w:rsidRPr="00BC3342">
        <w:rPr>
          <w:rFonts w:cs="Times New Roman"/>
          <w:lang w:val="en-US"/>
        </w:rPr>
        <w:t xml:space="preserve">approach will work </w:t>
      </w:r>
      <w:r w:rsidR="0029162A">
        <w:rPr>
          <w:rFonts w:cs="Times New Roman"/>
          <w:lang w:val="en-US"/>
        </w:rPr>
        <w:t>effectively</w:t>
      </w:r>
      <w:r w:rsidR="0029162A" w:rsidRPr="00BC3342">
        <w:rPr>
          <w:rFonts w:cs="Times New Roman"/>
          <w:lang w:val="en-US"/>
        </w:rPr>
        <w:t xml:space="preserve"> </w:t>
      </w:r>
      <w:r w:rsidRPr="00BC3342">
        <w:rPr>
          <w:rFonts w:cs="Times New Roman"/>
          <w:lang w:val="en-US"/>
        </w:rPr>
        <w:t xml:space="preserve">with a small set of matching variables. As the number of </w:t>
      </w:r>
      <w:r>
        <w:rPr>
          <w:rFonts w:cs="Times New Roman"/>
          <w:lang w:val="en-US"/>
        </w:rPr>
        <w:t xml:space="preserve">potential </w:t>
      </w:r>
      <w:r w:rsidRPr="00BC3342">
        <w:rPr>
          <w:rFonts w:cs="Times New Roman"/>
          <w:lang w:val="en-US"/>
        </w:rPr>
        <w:t>matching</w:t>
      </w:r>
      <w:r>
        <w:rPr>
          <w:rFonts w:cs="Times New Roman"/>
          <w:lang w:val="en-US"/>
        </w:rPr>
        <w:t xml:space="preserve"> </w:t>
      </w:r>
      <w:r w:rsidRPr="00BC3342">
        <w:rPr>
          <w:rFonts w:cs="Times New Roman"/>
          <w:lang w:val="en-US"/>
        </w:rPr>
        <w:t xml:space="preserve">variables increases, the number of </w:t>
      </w:r>
      <w:r>
        <w:rPr>
          <w:rFonts w:cs="Times New Roman"/>
          <w:lang w:val="en-US"/>
        </w:rPr>
        <w:t xml:space="preserve">exact </w:t>
      </w:r>
      <w:r w:rsidRPr="00BC3342">
        <w:rPr>
          <w:rFonts w:cs="Times New Roman"/>
          <w:lang w:val="en-US"/>
        </w:rPr>
        <w:t>matches could reduce very quickly.</w:t>
      </w:r>
      <w:r>
        <w:rPr>
          <w:rFonts w:cs="Times New Roman"/>
          <w:lang w:val="en-US"/>
        </w:rPr>
        <w:t xml:space="preserve"> Therefore, we propose a matching </w:t>
      </w:r>
      <w:r w:rsidR="00A0680F">
        <w:rPr>
          <w:rFonts w:cs="Times New Roman"/>
          <w:lang w:val="en-US"/>
        </w:rPr>
        <w:t xml:space="preserve">approach with a </w:t>
      </w:r>
      <w:r w:rsidR="00A0680F" w:rsidRPr="00C5763A">
        <w:rPr>
          <w:rFonts w:cs="Times New Roman"/>
          <w:i/>
          <w:iCs/>
          <w:u w:val="single"/>
          <w:lang w:val="en-US"/>
        </w:rPr>
        <w:t>probabilistic</w:t>
      </w:r>
      <w:r w:rsidR="00A0680F">
        <w:rPr>
          <w:rFonts w:cs="Times New Roman"/>
          <w:lang w:val="en-US"/>
        </w:rPr>
        <w:t xml:space="preserve"> weight that penalizes differences between the source record and the donor record. So, in this approach, we allow for some variable </w:t>
      </w:r>
      <w:r w:rsidR="00183949">
        <w:rPr>
          <w:rFonts w:cs="Times New Roman"/>
          <w:lang w:val="en-US"/>
        </w:rPr>
        <w:t>mismatch</w:t>
      </w:r>
      <w:r w:rsidR="00A0680F">
        <w:rPr>
          <w:rFonts w:cs="Times New Roman"/>
          <w:lang w:val="en-US"/>
        </w:rPr>
        <w:t xml:space="preserve"> and evaluate its impact </w:t>
      </w:r>
      <w:r w:rsidR="002402A4">
        <w:rPr>
          <w:rFonts w:cs="Times New Roman"/>
          <w:lang w:val="en-US"/>
        </w:rPr>
        <w:t xml:space="preserve">on matching process by estimating </w:t>
      </w:r>
      <w:r w:rsidR="002402A4">
        <w:rPr>
          <w:rFonts w:cs="Times New Roman"/>
          <w:lang w:val="en-US"/>
        </w:rPr>
        <w:lastRenderedPageBreak/>
        <w:t xml:space="preserve">a weight for each donor record that is fused with a source record. </w:t>
      </w:r>
      <w:r>
        <w:rPr>
          <w:rFonts w:cs="Times New Roman"/>
          <w:lang w:val="en-US"/>
        </w:rPr>
        <w:t xml:space="preserve">Specifically, </w:t>
      </w:r>
      <w:bookmarkStart w:id="15" w:name="_Hlk78658055"/>
      <w:r>
        <w:rPr>
          <w:rFonts w:cs="Times New Roman"/>
          <w:lang w:val="en-US"/>
        </w:rPr>
        <w:t xml:space="preserve">the weight is parameterized as a function of </w:t>
      </w:r>
      <w:r w:rsidR="0060246D">
        <w:rPr>
          <w:rFonts w:cs="Times New Roman"/>
          <w:lang w:val="en-US"/>
        </w:rPr>
        <w:t xml:space="preserve">the </w:t>
      </w:r>
      <w:r w:rsidR="000B2976">
        <w:rPr>
          <w:rFonts w:cs="Times New Roman"/>
          <w:lang w:val="en-US"/>
        </w:rPr>
        <w:t>discrepancy for variables</w:t>
      </w:r>
      <w:r>
        <w:rPr>
          <w:rFonts w:cs="Times New Roman"/>
          <w:lang w:val="en-US"/>
        </w:rPr>
        <w:t xml:space="preserve"> in both datasets</w:t>
      </w:r>
      <w:bookmarkEnd w:id="15"/>
      <w:r>
        <w:rPr>
          <w:rFonts w:cs="Times New Roman"/>
          <w:lang w:val="en-US"/>
        </w:rPr>
        <w:t xml:space="preserve">. </w:t>
      </w:r>
      <w:r>
        <w:t xml:space="preserve">The contribution is influenced by </w:t>
      </w:r>
      <w:bookmarkStart w:id="16" w:name="_Hlk78658126"/>
      <w:r>
        <w:t xml:space="preserve">similarity (or dissimilarity) across the common attributes between </w:t>
      </w:r>
      <w:r w:rsidR="000B2976">
        <w:t>source and donor datasets</w:t>
      </w:r>
      <w:bookmarkEnd w:id="16"/>
      <w:r>
        <w:t xml:space="preserve">. </w:t>
      </w:r>
      <w:r w:rsidRPr="00B65400">
        <w:rPr>
          <w:rFonts w:cs="Times New Roman"/>
          <w:lang w:val="en-US"/>
        </w:rPr>
        <w:t>Th</w:t>
      </w:r>
      <w:r>
        <w:rPr>
          <w:rFonts w:cs="Times New Roman"/>
          <w:lang w:val="en-US"/>
        </w:rPr>
        <w:t>is</w:t>
      </w:r>
      <w:r w:rsidRPr="00B65400">
        <w:rPr>
          <w:rFonts w:cs="Times New Roman"/>
          <w:lang w:val="en-US"/>
        </w:rPr>
        <w:t xml:space="preserve"> </w:t>
      </w:r>
      <w:r w:rsidR="000B2976">
        <w:rPr>
          <w:rFonts w:cs="Times New Roman"/>
          <w:lang w:val="en-US"/>
        </w:rPr>
        <w:t xml:space="preserve">weighting process effectively </w:t>
      </w:r>
      <w:r w:rsidRPr="00B65400">
        <w:rPr>
          <w:rFonts w:cs="Times New Roman"/>
          <w:lang w:val="en-US"/>
        </w:rPr>
        <w:t xml:space="preserve">translates to estimating the weight </w:t>
      </w:r>
      <w:r w:rsidR="000B2976">
        <w:rPr>
          <w:rFonts w:cs="Times New Roman"/>
          <w:lang w:val="en-US"/>
        </w:rPr>
        <w:t xml:space="preserve">contribution of the donor record </w:t>
      </w:r>
      <w:r w:rsidRPr="00B65400">
        <w:rPr>
          <w:rFonts w:cs="Times New Roman"/>
          <w:lang w:val="en-US"/>
        </w:rPr>
        <w:t>to improve data fit of the</w:t>
      </w:r>
      <w:r w:rsidR="007E1AE3">
        <w:rPr>
          <w:rFonts w:cs="Times New Roman"/>
          <w:lang w:val="en-US"/>
        </w:rPr>
        <w:t xml:space="preserve"> dependent variable of interest (as opposed to using a un</w:t>
      </w:r>
      <w:r w:rsidR="005C17E4">
        <w:rPr>
          <w:rFonts w:cs="Times New Roman"/>
          <w:lang w:val="en-US"/>
        </w:rPr>
        <w:t>ifor</w:t>
      </w:r>
      <w:r w:rsidR="007E1AE3">
        <w:rPr>
          <w:rFonts w:cs="Times New Roman"/>
          <w:lang w:val="en-US"/>
        </w:rPr>
        <w:t>m 1/K weight)</w:t>
      </w:r>
      <w:r w:rsidRPr="00B65400">
        <w:rPr>
          <w:rFonts w:cs="Times New Roman"/>
          <w:lang w:val="en-US"/>
        </w:rPr>
        <w:t xml:space="preserve">. </w:t>
      </w:r>
      <w:r w:rsidR="008A53C4">
        <w:rPr>
          <w:rFonts w:cs="Times New Roman"/>
          <w:lang w:val="en-US"/>
        </w:rPr>
        <w:t xml:space="preserve">The records with </w:t>
      </w:r>
      <w:r w:rsidR="00881CAC">
        <w:rPr>
          <w:rFonts w:cs="Times New Roman"/>
          <w:lang w:val="en-US"/>
        </w:rPr>
        <w:t>smaller mis</w:t>
      </w:r>
      <w:r w:rsidR="00551605">
        <w:rPr>
          <w:rFonts w:cs="Times New Roman"/>
          <w:lang w:val="en-US"/>
        </w:rPr>
        <w:t xml:space="preserve">match are likely to have a weight higher than the deterministic weight (1/K) and records with </w:t>
      </w:r>
      <w:r w:rsidR="00881CAC">
        <w:rPr>
          <w:rFonts w:cs="Times New Roman"/>
          <w:lang w:val="en-US"/>
        </w:rPr>
        <w:t xml:space="preserve">higher mismatch are likely to have a weight lower than the deterministic weight. </w:t>
      </w:r>
      <w:r w:rsidRPr="00B65400">
        <w:rPr>
          <w:rFonts w:cs="Times New Roman"/>
          <w:lang w:val="en-US"/>
        </w:rPr>
        <w:t xml:space="preserve">The parameters estimated </w:t>
      </w:r>
      <w:r w:rsidR="007E1AE3">
        <w:rPr>
          <w:rFonts w:cs="Times New Roman"/>
          <w:lang w:val="en-US"/>
        </w:rPr>
        <w:t xml:space="preserve">as part of the weight function </w:t>
      </w:r>
      <w:r w:rsidRPr="00B65400">
        <w:rPr>
          <w:rFonts w:cs="Times New Roman"/>
          <w:lang w:val="en-US"/>
        </w:rPr>
        <w:t xml:space="preserve">will inform us about the ranking of the various matching factors on their impact on </w:t>
      </w:r>
      <w:r w:rsidR="007E1AE3">
        <w:rPr>
          <w:rFonts w:cs="Times New Roman"/>
          <w:lang w:val="en-US"/>
        </w:rPr>
        <w:t xml:space="preserve">the dependent variable of interest. For instance, household ownership status might not be as important as number of children in explaining household energy consumption patterns. </w:t>
      </w:r>
      <w:r w:rsidR="002A5998">
        <w:rPr>
          <w:rFonts w:cs="Times New Roman"/>
          <w:lang w:val="en-US"/>
        </w:rPr>
        <w:t xml:space="preserve">In this case, the weight function coefficient for </w:t>
      </w:r>
      <w:r w:rsidR="00027AA7">
        <w:rPr>
          <w:rFonts w:cs="Times New Roman"/>
          <w:lang w:val="en-US"/>
        </w:rPr>
        <w:t xml:space="preserve">difference in the </w:t>
      </w:r>
      <w:r w:rsidR="002A5998">
        <w:rPr>
          <w:rFonts w:cs="Times New Roman"/>
          <w:lang w:val="en-US"/>
        </w:rPr>
        <w:t xml:space="preserve">number of children </w:t>
      </w:r>
      <w:r w:rsidR="00027AA7">
        <w:rPr>
          <w:rFonts w:cs="Times New Roman"/>
          <w:lang w:val="en-US"/>
        </w:rPr>
        <w:t xml:space="preserve">variable </w:t>
      </w:r>
      <w:r w:rsidR="002A5998">
        <w:rPr>
          <w:rFonts w:cs="Times New Roman"/>
          <w:lang w:val="en-US"/>
        </w:rPr>
        <w:t xml:space="preserve">will be larger in magnitude. </w:t>
      </w:r>
    </w:p>
    <w:p w14:paraId="1B844712" w14:textId="53E583B8" w:rsidR="000F584B" w:rsidRDefault="007909EC" w:rsidP="00E9705E">
      <w:pPr>
        <w:ind w:firstLine="720"/>
        <w:rPr>
          <w:lang w:val="en-US"/>
        </w:rPr>
      </w:pPr>
      <w:r w:rsidRPr="00B65400">
        <w:rPr>
          <w:rFonts w:cs="Times New Roman"/>
          <w:lang w:val="en-US"/>
        </w:rPr>
        <w:t xml:space="preserve">To </w:t>
      </w:r>
      <w:r>
        <w:rPr>
          <w:rFonts w:cs="Times New Roman"/>
          <w:lang w:val="en-US"/>
        </w:rPr>
        <w:t xml:space="preserve">better </w:t>
      </w:r>
      <w:r w:rsidRPr="00B65400">
        <w:rPr>
          <w:rFonts w:cs="Times New Roman"/>
          <w:lang w:val="en-US"/>
        </w:rPr>
        <w:t xml:space="preserve">illustrate the data fusion process, an example is presented in Figure 1. The </w:t>
      </w:r>
      <w:r>
        <w:rPr>
          <w:rFonts w:cs="Times New Roman"/>
          <w:lang w:val="en-US"/>
        </w:rPr>
        <w:t xml:space="preserve">RECS Survey has </w:t>
      </w:r>
      <w:r w:rsidR="00921E08">
        <w:rPr>
          <w:rFonts w:cs="Times New Roman"/>
          <w:lang w:val="en-US"/>
        </w:rPr>
        <w:t xml:space="preserve">four </w:t>
      </w:r>
      <w:r>
        <w:rPr>
          <w:rFonts w:cs="Times New Roman"/>
          <w:lang w:val="en-US"/>
        </w:rPr>
        <w:t xml:space="preserve">HHs with information on household size, household ownership status, number of adults in the HHs, number of rooms in the HH and the dependent variable: consumption of electricity (in </w:t>
      </w:r>
      <w:r w:rsidR="00183C2F">
        <w:rPr>
          <w:rFonts w:cs="Times New Roman"/>
          <w:lang w:val="en-US"/>
        </w:rPr>
        <w:t>millions of</w:t>
      </w:r>
      <w:r>
        <w:rPr>
          <w:rFonts w:cs="Times New Roman"/>
          <w:lang w:val="en-US"/>
        </w:rPr>
        <w:t xml:space="preserve"> Btu). The NHTS data, in addition to household size, ownership status and number of adults, provides information on vehicle ownership and number of workers in the HH. </w:t>
      </w:r>
      <w:r w:rsidR="005D79DF" w:rsidRPr="005D79DF">
        <w:rPr>
          <w:rFonts w:cs="Times New Roman"/>
          <w:lang w:val="en-US"/>
        </w:rPr>
        <w:t xml:space="preserve">The common variables across these two datasets are household size, ownership status, and the number of adults. Initially, we begin the fusion using all three matching attributes. In this process, we are </w:t>
      </w:r>
      <w:r w:rsidR="00027334">
        <w:rPr>
          <w:rFonts w:cs="Times New Roman"/>
          <w:lang w:val="en-US"/>
        </w:rPr>
        <w:t>able</w:t>
      </w:r>
      <w:r w:rsidR="005D79DF" w:rsidRPr="005D79DF">
        <w:rPr>
          <w:rFonts w:cs="Times New Roman"/>
          <w:lang w:val="en-US"/>
        </w:rPr>
        <w:t xml:space="preserve"> to find matches for all households except the third household. If we proceed with this fusion, then the third household would need to be excluded from the analysis, thereby compromising 25% of the records (1 household out of 4 households in RECS). To address this issue, we relax the matching assumption by considering two variables (household size, and </w:t>
      </w:r>
      <w:r w:rsidR="005D79DF" w:rsidRPr="005D79DF">
        <w:rPr>
          <w:rFonts w:cs="Times New Roman"/>
          <w:lang w:val="en-US"/>
        </w:rPr>
        <w:lastRenderedPageBreak/>
        <w:t xml:space="preserve">household ownership status) as our matching attributes while use the remaining variable (number of adults) in the weight function. </w:t>
      </w:r>
      <w:r>
        <w:rPr>
          <w:rFonts w:cs="Times New Roman"/>
          <w:lang w:val="en-US"/>
        </w:rPr>
        <w:t>Based on this, we find three matches for the first HH</w:t>
      </w:r>
      <w:r w:rsidR="005D79DF">
        <w:rPr>
          <w:rFonts w:cs="Times New Roman"/>
          <w:lang w:val="en-US"/>
        </w:rPr>
        <w:t xml:space="preserve">, </w:t>
      </w:r>
      <w:r w:rsidR="005D79DF" w:rsidRPr="005D79DF">
        <w:rPr>
          <w:rFonts w:cs="Times New Roman"/>
          <w:lang w:val="en-US"/>
        </w:rPr>
        <w:t>two matches for the second household, one match for the third household, and three matches for the fourth household</w:t>
      </w:r>
      <w:r>
        <w:rPr>
          <w:rFonts w:cs="Times New Roman"/>
          <w:lang w:val="en-US"/>
        </w:rPr>
        <w:t xml:space="preserve">. </w:t>
      </w:r>
      <w:r w:rsidRPr="00B65400">
        <w:rPr>
          <w:rFonts w:cs="Times New Roman"/>
          <w:lang w:val="en-US"/>
        </w:rPr>
        <w:t>Now, using the matched records</w:t>
      </w:r>
      <w:r>
        <w:rPr>
          <w:rFonts w:cs="Times New Roman"/>
          <w:lang w:val="en-US"/>
        </w:rPr>
        <w:t>,</w:t>
      </w:r>
      <w:r w:rsidRPr="00B65400">
        <w:rPr>
          <w:rFonts w:cs="Times New Roman"/>
          <w:lang w:val="en-US"/>
        </w:rPr>
        <w:t xml:space="preserve"> a fused dataset is created with </w:t>
      </w:r>
      <w:r>
        <w:rPr>
          <w:rFonts w:cs="Times New Roman"/>
          <w:lang w:val="en-US"/>
        </w:rPr>
        <w:t>three</w:t>
      </w:r>
      <w:r w:rsidRPr="00B65400">
        <w:rPr>
          <w:rFonts w:cs="Times New Roman"/>
          <w:lang w:val="en-US"/>
        </w:rPr>
        <w:t xml:space="preserve"> repetitions of </w:t>
      </w:r>
      <w:r>
        <w:rPr>
          <w:rFonts w:cs="Times New Roman"/>
          <w:lang w:val="en-US"/>
        </w:rPr>
        <w:t>HH</w:t>
      </w:r>
      <w:r w:rsidRPr="00B65400">
        <w:rPr>
          <w:rFonts w:cs="Times New Roman"/>
          <w:lang w:val="en-US"/>
        </w:rPr>
        <w:t xml:space="preserve"> 1</w:t>
      </w:r>
      <w:r w:rsidR="00B52405">
        <w:rPr>
          <w:rFonts w:cs="Times New Roman"/>
          <w:lang w:val="en-US"/>
        </w:rPr>
        <w:t xml:space="preserve">, </w:t>
      </w:r>
      <w:r w:rsidR="00B52405" w:rsidRPr="00B52405">
        <w:rPr>
          <w:rFonts w:cs="Times New Roman"/>
          <w:lang w:val="en-US"/>
        </w:rPr>
        <w:t>, two repetitions of HH2, 1 HH3 and three repetitions of HH4</w:t>
      </w:r>
      <w:r w:rsidRPr="00B65400">
        <w:rPr>
          <w:rFonts w:cs="Times New Roman"/>
          <w:lang w:val="en-US"/>
        </w:rPr>
        <w:t xml:space="preserve"> with </w:t>
      </w:r>
      <w:r>
        <w:rPr>
          <w:rFonts w:cs="Times New Roman"/>
          <w:lang w:val="en-US"/>
        </w:rPr>
        <w:t>NHTS</w:t>
      </w:r>
      <w:r w:rsidRPr="00B65400">
        <w:rPr>
          <w:rFonts w:cs="Times New Roman"/>
          <w:lang w:val="en-US"/>
        </w:rPr>
        <w:t xml:space="preserve"> data columns </w:t>
      </w:r>
      <w:r>
        <w:rPr>
          <w:rFonts w:cs="Times New Roman"/>
          <w:lang w:val="en-US"/>
        </w:rPr>
        <w:t>including number of adults, vehicle ownership and number of workers in the HH</w:t>
      </w:r>
      <w:r w:rsidR="004A03DB">
        <w:rPr>
          <w:rFonts w:cs="Times New Roman"/>
          <w:lang w:val="en-US"/>
        </w:rPr>
        <w:t xml:space="preserve"> (see Figure 1)</w:t>
      </w:r>
      <w:r>
        <w:rPr>
          <w:rFonts w:cs="Times New Roman"/>
          <w:lang w:val="en-US"/>
        </w:rPr>
        <w:t xml:space="preserve">. </w:t>
      </w:r>
      <w:r w:rsidR="004A03DB" w:rsidRPr="004A03DB">
        <w:rPr>
          <w:rFonts w:cs="Times New Roman"/>
          <w:lang w:val="en-US"/>
        </w:rPr>
        <w:t xml:space="preserve">As mentioned earlier, a weight function is used in the data to ensure that all the repetitions together represent one household in the RECS data. For the deterministic weight method, we assign an equal weight, that is 1/K for K repetitions. For example, for HH 1, which has three repetitions, each repetition would be assigned a weight of 1/3 (approximately 0.33). </w:t>
      </w:r>
      <w:r>
        <w:rPr>
          <w:rFonts w:cs="Times New Roman"/>
          <w:lang w:val="en-US"/>
        </w:rPr>
        <w:t xml:space="preserve">For the probabilistic weight method, we will calculate the difference </w:t>
      </w:r>
      <w:r w:rsidR="00800BB1">
        <w:rPr>
          <w:rFonts w:cs="Times New Roman"/>
          <w:lang w:val="en-US"/>
        </w:rPr>
        <w:t xml:space="preserve">in </w:t>
      </w:r>
      <w:r>
        <w:rPr>
          <w:rFonts w:cs="Times New Roman"/>
          <w:lang w:val="en-US"/>
        </w:rPr>
        <w:t>the number of adult</w:t>
      </w:r>
      <w:r w:rsidR="00800BB1">
        <w:rPr>
          <w:rFonts w:cs="Times New Roman"/>
          <w:lang w:val="en-US"/>
        </w:rPr>
        <w:t>s</w:t>
      </w:r>
      <w:r>
        <w:rPr>
          <w:rFonts w:cs="Times New Roman"/>
          <w:lang w:val="en-US"/>
        </w:rPr>
        <w:t xml:space="preserve"> variable (</w:t>
      </w:r>
      <w:r w:rsidR="00800BB1">
        <w:rPr>
          <w:rFonts w:cs="Times New Roman"/>
          <w:lang w:val="en-US"/>
        </w:rPr>
        <w:t xml:space="preserve">available in source and donor datasets but not matched) </w:t>
      </w:r>
      <w:r>
        <w:rPr>
          <w:rFonts w:cs="Times New Roman"/>
          <w:lang w:val="en-US"/>
        </w:rPr>
        <w:t>across the two dataset</w:t>
      </w:r>
      <w:r w:rsidR="00800BB1">
        <w:rPr>
          <w:rFonts w:cs="Times New Roman"/>
          <w:lang w:val="en-US"/>
        </w:rPr>
        <w:t>s</w:t>
      </w:r>
      <w:r>
        <w:rPr>
          <w:rFonts w:cs="Times New Roman"/>
          <w:lang w:val="en-US"/>
        </w:rPr>
        <w:t xml:space="preserve"> and use these differences to parameterize the weight function (details on this process is discussed in the methodology section). </w:t>
      </w:r>
      <w:bookmarkStart w:id="17" w:name="_Hlk78658281"/>
      <w:r w:rsidR="004A03DB" w:rsidRPr="004A03DB">
        <w:rPr>
          <w:rFonts w:cs="Times New Roman"/>
          <w:lang w:val="en-US"/>
        </w:rPr>
        <w:t xml:space="preserve">The probabilistic weight variable provides a higher weight when the difference is lower (or 0. For example, for HH 2 (see Figure 1), the first matched record has the same number of adults as the RECS dataset, resulting in a higher weight of 0.7. In contrast, the second matched record does not have the same number of adults, resulting in a lower weight of 0.3. </w:t>
      </w:r>
      <w:bookmarkEnd w:id="17"/>
      <w:r w:rsidR="000F584B">
        <w:rPr>
          <w:rFonts w:cs="Times New Roman"/>
          <w:lang w:val="en-US"/>
        </w:rPr>
        <w:t>Please note that the numbers provided in Figure 1 are for illustration purposes and will be estimated in our model within a maximum likelihood setting</w:t>
      </w:r>
      <w:r w:rsidR="000F584B">
        <w:rPr>
          <w:lang w:val="en-US"/>
        </w:rPr>
        <w:t>.</w:t>
      </w:r>
    </w:p>
    <w:p w14:paraId="4210B8B9" w14:textId="77777777" w:rsidR="00E25D47" w:rsidRDefault="00E25D47" w:rsidP="006548DB">
      <w:pPr>
        <w:ind w:firstLine="720"/>
        <w:sectPr w:rsidR="00E25D47" w:rsidSect="00687862">
          <w:headerReference w:type="first" r:id="rId12"/>
          <w:pgSz w:w="12240" w:h="15840" w:code="1"/>
          <w:pgMar w:top="1440" w:right="1440" w:bottom="1440" w:left="1440" w:header="720" w:footer="720" w:gutter="0"/>
          <w:lnNumType w:countBy="1" w:restart="continuous"/>
          <w:cols w:space="708"/>
          <w:titlePg/>
          <w:docGrid w:linePitch="360"/>
        </w:sectPr>
      </w:pPr>
    </w:p>
    <w:p w14:paraId="674408DD" w14:textId="2F323C81" w:rsidR="00E25D47" w:rsidRPr="00E25D47" w:rsidRDefault="00E25D47" w:rsidP="00E25D47">
      <w:pPr>
        <w:tabs>
          <w:tab w:val="left" w:pos="1878"/>
        </w:tabs>
        <w:ind w:firstLine="720"/>
        <w:jc w:val="left"/>
        <w:rPr>
          <w:lang w:val="en-US"/>
        </w:rPr>
      </w:pPr>
      <w:r w:rsidRPr="00E25D47">
        <w:rPr>
          <w:noProof/>
          <w:lang w:val="en-US"/>
        </w:rPr>
        <w:lastRenderedPageBreak/>
        <w:drawing>
          <wp:anchor distT="0" distB="0" distL="114300" distR="114300" simplePos="0" relativeHeight="251658240" behindDoc="0" locked="0" layoutInCell="1" allowOverlap="1" wp14:anchorId="3FA63B77" wp14:editId="45D3F71D">
            <wp:simplePos x="0" y="0"/>
            <wp:positionH relativeFrom="column">
              <wp:posOffset>114134</wp:posOffset>
            </wp:positionH>
            <wp:positionV relativeFrom="paragraph">
              <wp:posOffset>0</wp:posOffset>
            </wp:positionV>
            <wp:extent cx="7033260" cy="5943600"/>
            <wp:effectExtent l="0" t="0" r="0" b="0"/>
            <wp:wrapSquare wrapText="bothSides"/>
            <wp:docPr id="984607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3260" cy="5943600"/>
                    </a:xfrm>
                    <a:prstGeom prst="rect">
                      <a:avLst/>
                    </a:prstGeom>
                    <a:noFill/>
                    <a:ln>
                      <a:noFill/>
                    </a:ln>
                  </pic:spPr>
                </pic:pic>
              </a:graphicData>
            </a:graphic>
            <wp14:sizeRelH relativeFrom="margin">
              <wp14:pctWidth>0</wp14:pctWidth>
            </wp14:sizeRelH>
          </wp:anchor>
        </w:drawing>
      </w:r>
      <w:r>
        <w:tab/>
      </w:r>
    </w:p>
    <w:p w14:paraId="63289578" w14:textId="3814EED0" w:rsidR="00E25D47" w:rsidRDefault="00E25D47" w:rsidP="00E25D47">
      <w:pPr>
        <w:tabs>
          <w:tab w:val="left" w:pos="1878"/>
        </w:tabs>
        <w:ind w:firstLine="720"/>
      </w:pPr>
    </w:p>
    <w:p w14:paraId="7AC651D7" w14:textId="26FB1023" w:rsidR="00E25D47" w:rsidRPr="00E25D47" w:rsidRDefault="00E25D47" w:rsidP="00E25D47">
      <w:pPr>
        <w:tabs>
          <w:tab w:val="left" w:pos="1878"/>
        </w:tabs>
        <w:sectPr w:rsidR="00E25D47" w:rsidRPr="00E25D47" w:rsidSect="00E25D47">
          <w:pgSz w:w="15840" w:h="12240" w:orient="landscape" w:code="1"/>
          <w:pgMar w:top="1440" w:right="1440" w:bottom="1440" w:left="1440" w:header="720" w:footer="720" w:gutter="0"/>
          <w:lnNumType w:countBy="1" w:restart="continuous"/>
          <w:cols w:space="708"/>
          <w:titlePg/>
          <w:docGrid w:linePitch="360"/>
        </w:sectPr>
      </w:pPr>
      <w:r>
        <w:tab/>
      </w:r>
    </w:p>
    <w:p w14:paraId="3692B048" w14:textId="65B8A7B1" w:rsidR="006548DB" w:rsidRDefault="006548DB" w:rsidP="006548DB">
      <w:pPr>
        <w:ind w:firstLine="720"/>
      </w:pPr>
      <w:r w:rsidRPr="00542D78">
        <w:lastRenderedPageBreak/>
        <w:t xml:space="preserve">In summary, </w:t>
      </w:r>
      <w:r>
        <w:t>the</w:t>
      </w:r>
      <w:r w:rsidRPr="00A81284">
        <w:t xml:space="preserve"> current study contributes to the energy and data science literature both empirically and methodologically. </w:t>
      </w:r>
      <w:r w:rsidRPr="00873E8A">
        <w:rPr>
          <w:u w:val="single"/>
        </w:rPr>
        <w:t>Empirically</w:t>
      </w:r>
      <w:r w:rsidRPr="00A81284">
        <w:t xml:space="preserve">, the proposed fusion algorithm enables us to merge these two distinct datasets and create an enriched data source for analyzing energy consumption. Using the fused data, the association between additional categories of exogenous variables with residential energy demand can be tested. Thus, the model developed with the fused database will have enhanced explanatory and predictive power relative to the model developed solely using RECS data. Further, this enriched dataset, and the resulting model can significantly inform policy decisions. For example, understanding the impact of EV ownership and working-from-home trends on residential energy consumption can guide policymakers in designing targeted incentives for energy-efficient technologies and infrastructure. </w:t>
      </w:r>
      <w:r w:rsidRPr="00873E8A">
        <w:rPr>
          <w:u w:val="single"/>
        </w:rPr>
        <w:t>Methodologically</w:t>
      </w:r>
      <w:r w:rsidRPr="00A81284">
        <w:t>, the study presents an innovative behavioral data fusion technique to combine two datasets without a common identifier. Further, our approach strategically selects variables for initial matching and incorporates the remaining ones into a weight function, ensuring an optimal balance between sample size and important variables. This type of behavioral fusion is introduced for the first time in this paper (to the best of the authors' knowledge) and can be widely applied to various fields</w:t>
      </w:r>
      <w:r w:rsidR="00660D13">
        <w:t>.</w:t>
      </w:r>
    </w:p>
    <w:p w14:paraId="412CCED6" w14:textId="77777777" w:rsidR="006548DB" w:rsidRDefault="006548DB" w:rsidP="006548DB">
      <w:pPr>
        <w:ind w:firstLine="720"/>
      </w:pPr>
    </w:p>
    <w:p w14:paraId="76082F3B" w14:textId="6ED7F4CF" w:rsidR="00221DFD" w:rsidRDefault="00ED2BCB" w:rsidP="000B26F3">
      <w:pPr>
        <w:pStyle w:val="Heading1"/>
      </w:pPr>
      <w:r>
        <w:t xml:space="preserve">3 </w:t>
      </w:r>
      <w:r w:rsidR="000B26F3">
        <w:t xml:space="preserve">Experimental </w:t>
      </w:r>
      <w:r w:rsidR="00E45891">
        <w:t>Design</w:t>
      </w:r>
    </w:p>
    <w:p w14:paraId="78A1049C" w14:textId="12846882" w:rsidR="00CE2A1B" w:rsidRDefault="00CE2A1B" w:rsidP="00BB1028">
      <w:r>
        <w:t xml:space="preserve">The objective of the current research </w:t>
      </w:r>
      <w:r w:rsidR="007F08C8">
        <w:t xml:space="preserve">effort </w:t>
      </w:r>
      <w:r>
        <w:t>is to illustrate how we can fuse two disparate datasets</w:t>
      </w:r>
      <w:r w:rsidR="003F5902">
        <w:t xml:space="preserve"> to enhance the model development for a dependent variable present in the </w:t>
      </w:r>
      <w:r w:rsidR="006A354D">
        <w:t xml:space="preserve">RECS </w:t>
      </w:r>
      <w:r w:rsidR="003F5902">
        <w:t xml:space="preserve">dataset using variables from the </w:t>
      </w:r>
      <w:r w:rsidR="006A354D">
        <w:t xml:space="preserve">NHTS </w:t>
      </w:r>
      <w:r w:rsidR="003F5902">
        <w:t xml:space="preserve">dataset. </w:t>
      </w:r>
      <w:r w:rsidR="00AA6B4B">
        <w:t xml:space="preserve"> </w:t>
      </w:r>
      <w:r w:rsidR="0069408E">
        <w:t xml:space="preserve">In the presence of </w:t>
      </w:r>
      <w:r w:rsidR="00CD73D7">
        <w:t xml:space="preserve">a </w:t>
      </w:r>
      <w:r w:rsidR="0069408E">
        <w:t>set of common variables, t</w:t>
      </w:r>
      <w:r w:rsidR="0040073E">
        <w:t xml:space="preserve">he fusion process will be affected by several </w:t>
      </w:r>
      <w:r w:rsidR="0069408E">
        <w:t>aspects</w:t>
      </w:r>
      <w:r w:rsidR="0040073E">
        <w:t xml:space="preserve">: (1) how many deterministic matching variables will be used and how many probabilistic matching variables will be used, (2) how many records from the donor </w:t>
      </w:r>
      <w:r w:rsidR="0040073E">
        <w:lastRenderedPageBreak/>
        <w:t>dataset will be fused with each source record</w:t>
      </w:r>
      <w:r w:rsidR="004065EB">
        <w:t xml:space="preserve"> and (3) how will we assess the impact of randomness of fusion process on parameter stability. </w:t>
      </w:r>
    </w:p>
    <w:p w14:paraId="4C3820C6" w14:textId="77777777" w:rsidR="00CC7C18" w:rsidRDefault="0069408E" w:rsidP="00CC7C18">
      <w:r>
        <w:tab/>
        <w:t>In this section, we present an experimental setup documenting the structure of how the fusion process will be tested</w:t>
      </w:r>
      <w:r w:rsidR="006C570C">
        <w:t xml:space="preserve"> (see Figure </w:t>
      </w:r>
      <w:r w:rsidR="00292232">
        <w:t>2)</w:t>
      </w:r>
      <w:r>
        <w:t xml:space="preserve">. </w:t>
      </w:r>
      <w:r w:rsidR="006D127A" w:rsidRPr="006D127A">
        <w:t xml:space="preserve">The overall process consists of four stages: Data Source and Variable Identification, Data Fusion, Optimization, and Reliability Check. </w:t>
      </w:r>
      <w:r w:rsidR="006D127A" w:rsidRPr="00873E8A">
        <w:rPr>
          <w:u w:val="single"/>
        </w:rPr>
        <w:t>The initial stage</w:t>
      </w:r>
      <w:r w:rsidR="006D127A" w:rsidRPr="006D127A">
        <w:t xml:space="preserve"> involves identifying the two datasets for fusion: the source dataset that serves as the primary dataset for analysis and the donor dataset from which additional information will be incorporated. After identifying the two datasets, we will determine the common variables between them: these are the variables that form the basis of matching the source and donor dataset. </w:t>
      </w:r>
      <w:r w:rsidR="006D127A" w:rsidRPr="00873E8A">
        <w:rPr>
          <w:u w:val="single"/>
        </w:rPr>
        <w:t>The next stage</w:t>
      </w:r>
      <w:r w:rsidR="006D127A" w:rsidRPr="006D127A">
        <w:t xml:space="preserve"> is the Data Fusion, where the process begins by checking if it is possible to fuse the two datasets based on all common matching variables. If substantial matching records can be found for each record in the source dataset, the datasets are fused, and the model is developed. However, if matching records are insufficient, then a subset of those common variables is selected for the matching process, and the remaining variables are used in the weight function to allow for probabilistic matching. When selecting the subset of variables, different combinations can be used for fusion, including a single variable (e.g., matching by HH size) or variable groups comprising multiple variables (e.g., matching by HH size and location). </w:t>
      </w:r>
      <w:r w:rsidR="00E47360">
        <w:t>Based on the matching variables, we can identify potential candidates from donor dataset that can be a</w:t>
      </w:r>
      <w:r w:rsidR="009B7BA0">
        <w:t xml:space="preserve">ppended to </w:t>
      </w:r>
      <w:r w:rsidR="00E47360">
        <w:t xml:space="preserve">each source record. </w:t>
      </w:r>
      <w:r w:rsidR="00E47360" w:rsidRPr="00DA2AB5">
        <w:t>The matching process can result in a several records for each source record</w:t>
      </w:r>
      <w:r w:rsidR="008C6C59">
        <w:t xml:space="preserve"> (say M)</w:t>
      </w:r>
      <w:r w:rsidR="00E47360" w:rsidRPr="00DA2AB5">
        <w:t xml:space="preserve">. Hence, selecting a single record or selecting a set of records randomly might introduce bias. </w:t>
      </w:r>
      <w:r w:rsidR="00B61BE5" w:rsidRPr="00DA2AB5">
        <w:t>W</w:t>
      </w:r>
      <w:r w:rsidR="00E47360" w:rsidRPr="00DA2AB5">
        <w:t xml:space="preserve">e select a fixed number of records (say K) and </w:t>
      </w:r>
      <w:bookmarkStart w:id="18" w:name="_Hlk171035317"/>
      <w:r w:rsidR="00E47360" w:rsidRPr="00DA2AB5">
        <w:t xml:space="preserve">repeat the sampling process </w:t>
      </w:r>
      <w:r w:rsidR="00734E81" w:rsidRPr="00DA2AB5">
        <w:t xml:space="preserve">several times </w:t>
      </w:r>
      <w:bookmarkStart w:id="19" w:name="_Hlk114322080"/>
      <w:r w:rsidR="00734E81" w:rsidRPr="00DA2AB5">
        <w:t>(say N</w:t>
      </w:r>
      <w:r w:rsidR="00FC4926" w:rsidRPr="00DA2AB5">
        <w:t>=1</w:t>
      </w:r>
      <w:r w:rsidR="00CE0ADF" w:rsidRPr="00DA2AB5">
        <w:t>5</w:t>
      </w:r>
      <w:r w:rsidR="00365520">
        <w:t>)</w:t>
      </w:r>
      <w:r w:rsidR="00734E81" w:rsidRPr="00DA2AB5">
        <w:t xml:space="preserve">. </w:t>
      </w:r>
      <w:bookmarkEnd w:id="18"/>
      <w:bookmarkEnd w:id="19"/>
      <w:r w:rsidR="00CC28A7" w:rsidRPr="00CC28A7">
        <w:t>For example, let’s say we match RECS and NHTS based on HHsize and n</w:t>
      </w:r>
      <w:r w:rsidR="00AF4C4D">
        <w:t>umber of</w:t>
      </w:r>
      <w:r w:rsidR="00CC28A7" w:rsidRPr="00CC28A7">
        <w:t xml:space="preserve"> adults. By doing so, we find 100 potential matches (M=100) for each RECS HH from the NHTS dataset. However, </w:t>
      </w:r>
      <w:r w:rsidR="00CC28A7" w:rsidRPr="00CC28A7">
        <w:lastRenderedPageBreak/>
        <w:t xml:space="preserve">estimating models with all these fused records increases the model estimation burden. Hence, we start our fusion process by fixing the number of matching records to be </w:t>
      </w:r>
      <w:r w:rsidR="006D127A">
        <w:t>5</w:t>
      </w:r>
      <w:r w:rsidR="00CC28A7" w:rsidRPr="00CC28A7">
        <w:t xml:space="preserve"> (K=</w:t>
      </w:r>
      <w:r w:rsidR="006D127A">
        <w:t>5</w:t>
      </w:r>
      <w:r w:rsidR="00CC28A7" w:rsidRPr="00CC28A7">
        <w:t>) and generate 15 mutually exclusive samples (N=15).</w:t>
      </w:r>
      <w:r w:rsidR="00CC28A7">
        <w:t xml:space="preserve"> </w:t>
      </w:r>
      <w:r w:rsidR="006D127A" w:rsidRPr="006D127A">
        <w:t xml:space="preserve"> Now, with these samples established, we run N number of models for all the samples with new variables from the NHTS dataset (donor dataset) and evaluate if the average model fit in terms of log-likelihood has improved relative to the model estimated on the RECS dataset only (source dataset). </w:t>
      </w:r>
    </w:p>
    <w:p w14:paraId="0339008D" w14:textId="58834240" w:rsidR="00E25D47" w:rsidRPr="00E25D47" w:rsidRDefault="00E25D47" w:rsidP="00E25D47">
      <w:pPr>
        <w:rPr>
          <w:lang w:val="en-US"/>
        </w:rPr>
      </w:pPr>
      <w:r w:rsidRPr="00E25D47">
        <w:rPr>
          <w:noProof/>
          <w:lang w:val="en-US"/>
        </w:rPr>
        <w:drawing>
          <wp:inline distT="0" distB="0" distL="0" distR="0" wp14:anchorId="551AE110" wp14:editId="1E0BBA9C">
            <wp:extent cx="5943600" cy="5681980"/>
            <wp:effectExtent l="0" t="0" r="0" b="0"/>
            <wp:docPr id="1320721877" name="Picture 4"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21877" name="Picture 4" descr="A diagram of a flow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681980"/>
                    </a:xfrm>
                    <a:prstGeom prst="rect">
                      <a:avLst/>
                    </a:prstGeom>
                    <a:noFill/>
                    <a:ln>
                      <a:noFill/>
                    </a:ln>
                  </pic:spPr>
                </pic:pic>
              </a:graphicData>
            </a:graphic>
          </wp:inline>
        </w:drawing>
      </w:r>
    </w:p>
    <w:p w14:paraId="67CE40AE" w14:textId="77777777" w:rsidR="00CC7C18" w:rsidRDefault="00CC7C18" w:rsidP="00CC7C18">
      <w:pPr>
        <w:ind w:firstLine="720"/>
      </w:pPr>
      <w:r w:rsidRPr="006D127A">
        <w:lastRenderedPageBreak/>
        <w:t xml:space="preserve">The process then proceeds to the </w:t>
      </w:r>
      <w:r w:rsidRPr="00873E8A">
        <w:rPr>
          <w:u w:val="single"/>
        </w:rPr>
        <w:t>Optimization stage</w:t>
      </w:r>
      <w:r w:rsidRPr="006D127A">
        <w:t>. During this stage, the data fusion process is repeated multiple times with varying matching variable combinations to determine which variables offer the best improvement over the non-fused model. The variable (or variable combination) that offers the most significant improvement is identified as the optimal matching variable (or variable combination). The next step is to determine the optimal number of records to be matched between the source and donor datasets.</w:t>
      </w:r>
      <w:r>
        <w:t xml:space="preserve"> </w:t>
      </w:r>
      <w:r w:rsidRPr="006D127A">
        <w:t xml:space="preserve">For the selected X matching variable (or matching combination), the process tests if changing K (3, 5, 10, 15, 20, 40, 50) affects the average log-likelihood improvement. The examination ensuring that the improvement is not a random occurrence and is consistent for different numbers of matched records. The K providing the highest improvement is selected, representing the optimal number of matched records for the fusion process. Once the optimal X and K values are identified, the next step is to check the robustness of the fusion process, which is conducted in the final stage of the experimental setup named Reliability Check (see Figure 2). It is possible that the model developed from the fused dataset based on X and K can differ from the model developed on a different sample with the same X and K, due to the random selection of K records. For instance, if 10 records are identified as the optimal match out of 100 possible matches, the first sample might include a randomly selected set of 10 records, while a different set of 10 records might be selected for the second sample. Consequently, the models developed from these two samples could vary significantly. If substantial differences are observed between the models, it indicates that the results are highly dependent on the randomness of the selection process. Therefore, ensuring the reliability of the fusion process is crucial to validate the stability and robustness of the model outcomes. To check this, we generate S number of samples (S=25) considering the selected X and K and develop the same model for all S samples. </w:t>
      </w:r>
      <w:r>
        <w:t xml:space="preserve">After that, we evaluate the consistency of the models at a parameter level i.e., we check </w:t>
      </w:r>
      <w:r>
        <w:lastRenderedPageBreak/>
        <w:t xml:space="preserve">if the parameters remain stable across all S samples of the data for that K. </w:t>
      </w:r>
      <w:r w:rsidRPr="006D127A">
        <w:t>To be specific, we compare the models across the S samples using an approximate t-test to see if these parameters vary across the samples. If we find any variation across the samples, then it lends evidence to instability in parameter magnitudes and signs. Therefore, that corresponding X is excluded from the fusion process, and we proceed to test the next best combination of X and K. This process is repeated until all criteria are satisfied, ensuring that the identified X and K values lead to consistent and reliable improvements, as confirmed through the reliability check.</w:t>
      </w:r>
      <w:r>
        <w:t xml:space="preserve"> </w:t>
      </w:r>
    </w:p>
    <w:p w14:paraId="761B95AA" w14:textId="77777777" w:rsidR="00DB19C4" w:rsidRDefault="00DB19C4" w:rsidP="00DB19C4">
      <w:pPr>
        <w:rPr>
          <w:b/>
          <w:bCs/>
        </w:rPr>
      </w:pPr>
    </w:p>
    <w:p w14:paraId="21CC23A7" w14:textId="4E61974F" w:rsidR="008C5E86" w:rsidRPr="00BB1028" w:rsidRDefault="00ED2BCB" w:rsidP="00DB19C4">
      <w:pPr>
        <w:pStyle w:val="Heading1"/>
      </w:pPr>
      <w:r>
        <w:t xml:space="preserve">4 </w:t>
      </w:r>
      <w:r w:rsidR="008C5E86">
        <w:t>Data Description</w:t>
      </w:r>
    </w:p>
    <w:p w14:paraId="2F808095" w14:textId="3D8322D3" w:rsidR="008C5E86" w:rsidRDefault="008C5E86" w:rsidP="00F742B6">
      <w:r>
        <w:t>The dependent variable of interest in our research is energy usage by fuel type (electricity and natural gas) in residential dwellings. The energy use data is drawn from the 2015</w:t>
      </w:r>
      <w:r w:rsidRPr="00313770">
        <w:t xml:space="preserve"> Residential Energy Consumption Survey (RECS)</w:t>
      </w:r>
      <w:r>
        <w:t xml:space="preserve"> administered by </w:t>
      </w:r>
      <w:r>
        <w:rPr>
          <w:rFonts w:eastAsia="Times New Roman"/>
        </w:rPr>
        <w:t>US</w:t>
      </w:r>
      <w:r w:rsidRPr="001F752B">
        <w:rPr>
          <w:rFonts w:eastAsia="Times New Roman"/>
        </w:rPr>
        <w:t xml:space="preserve"> EIA</w:t>
      </w:r>
      <w:r>
        <w:rPr>
          <w:rFonts w:eastAsia="Times New Roman"/>
        </w:rPr>
        <w:t xml:space="preserve">. </w:t>
      </w:r>
      <w:r>
        <w:t xml:space="preserve">The RECS data, for </w:t>
      </w:r>
      <w:r w:rsidR="00A20809">
        <w:t>5,686</w:t>
      </w:r>
      <w:r>
        <w:t xml:space="preserve"> households, provides detailed information on energy usage, housing characteristics (such as construction period, number of rooms, bedrooms), appliances used (such as</w:t>
      </w:r>
      <w:r w:rsidDel="00B87DCA">
        <w:t xml:space="preserve"> </w:t>
      </w:r>
      <w:r>
        <w:t>internet, mobile phone, number of refrigerators, desktop, use of ac and heater); location related variables (such as</w:t>
      </w:r>
      <w:r w:rsidDel="00B87DCA">
        <w:t xml:space="preserve"> </w:t>
      </w:r>
      <w:r>
        <w:t>census division, area of the household: rural/urban); and climatic variables (such as</w:t>
      </w:r>
      <w:r w:rsidDel="00B87DCA">
        <w:t xml:space="preserve"> </w:t>
      </w:r>
      <w:r>
        <w:t xml:space="preserve">number of cooling and heating degree days). </w:t>
      </w:r>
      <w:r w:rsidR="002F0228">
        <w:t>Out of these 5</w:t>
      </w:r>
      <w:r w:rsidR="00704F92">
        <w:t>,</w:t>
      </w:r>
      <w:r w:rsidR="002F0228">
        <w:t>686 households, we randomly selected 4,000 household</w:t>
      </w:r>
      <w:r w:rsidR="00F9110C">
        <w:t>s</w:t>
      </w:r>
      <w:r w:rsidR="002F0228">
        <w:t xml:space="preserve"> as our estimation sample and the remaining 1,686 households we</w:t>
      </w:r>
      <w:r w:rsidR="00704F92">
        <w:t>re</w:t>
      </w:r>
      <w:r w:rsidR="002F0228">
        <w:t xml:space="preserve"> set aside for validation </w:t>
      </w:r>
      <w:r w:rsidR="00AB7D45">
        <w:t>exercise</w:t>
      </w:r>
      <w:r w:rsidR="002F0228">
        <w:t xml:space="preserve">.  </w:t>
      </w:r>
      <w:r>
        <w:t xml:space="preserve">Several relevant variables are missing in RECS data such as the number of </w:t>
      </w:r>
      <w:r>
        <w:rPr>
          <w:rFonts w:cs="Times New Roman"/>
          <w:lang w:val="en-US"/>
        </w:rPr>
        <w:t xml:space="preserve">employed individuals, number of female household members, </w:t>
      </w:r>
      <w:r w:rsidR="008A34EC">
        <w:rPr>
          <w:rFonts w:cs="Times New Roman"/>
          <w:lang w:val="en-US"/>
        </w:rPr>
        <w:t>number of drivers and worker</w:t>
      </w:r>
      <w:r w:rsidR="003B4260">
        <w:rPr>
          <w:rFonts w:cs="Times New Roman"/>
          <w:lang w:val="en-US"/>
        </w:rPr>
        <w:t>s</w:t>
      </w:r>
      <w:r w:rsidR="008A34EC">
        <w:rPr>
          <w:rFonts w:cs="Times New Roman"/>
          <w:lang w:val="en-US"/>
        </w:rPr>
        <w:t xml:space="preserve"> in the household, </w:t>
      </w:r>
      <w:r>
        <w:rPr>
          <w:rFonts w:cs="Times New Roman"/>
          <w:lang w:val="en-US"/>
        </w:rPr>
        <w:t>household vehicle ownership, population density</w:t>
      </w:r>
      <w:r w:rsidR="008A34EC">
        <w:rPr>
          <w:rFonts w:cs="Times New Roman"/>
          <w:lang w:val="en-US"/>
        </w:rPr>
        <w:t>, and daily travel pattern (like use of car, bike, transit, walk on a daily basis)</w:t>
      </w:r>
      <w:r>
        <w:rPr>
          <w:rFonts w:cs="Times New Roman"/>
          <w:lang w:val="en-US"/>
        </w:rPr>
        <w:t>.</w:t>
      </w:r>
      <w:r>
        <w:t xml:space="preserve"> To evaluate the potential value of this information, we </w:t>
      </w:r>
      <w:r>
        <w:rPr>
          <w:rFonts w:cs="Times New Roman"/>
          <w:lang w:val="en-US"/>
        </w:rPr>
        <w:lastRenderedPageBreak/>
        <w:t>employ the NHTS survey data that provides information on the missing variables as a potential donor dataset.</w:t>
      </w:r>
      <w:r>
        <w:t xml:space="preserve"> The RECS and NHTS datasets share seven variables</w:t>
      </w:r>
      <w:r w:rsidR="003B4260">
        <w:t xml:space="preserve"> </w:t>
      </w:r>
      <w:r>
        <w:t>along two dimensions: HH related factors (such as household size, no. of adults in HH, race and home ownership status) and location related variables (HH region, HH division, HH location classified as rural/urban).</w:t>
      </w:r>
      <w:r w:rsidR="00355D03">
        <w:t xml:space="preserve"> Table 1 presents detailed summary </w:t>
      </w:r>
      <w:r w:rsidR="0087083D">
        <w:t>statistic</w:t>
      </w:r>
      <w:r w:rsidR="00640451">
        <w:t>s</w:t>
      </w:r>
      <w:r w:rsidR="00355D03">
        <w:t xml:space="preserve"> </w:t>
      </w:r>
      <w:r w:rsidR="0087083D">
        <w:t xml:space="preserve">for both dependent and independent variables from both RECS and NHTS dataset respectively. </w:t>
      </w:r>
      <w:r w:rsidR="005A44A8">
        <w:t xml:space="preserve"> </w:t>
      </w:r>
      <w:r w:rsidR="000E4190" w:rsidRPr="000E4190">
        <w:t xml:space="preserve">Further, before proceeding with the fusion, we checked the distribution of households across the two datasets based on all common variables. The comparison is presented in Figure </w:t>
      </w:r>
      <w:r w:rsidR="000E4190">
        <w:t>3</w:t>
      </w:r>
      <w:r w:rsidR="000E4190" w:rsidRPr="000E4190">
        <w:t>, and as can be seen, the distributions of the households from both datasets are quite comparable, thereby validating the alignment of the datasets for meaningful fusion. This step is crucial as it ensures that the two datasets represent similar populations, minimizing potential discrepancies</w:t>
      </w:r>
      <w:r w:rsidR="000E4190">
        <w:t>.</w:t>
      </w:r>
    </w:p>
    <w:p w14:paraId="54A28AD7" w14:textId="50FAF7E1" w:rsidR="00762563" w:rsidRPr="00371BFA" w:rsidRDefault="00762563" w:rsidP="008C5E86">
      <w:pPr>
        <w:rPr>
          <w:b/>
          <w:bCs/>
        </w:rPr>
      </w:pPr>
      <w:r w:rsidRPr="00371BFA">
        <w:rPr>
          <w:b/>
          <w:bCs/>
        </w:rPr>
        <w:t>T</w:t>
      </w:r>
      <w:r w:rsidR="00615DB6" w:rsidRPr="00371BFA">
        <w:rPr>
          <w:b/>
          <w:bCs/>
        </w:rPr>
        <w:t>able</w:t>
      </w:r>
      <w:r w:rsidRPr="00371BFA">
        <w:rPr>
          <w:b/>
          <w:bCs/>
        </w:rPr>
        <w:t xml:space="preserve"> 1: Dependent and Independent Variable</w:t>
      </w:r>
      <w:r w:rsidR="000B26F3">
        <w:rPr>
          <w:b/>
          <w:bCs/>
        </w:rPr>
        <w:t>s</w:t>
      </w:r>
      <w:r w:rsidRPr="00371BFA">
        <w:rPr>
          <w:b/>
          <w:bCs/>
        </w:rPr>
        <w:t xml:space="preserve"> </w:t>
      </w:r>
      <w:r w:rsidR="00C37652">
        <w:rPr>
          <w:b/>
          <w:bCs/>
        </w:rPr>
        <w:t xml:space="preserve">Summary </w:t>
      </w:r>
      <w:r w:rsidRPr="00371BFA">
        <w:rPr>
          <w:b/>
          <w:bCs/>
        </w:rPr>
        <w:t>from RECS and NHTS</w:t>
      </w:r>
      <w:r w:rsidR="00C37652">
        <w:rPr>
          <w:b/>
          <w:bCs/>
        </w:rPr>
        <w:t xml:space="preserve"> Data</w:t>
      </w:r>
    </w:p>
    <w:tbl>
      <w:tblPr>
        <w:tblW w:w="89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1260"/>
        <w:gridCol w:w="1243"/>
        <w:gridCol w:w="1099"/>
      </w:tblGrid>
      <w:tr w:rsidR="00C36B8B" w:rsidRPr="007E26CA" w14:paraId="1EEBE5CE" w14:textId="77777777" w:rsidTr="005E7339">
        <w:trPr>
          <w:trHeight w:val="300"/>
        </w:trPr>
        <w:tc>
          <w:tcPr>
            <w:tcW w:w="5385" w:type="dxa"/>
            <w:tcBorders>
              <w:top w:val="double" w:sz="4" w:space="0" w:color="auto"/>
              <w:bottom w:val="double" w:sz="4" w:space="0" w:color="auto"/>
            </w:tcBorders>
            <w:shd w:val="clear" w:color="auto" w:fill="auto"/>
            <w:noWrap/>
            <w:vAlign w:val="center"/>
          </w:tcPr>
          <w:p w14:paraId="585B2A4B" w14:textId="77777777" w:rsidR="00C36B8B" w:rsidRPr="0013156A" w:rsidRDefault="00C36B8B" w:rsidP="00371BFA">
            <w:pPr>
              <w:spacing w:line="240" w:lineRule="auto"/>
              <w:jc w:val="left"/>
              <w:rPr>
                <w:rFonts w:cs="Times New Roman"/>
                <w:b/>
                <w:bCs/>
                <w:szCs w:val="24"/>
              </w:rPr>
            </w:pPr>
            <w:r w:rsidRPr="0013156A">
              <w:rPr>
                <w:rFonts w:cs="Times New Roman"/>
                <w:b/>
                <w:bCs/>
                <w:szCs w:val="24"/>
              </w:rPr>
              <w:t>Variable</w:t>
            </w:r>
          </w:p>
        </w:tc>
        <w:tc>
          <w:tcPr>
            <w:tcW w:w="1260" w:type="dxa"/>
            <w:tcBorders>
              <w:top w:val="double" w:sz="4" w:space="0" w:color="auto"/>
              <w:bottom w:val="double" w:sz="4" w:space="0" w:color="auto"/>
            </w:tcBorders>
            <w:shd w:val="clear" w:color="auto" w:fill="auto"/>
            <w:noWrap/>
            <w:vAlign w:val="center"/>
          </w:tcPr>
          <w:p w14:paraId="3C725DCE" w14:textId="77777777" w:rsidR="00C36B8B" w:rsidRPr="009E7940" w:rsidRDefault="00C36B8B" w:rsidP="00371BFA">
            <w:pPr>
              <w:spacing w:line="240" w:lineRule="auto"/>
              <w:jc w:val="left"/>
              <w:rPr>
                <w:rFonts w:cs="Times New Roman"/>
                <w:b/>
                <w:bCs/>
                <w:i/>
                <w:iCs/>
                <w:szCs w:val="24"/>
              </w:rPr>
            </w:pPr>
            <w:r w:rsidRPr="009E7940">
              <w:rPr>
                <w:rFonts w:cs="Times New Roman"/>
                <w:b/>
                <w:bCs/>
                <w:i/>
                <w:iCs/>
                <w:szCs w:val="24"/>
              </w:rPr>
              <w:t xml:space="preserve">Minimum </w:t>
            </w:r>
          </w:p>
        </w:tc>
        <w:tc>
          <w:tcPr>
            <w:tcW w:w="1243" w:type="dxa"/>
            <w:tcBorders>
              <w:top w:val="double" w:sz="4" w:space="0" w:color="auto"/>
              <w:bottom w:val="double" w:sz="4" w:space="0" w:color="auto"/>
            </w:tcBorders>
            <w:shd w:val="clear" w:color="auto" w:fill="auto"/>
            <w:noWrap/>
            <w:vAlign w:val="center"/>
          </w:tcPr>
          <w:p w14:paraId="0A858A85" w14:textId="77777777" w:rsidR="00C36B8B" w:rsidRPr="009E7940" w:rsidRDefault="00C36B8B" w:rsidP="00371BFA">
            <w:pPr>
              <w:spacing w:line="240" w:lineRule="auto"/>
              <w:jc w:val="left"/>
              <w:rPr>
                <w:rFonts w:cs="Times New Roman"/>
                <w:b/>
                <w:bCs/>
                <w:i/>
                <w:iCs/>
                <w:szCs w:val="24"/>
              </w:rPr>
            </w:pPr>
            <w:r w:rsidRPr="009E7940">
              <w:rPr>
                <w:rFonts w:cs="Times New Roman"/>
                <w:b/>
                <w:bCs/>
                <w:i/>
                <w:iCs/>
                <w:szCs w:val="24"/>
              </w:rPr>
              <w:t>Maximum</w:t>
            </w:r>
          </w:p>
        </w:tc>
        <w:tc>
          <w:tcPr>
            <w:tcW w:w="1099" w:type="dxa"/>
            <w:tcBorders>
              <w:top w:val="double" w:sz="4" w:space="0" w:color="auto"/>
              <w:bottom w:val="double" w:sz="4" w:space="0" w:color="auto"/>
            </w:tcBorders>
            <w:vAlign w:val="center"/>
          </w:tcPr>
          <w:p w14:paraId="401FCC42" w14:textId="77777777" w:rsidR="00C36B8B" w:rsidRPr="009E7940" w:rsidRDefault="00C36B8B" w:rsidP="00371BFA">
            <w:pPr>
              <w:spacing w:line="240" w:lineRule="auto"/>
              <w:jc w:val="left"/>
              <w:rPr>
                <w:rFonts w:cs="Times New Roman"/>
                <w:b/>
                <w:bCs/>
                <w:i/>
                <w:iCs/>
                <w:szCs w:val="24"/>
              </w:rPr>
            </w:pPr>
            <w:r w:rsidRPr="009E7940">
              <w:rPr>
                <w:rFonts w:cs="Times New Roman"/>
                <w:b/>
                <w:bCs/>
                <w:i/>
                <w:iCs/>
                <w:szCs w:val="24"/>
              </w:rPr>
              <w:t>Average</w:t>
            </w:r>
          </w:p>
        </w:tc>
      </w:tr>
      <w:tr w:rsidR="00C36B8B" w:rsidRPr="007E26CA" w14:paraId="40C30D7A" w14:textId="77777777" w:rsidTr="00400298">
        <w:trPr>
          <w:trHeight w:val="300"/>
        </w:trPr>
        <w:tc>
          <w:tcPr>
            <w:tcW w:w="8987" w:type="dxa"/>
            <w:gridSpan w:val="4"/>
            <w:tcBorders>
              <w:top w:val="double" w:sz="4" w:space="0" w:color="auto"/>
              <w:bottom w:val="double" w:sz="4" w:space="0" w:color="auto"/>
            </w:tcBorders>
            <w:shd w:val="clear" w:color="auto" w:fill="auto"/>
            <w:noWrap/>
            <w:vAlign w:val="center"/>
          </w:tcPr>
          <w:p w14:paraId="5ADBE3E7" w14:textId="77777777" w:rsidR="00C36B8B" w:rsidRPr="007E26CA" w:rsidRDefault="00C36B8B" w:rsidP="00371BFA">
            <w:pPr>
              <w:spacing w:line="240" w:lineRule="auto"/>
              <w:jc w:val="left"/>
              <w:rPr>
                <w:rFonts w:cs="Times New Roman"/>
                <w:szCs w:val="24"/>
              </w:rPr>
            </w:pPr>
            <w:r w:rsidRPr="007E26CA">
              <w:rPr>
                <w:rFonts w:cs="Times New Roman"/>
                <w:b/>
                <w:bCs/>
                <w:szCs w:val="24"/>
              </w:rPr>
              <w:t>Dependent Variables form RECS</w:t>
            </w:r>
          </w:p>
        </w:tc>
      </w:tr>
      <w:tr w:rsidR="00C36B8B" w:rsidRPr="007E26CA" w14:paraId="76CC9E3E" w14:textId="77777777" w:rsidTr="005E7339">
        <w:trPr>
          <w:trHeight w:val="300"/>
        </w:trPr>
        <w:tc>
          <w:tcPr>
            <w:tcW w:w="5385" w:type="dxa"/>
            <w:shd w:val="clear" w:color="auto" w:fill="auto"/>
            <w:noWrap/>
            <w:vAlign w:val="center"/>
          </w:tcPr>
          <w:p w14:paraId="15E8E521"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 xml:space="preserve">Electricity usage (in </w:t>
            </w:r>
            <w:r w:rsidRPr="007E26CA">
              <w:rPr>
                <w:rFonts w:cs="Times New Roman"/>
                <w:szCs w:val="24"/>
              </w:rPr>
              <w:t>10^6 BTU)</w:t>
            </w:r>
          </w:p>
        </w:tc>
        <w:tc>
          <w:tcPr>
            <w:tcW w:w="1260" w:type="dxa"/>
            <w:shd w:val="clear" w:color="auto" w:fill="auto"/>
            <w:noWrap/>
            <w:vAlign w:val="center"/>
          </w:tcPr>
          <w:p w14:paraId="22AAD45E" w14:textId="77777777" w:rsidR="00C36B8B" w:rsidRPr="007E26CA" w:rsidRDefault="00C36B8B" w:rsidP="00371BFA">
            <w:pPr>
              <w:spacing w:line="240" w:lineRule="auto"/>
              <w:jc w:val="center"/>
              <w:rPr>
                <w:rFonts w:cs="Times New Roman"/>
                <w:szCs w:val="24"/>
              </w:rPr>
            </w:pPr>
            <w:r w:rsidRPr="007E26CA">
              <w:rPr>
                <w:rFonts w:cs="Times New Roman"/>
                <w:szCs w:val="24"/>
              </w:rPr>
              <w:t>0.20</w:t>
            </w:r>
            <w:r>
              <w:rPr>
                <w:rFonts w:cs="Times New Roman"/>
                <w:szCs w:val="24"/>
              </w:rPr>
              <w:t>0</w:t>
            </w:r>
          </w:p>
        </w:tc>
        <w:tc>
          <w:tcPr>
            <w:tcW w:w="1243" w:type="dxa"/>
            <w:shd w:val="clear" w:color="auto" w:fill="auto"/>
            <w:noWrap/>
            <w:vAlign w:val="center"/>
          </w:tcPr>
          <w:p w14:paraId="0EA1E887" w14:textId="77777777" w:rsidR="00C36B8B" w:rsidRPr="007E26CA" w:rsidRDefault="00C36B8B" w:rsidP="00371BFA">
            <w:pPr>
              <w:spacing w:line="240" w:lineRule="auto"/>
              <w:jc w:val="center"/>
              <w:rPr>
                <w:rFonts w:cs="Times New Roman"/>
                <w:szCs w:val="24"/>
              </w:rPr>
            </w:pPr>
            <w:r w:rsidRPr="007E26CA">
              <w:rPr>
                <w:rFonts w:cs="Times New Roman"/>
                <w:szCs w:val="24"/>
              </w:rPr>
              <w:t>215.69</w:t>
            </w:r>
          </w:p>
        </w:tc>
        <w:tc>
          <w:tcPr>
            <w:tcW w:w="1099" w:type="dxa"/>
            <w:vAlign w:val="center"/>
          </w:tcPr>
          <w:p w14:paraId="7462365E" w14:textId="77777777" w:rsidR="00C36B8B" w:rsidRPr="007E26CA" w:rsidRDefault="00C36B8B" w:rsidP="00371BFA">
            <w:pPr>
              <w:spacing w:line="240" w:lineRule="auto"/>
              <w:jc w:val="center"/>
              <w:rPr>
                <w:rFonts w:cs="Times New Roman"/>
                <w:szCs w:val="24"/>
              </w:rPr>
            </w:pPr>
            <w:r w:rsidRPr="007E26CA">
              <w:rPr>
                <w:rFonts w:eastAsia="Times New Roman" w:cs="Times New Roman"/>
                <w:szCs w:val="24"/>
              </w:rPr>
              <w:t>37.73</w:t>
            </w:r>
          </w:p>
        </w:tc>
      </w:tr>
      <w:tr w:rsidR="00C36B8B" w:rsidRPr="007E26CA" w14:paraId="31F7FADF" w14:textId="77777777" w:rsidTr="005E7339">
        <w:trPr>
          <w:trHeight w:val="300"/>
        </w:trPr>
        <w:tc>
          <w:tcPr>
            <w:tcW w:w="5385" w:type="dxa"/>
            <w:shd w:val="clear" w:color="auto" w:fill="auto"/>
            <w:noWrap/>
            <w:vAlign w:val="center"/>
          </w:tcPr>
          <w:p w14:paraId="22DFB885"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 xml:space="preserve">Natural gas usage (in </w:t>
            </w:r>
            <w:r w:rsidRPr="007E26CA">
              <w:rPr>
                <w:rFonts w:cs="Times New Roman"/>
                <w:szCs w:val="24"/>
              </w:rPr>
              <w:t>10^6 BTU)</w:t>
            </w:r>
          </w:p>
        </w:tc>
        <w:tc>
          <w:tcPr>
            <w:tcW w:w="1260" w:type="dxa"/>
            <w:shd w:val="clear" w:color="auto" w:fill="auto"/>
            <w:noWrap/>
            <w:vAlign w:val="center"/>
          </w:tcPr>
          <w:p w14:paraId="7BB693DD" w14:textId="77777777" w:rsidR="00C36B8B" w:rsidRPr="007E26CA" w:rsidRDefault="00C36B8B" w:rsidP="00371BFA">
            <w:pPr>
              <w:spacing w:line="240" w:lineRule="auto"/>
              <w:jc w:val="center"/>
              <w:rPr>
                <w:rFonts w:cs="Times New Roman"/>
                <w:szCs w:val="24"/>
              </w:rPr>
            </w:pPr>
            <w:r w:rsidRPr="007E26CA">
              <w:rPr>
                <w:rFonts w:cs="Times New Roman"/>
                <w:szCs w:val="24"/>
              </w:rPr>
              <w:t>0</w:t>
            </w:r>
            <w:r>
              <w:rPr>
                <w:rFonts w:cs="Times New Roman"/>
                <w:szCs w:val="24"/>
              </w:rPr>
              <w:t>.000</w:t>
            </w:r>
          </w:p>
        </w:tc>
        <w:tc>
          <w:tcPr>
            <w:tcW w:w="1243" w:type="dxa"/>
            <w:shd w:val="clear" w:color="auto" w:fill="auto"/>
            <w:noWrap/>
            <w:vAlign w:val="center"/>
          </w:tcPr>
          <w:p w14:paraId="2653856A" w14:textId="77777777" w:rsidR="00C36B8B" w:rsidRPr="007E26CA" w:rsidRDefault="00C36B8B" w:rsidP="00371BFA">
            <w:pPr>
              <w:spacing w:line="240" w:lineRule="auto"/>
              <w:jc w:val="center"/>
              <w:rPr>
                <w:rFonts w:cs="Times New Roman"/>
                <w:szCs w:val="24"/>
              </w:rPr>
            </w:pPr>
            <w:r w:rsidRPr="007E26CA">
              <w:rPr>
                <w:rFonts w:cs="Times New Roman"/>
                <w:szCs w:val="24"/>
              </w:rPr>
              <w:t>306.59</w:t>
            </w:r>
          </w:p>
        </w:tc>
        <w:tc>
          <w:tcPr>
            <w:tcW w:w="1099" w:type="dxa"/>
            <w:vAlign w:val="center"/>
          </w:tcPr>
          <w:p w14:paraId="6D31FE5C" w14:textId="77777777" w:rsidR="00C36B8B" w:rsidRPr="007E26CA" w:rsidRDefault="00C36B8B" w:rsidP="00371BFA">
            <w:pPr>
              <w:spacing w:line="240" w:lineRule="auto"/>
              <w:jc w:val="center"/>
              <w:rPr>
                <w:rFonts w:cs="Times New Roman"/>
                <w:szCs w:val="24"/>
              </w:rPr>
            </w:pPr>
            <w:r w:rsidRPr="007E26CA">
              <w:rPr>
                <w:rFonts w:cs="Times New Roman"/>
                <w:szCs w:val="24"/>
              </w:rPr>
              <w:t>33.54</w:t>
            </w:r>
          </w:p>
        </w:tc>
      </w:tr>
      <w:tr w:rsidR="00C36B8B" w:rsidRPr="007E26CA" w14:paraId="2B571D87" w14:textId="77777777" w:rsidTr="00400298">
        <w:trPr>
          <w:trHeight w:val="300"/>
        </w:trPr>
        <w:tc>
          <w:tcPr>
            <w:tcW w:w="8987" w:type="dxa"/>
            <w:gridSpan w:val="4"/>
            <w:shd w:val="clear" w:color="auto" w:fill="auto"/>
            <w:noWrap/>
            <w:vAlign w:val="center"/>
          </w:tcPr>
          <w:p w14:paraId="116002C6" w14:textId="16137C91" w:rsidR="00C36B8B" w:rsidRPr="007E26CA" w:rsidRDefault="00C36B8B" w:rsidP="00371BFA">
            <w:pPr>
              <w:spacing w:line="240" w:lineRule="auto"/>
              <w:jc w:val="left"/>
              <w:rPr>
                <w:rFonts w:eastAsia="Times New Roman" w:cs="Times New Roman"/>
                <w:color w:val="000000"/>
                <w:szCs w:val="24"/>
                <w:lang w:val="en-US"/>
              </w:rPr>
            </w:pPr>
            <w:r w:rsidRPr="007E26CA">
              <w:rPr>
                <w:rFonts w:cs="Times New Roman"/>
                <w:b/>
                <w:bCs/>
                <w:szCs w:val="24"/>
              </w:rPr>
              <w:t>Independent Variable</w:t>
            </w:r>
            <w:r w:rsidR="00640451">
              <w:rPr>
                <w:rFonts w:cs="Times New Roman"/>
                <w:b/>
                <w:bCs/>
                <w:szCs w:val="24"/>
              </w:rPr>
              <w:t>s</w:t>
            </w:r>
            <w:r w:rsidRPr="007E26CA">
              <w:rPr>
                <w:rFonts w:cs="Times New Roman"/>
                <w:b/>
                <w:bCs/>
                <w:szCs w:val="24"/>
              </w:rPr>
              <w:t xml:space="preserve"> from RECS</w:t>
            </w:r>
          </w:p>
        </w:tc>
      </w:tr>
      <w:tr w:rsidR="00C36B8B" w:rsidRPr="007E26CA" w14:paraId="58B20784" w14:textId="77777777" w:rsidTr="00400298">
        <w:trPr>
          <w:trHeight w:val="300"/>
        </w:trPr>
        <w:tc>
          <w:tcPr>
            <w:tcW w:w="8987" w:type="dxa"/>
            <w:gridSpan w:val="4"/>
            <w:shd w:val="clear" w:color="auto" w:fill="auto"/>
            <w:noWrap/>
            <w:vAlign w:val="center"/>
          </w:tcPr>
          <w:p w14:paraId="48149557" w14:textId="77777777" w:rsidR="00C36B8B" w:rsidRPr="007E26CA" w:rsidRDefault="00C36B8B" w:rsidP="00371BFA">
            <w:pPr>
              <w:spacing w:line="240" w:lineRule="auto"/>
              <w:jc w:val="left"/>
              <w:rPr>
                <w:rFonts w:eastAsia="Times New Roman" w:cs="Times New Roman"/>
                <w:color w:val="000000"/>
                <w:szCs w:val="24"/>
                <w:lang w:val="en-US"/>
              </w:rPr>
            </w:pPr>
            <w:r w:rsidRPr="007E26CA">
              <w:rPr>
                <w:rFonts w:cs="Times New Roman"/>
                <w:i/>
                <w:iCs/>
                <w:szCs w:val="24"/>
              </w:rPr>
              <w:t>HH Characteristics</w:t>
            </w:r>
          </w:p>
        </w:tc>
      </w:tr>
      <w:tr w:rsidR="00C36B8B" w:rsidRPr="007E26CA" w14:paraId="454A81B5" w14:textId="77777777" w:rsidTr="005E7339">
        <w:trPr>
          <w:trHeight w:val="300"/>
        </w:trPr>
        <w:tc>
          <w:tcPr>
            <w:tcW w:w="5385" w:type="dxa"/>
            <w:shd w:val="clear" w:color="auto" w:fill="auto"/>
            <w:noWrap/>
            <w:vAlign w:val="center"/>
          </w:tcPr>
          <w:p w14:paraId="40D735C9"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Total square footage</w:t>
            </w:r>
          </w:p>
        </w:tc>
        <w:tc>
          <w:tcPr>
            <w:tcW w:w="1260" w:type="dxa"/>
            <w:shd w:val="clear" w:color="auto" w:fill="auto"/>
            <w:noWrap/>
            <w:vAlign w:val="center"/>
          </w:tcPr>
          <w:p w14:paraId="1B3729E7" w14:textId="77777777" w:rsidR="00C36B8B" w:rsidRPr="007E26CA" w:rsidRDefault="00C36B8B" w:rsidP="00371BFA">
            <w:pPr>
              <w:spacing w:line="240" w:lineRule="auto"/>
              <w:jc w:val="center"/>
              <w:rPr>
                <w:rFonts w:eastAsia="Times New Roman" w:cs="Times New Roman"/>
                <w:color w:val="000000"/>
                <w:szCs w:val="24"/>
                <w:lang w:val="en-US"/>
              </w:rPr>
            </w:pPr>
            <w:r w:rsidRPr="007E26CA">
              <w:rPr>
                <w:rFonts w:eastAsia="Times New Roman" w:cs="Times New Roman"/>
                <w:color w:val="000000"/>
                <w:szCs w:val="24"/>
                <w:lang w:val="en-US"/>
              </w:rPr>
              <w:t>221.00</w:t>
            </w:r>
            <w:r>
              <w:rPr>
                <w:rFonts w:eastAsia="Times New Roman" w:cs="Times New Roman"/>
                <w:color w:val="000000"/>
                <w:szCs w:val="24"/>
                <w:lang w:val="en-US"/>
              </w:rPr>
              <w:t>0</w:t>
            </w:r>
          </w:p>
        </w:tc>
        <w:tc>
          <w:tcPr>
            <w:tcW w:w="1243" w:type="dxa"/>
            <w:shd w:val="clear" w:color="auto" w:fill="auto"/>
            <w:noWrap/>
            <w:vAlign w:val="center"/>
          </w:tcPr>
          <w:p w14:paraId="2E4F3A24" w14:textId="77777777" w:rsidR="00C36B8B" w:rsidRPr="007E26CA" w:rsidRDefault="00C36B8B" w:rsidP="00371BFA">
            <w:pPr>
              <w:spacing w:line="240" w:lineRule="auto"/>
              <w:jc w:val="center"/>
              <w:rPr>
                <w:rFonts w:eastAsia="Times New Roman" w:cs="Times New Roman"/>
                <w:color w:val="000000"/>
                <w:szCs w:val="24"/>
                <w:lang w:val="en-US"/>
              </w:rPr>
            </w:pPr>
            <w:r w:rsidRPr="007E26CA">
              <w:rPr>
                <w:rFonts w:eastAsia="Times New Roman" w:cs="Times New Roman"/>
                <w:color w:val="000000"/>
                <w:szCs w:val="24"/>
                <w:lang w:val="en-US"/>
              </w:rPr>
              <w:t>8501.00</w:t>
            </w:r>
          </w:p>
        </w:tc>
        <w:tc>
          <w:tcPr>
            <w:tcW w:w="1099" w:type="dxa"/>
            <w:vAlign w:val="center"/>
          </w:tcPr>
          <w:p w14:paraId="30764BE6" w14:textId="77777777" w:rsidR="00C36B8B" w:rsidRPr="007E26CA" w:rsidRDefault="00C36B8B" w:rsidP="00371BFA">
            <w:pPr>
              <w:spacing w:line="240" w:lineRule="auto"/>
              <w:jc w:val="center"/>
              <w:rPr>
                <w:rFonts w:eastAsia="Times New Roman" w:cs="Times New Roman"/>
                <w:color w:val="000000"/>
                <w:szCs w:val="24"/>
                <w:lang w:val="en-US"/>
              </w:rPr>
            </w:pPr>
            <w:r w:rsidRPr="007E26CA">
              <w:rPr>
                <w:rFonts w:eastAsia="Times New Roman" w:cs="Times New Roman"/>
                <w:color w:val="000000"/>
                <w:szCs w:val="24"/>
                <w:lang w:val="en-US"/>
              </w:rPr>
              <w:t>2081.44</w:t>
            </w:r>
          </w:p>
        </w:tc>
      </w:tr>
      <w:tr w:rsidR="00C36B8B" w:rsidRPr="007E26CA" w14:paraId="20C894D9" w14:textId="77777777" w:rsidTr="005E7339">
        <w:trPr>
          <w:trHeight w:val="300"/>
        </w:trPr>
        <w:tc>
          <w:tcPr>
            <w:tcW w:w="5385" w:type="dxa"/>
            <w:shd w:val="clear" w:color="auto" w:fill="auto"/>
            <w:noWrap/>
            <w:vAlign w:val="center"/>
          </w:tcPr>
          <w:p w14:paraId="565EDDB6"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Number of bedrooms</w:t>
            </w:r>
          </w:p>
        </w:tc>
        <w:tc>
          <w:tcPr>
            <w:tcW w:w="1260" w:type="dxa"/>
            <w:shd w:val="clear" w:color="auto" w:fill="auto"/>
            <w:noWrap/>
            <w:vAlign w:val="center"/>
          </w:tcPr>
          <w:p w14:paraId="106C6A9C" w14:textId="77777777" w:rsidR="00C36B8B" w:rsidRPr="007E26CA" w:rsidRDefault="00C36B8B" w:rsidP="00371BFA">
            <w:pPr>
              <w:spacing w:line="240" w:lineRule="auto"/>
              <w:jc w:val="center"/>
              <w:rPr>
                <w:rFonts w:eastAsia="Times New Roman" w:cs="Times New Roman"/>
                <w:color w:val="000000"/>
                <w:szCs w:val="24"/>
                <w:lang w:val="en-US"/>
              </w:rPr>
            </w:pPr>
            <w:r w:rsidRPr="007E26CA">
              <w:rPr>
                <w:rFonts w:eastAsia="Times New Roman" w:cs="Times New Roman"/>
                <w:color w:val="000000"/>
                <w:szCs w:val="24"/>
                <w:lang w:val="en-US"/>
              </w:rPr>
              <w:t>0.00</w:t>
            </w:r>
          </w:p>
        </w:tc>
        <w:tc>
          <w:tcPr>
            <w:tcW w:w="1243" w:type="dxa"/>
            <w:shd w:val="clear" w:color="auto" w:fill="auto"/>
            <w:noWrap/>
            <w:vAlign w:val="center"/>
          </w:tcPr>
          <w:p w14:paraId="2A428DD5" w14:textId="77777777" w:rsidR="00C36B8B" w:rsidRPr="007E26CA" w:rsidRDefault="00C36B8B" w:rsidP="00371BFA">
            <w:pPr>
              <w:spacing w:line="240" w:lineRule="auto"/>
              <w:jc w:val="center"/>
              <w:rPr>
                <w:rFonts w:eastAsia="Times New Roman" w:cs="Times New Roman"/>
                <w:color w:val="000000"/>
                <w:szCs w:val="24"/>
                <w:lang w:val="en-US"/>
              </w:rPr>
            </w:pPr>
            <w:r w:rsidRPr="007E26CA">
              <w:rPr>
                <w:rFonts w:eastAsia="Times New Roman" w:cs="Times New Roman"/>
                <w:color w:val="000000"/>
                <w:szCs w:val="24"/>
                <w:lang w:val="en-US"/>
              </w:rPr>
              <w:t>10.00</w:t>
            </w:r>
          </w:p>
        </w:tc>
        <w:tc>
          <w:tcPr>
            <w:tcW w:w="1099" w:type="dxa"/>
            <w:vAlign w:val="center"/>
          </w:tcPr>
          <w:p w14:paraId="5647EFD5" w14:textId="77777777" w:rsidR="00C36B8B" w:rsidRPr="007E26CA" w:rsidRDefault="00C36B8B" w:rsidP="00371BFA">
            <w:pPr>
              <w:spacing w:line="240" w:lineRule="auto"/>
              <w:jc w:val="center"/>
              <w:rPr>
                <w:rFonts w:eastAsia="Times New Roman" w:cs="Times New Roman"/>
                <w:color w:val="000000"/>
                <w:szCs w:val="24"/>
                <w:lang w:val="en-US"/>
              </w:rPr>
            </w:pPr>
            <w:r w:rsidRPr="007E26CA">
              <w:rPr>
                <w:rFonts w:eastAsia="Times New Roman" w:cs="Times New Roman"/>
                <w:color w:val="000000"/>
                <w:szCs w:val="24"/>
                <w:lang w:val="en-US"/>
              </w:rPr>
              <w:t>2.83</w:t>
            </w:r>
          </w:p>
        </w:tc>
      </w:tr>
      <w:tr w:rsidR="00C36B8B" w:rsidRPr="007E26CA" w14:paraId="7AF31DED" w14:textId="77777777" w:rsidTr="005E7339">
        <w:trPr>
          <w:trHeight w:val="300"/>
        </w:trPr>
        <w:tc>
          <w:tcPr>
            <w:tcW w:w="5385" w:type="dxa"/>
            <w:shd w:val="clear" w:color="auto" w:fill="auto"/>
            <w:noWrap/>
            <w:vAlign w:val="center"/>
            <w:hideMark/>
          </w:tcPr>
          <w:p w14:paraId="4A0313D6"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Total number of rooms</w:t>
            </w:r>
          </w:p>
        </w:tc>
        <w:tc>
          <w:tcPr>
            <w:tcW w:w="1260" w:type="dxa"/>
            <w:shd w:val="clear" w:color="auto" w:fill="auto"/>
            <w:noWrap/>
            <w:vAlign w:val="center"/>
          </w:tcPr>
          <w:p w14:paraId="731CCBC3"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1.00</w:t>
            </w:r>
            <w:r>
              <w:rPr>
                <w:rFonts w:eastAsia="Times New Roman" w:cs="Times New Roman"/>
                <w:color w:val="000000"/>
                <w:szCs w:val="24"/>
                <w:lang w:val="en-US"/>
              </w:rPr>
              <w:t>0</w:t>
            </w:r>
          </w:p>
        </w:tc>
        <w:tc>
          <w:tcPr>
            <w:tcW w:w="1243" w:type="dxa"/>
            <w:shd w:val="clear" w:color="auto" w:fill="auto"/>
            <w:noWrap/>
            <w:vAlign w:val="center"/>
          </w:tcPr>
          <w:p w14:paraId="32C1DB92"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19.00</w:t>
            </w:r>
          </w:p>
        </w:tc>
        <w:tc>
          <w:tcPr>
            <w:tcW w:w="1099" w:type="dxa"/>
            <w:vAlign w:val="center"/>
          </w:tcPr>
          <w:p w14:paraId="521140E3"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6.19</w:t>
            </w:r>
          </w:p>
        </w:tc>
      </w:tr>
      <w:tr w:rsidR="00C36B8B" w:rsidRPr="007E26CA" w14:paraId="3B014CE3" w14:textId="77777777" w:rsidTr="005E7339">
        <w:trPr>
          <w:trHeight w:val="300"/>
        </w:trPr>
        <w:tc>
          <w:tcPr>
            <w:tcW w:w="5385" w:type="dxa"/>
            <w:shd w:val="clear" w:color="auto" w:fill="auto"/>
            <w:noWrap/>
            <w:vAlign w:val="center"/>
          </w:tcPr>
          <w:p w14:paraId="5BD008A7"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Housing type - Mobile home</w:t>
            </w:r>
          </w:p>
        </w:tc>
        <w:tc>
          <w:tcPr>
            <w:tcW w:w="1260" w:type="dxa"/>
            <w:shd w:val="clear" w:color="auto" w:fill="auto"/>
            <w:noWrap/>
            <w:vAlign w:val="center"/>
          </w:tcPr>
          <w:p w14:paraId="56E8DCBD" w14:textId="77777777" w:rsidR="00C36B8B" w:rsidRPr="007E26CA" w:rsidRDefault="00C36B8B" w:rsidP="00371BFA">
            <w:pPr>
              <w:spacing w:line="240" w:lineRule="auto"/>
              <w:jc w:val="center"/>
              <w:rPr>
                <w:rFonts w:cs="Times New Roman"/>
                <w:szCs w:val="24"/>
              </w:rPr>
            </w:pPr>
            <w:r w:rsidRPr="00047C51">
              <w:rPr>
                <w:rFonts w:eastAsia="Times New Roman" w:cs="Times New Roman"/>
                <w:color w:val="000000"/>
                <w:szCs w:val="24"/>
                <w:lang w:val="en-US"/>
              </w:rPr>
              <w:t>0.00</w:t>
            </w:r>
          </w:p>
        </w:tc>
        <w:tc>
          <w:tcPr>
            <w:tcW w:w="1243" w:type="dxa"/>
            <w:shd w:val="clear" w:color="auto" w:fill="auto"/>
            <w:noWrap/>
            <w:vAlign w:val="center"/>
          </w:tcPr>
          <w:p w14:paraId="3E6911FB"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vAlign w:val="center"/>
          </w:tcPr>
          <w:p w14:paraId="5FE3A36C" w14:textId="77777777" w:rsidR="00C36B8B" w:rsidRPr="007E26CA" w:rsidRDefault="00C36B8B" w:rsidP="00371BFA">
            <w:pPr>
              <w:spacing w:line="240" w:lineRule="auto"/>
              <w:jc w:val="center"/>
              <w:rPr>
                <w:rFonts w:cs="Times New Roman"/>
                <w:szCs w:val="24"/>
              </w:rPr>
            </w:pPr>
            <w:r w:rsidRPr="007E26CA">
              <w:rPr>
                <w:rFonts w:cs="Times New Roman"/>
                <w:szCs w:val="24"/>
              </w:rPr>
              <w:t>0.05</w:t>
            </w:r>
          </w:p>
        </w:tc>
      </w:tr>
      <w:tr w:rsidR="00C36B8B" w:rsidRPr="007E26CA" w14:paraId="24CDCB78" w14:textId="77777777" w:rsidTr="005E7339">
        <w:trPr>
          <w:trHeight w:val="300"/>
        </w:trPr>
        <w:tc>
          <w:tcPr>
            <w:tcW w:w="5385" w:type="dxa"/>
            <w:shd w:val="clear" w:color="auto" w:fill="auto"/>
            <w:noWrap/>
            <w:vAlign w:val="center"/>
          </w:tcPr>
          <w:p w14:paraId="3BEF7476"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Housing type - Apartment</w:t>
            </w:r>
          </w:p>
        </w:tc>
        <w:tc>
          <w:tcPr>
            <w:tcW w:w="1260" w:type="dxa"/>
            <w:shd w:val="clear" w:color="auto" w:fill="auto"/>
            <w:noWrap/>
            <w:vAlign w:val="center"/>
          </w:tcPr>
          <w:p w14:paraId="6C539E18" w14:textId="77777777" w:rsidR="00C36B8B" w:rsidRPr="007E26CA" w:rsidRDefault="00C36B8B" w:rsidP="00371BFA">
            <w:pPr>
              <w:spacing w:line="240" w:lineRule="auto"/>
              <w:jc w:val="center"/>
              <w:rPr>
                <w:rFonts w:cs="Times New Roman"/>
                <w:szCs w:val="24"/>
              </w:rPr>
            </w:pPr>
            <w:r w:rsidRPr="00047C51">
              <w:rPr>
                <w:rFonts w:eastAsia="Times New Roman" w:cs="Times New Roman"/>
                <w:color w:val="000000"/>
                <w:szCs w:val="24"/>
                <w:lang w:val="en-US"/>
              </w:rPr>
              <w:t>0.00</w:t>
            </w:r>
          </w:p>
        </w:tc>
        <w:tc>
          <w:tcPr>
            <w:tcW w:w="1243" w:type="dxa"/>
            <w:shd w:val="clear" w:color="auto" w:fill="auto"/>
            <w:noWrap/>
            <w:vAlign w:val="center"/>
          </w:tcPr>
          <w:p w14:paraId="5EE4E6A5"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vAlign w:val="center"/>
          </w:tcPr>
          <w:p w14:paraId="0E711F63" w14:textId="77777777" w:rsidR="00C36B8B" w:rsidRPr="007E26CA" w:rsidRDefault="00C36B8B" w:rsidP="00371BFA">
            <w:pPr>
              <w:spacing w:line="240" w:lineRule="auto"/>
              <w:jc w:val="center"/>
              <w:rPr>
                <w:rFonts w:cs="Times New Roman"/>
                <w:szCs w:val="24"/>
              </w:rPr>
            </w:pPr>
            <w:r w:rsidRPr="007E26CA">
              <w:rPr>
                <w:rFonts w:cs="Times New Roman"/>
                <w:szCs w:val="24"/>
              </w:rPr>
              <w:t>0.66</w:t>
            </w:r>
          </w:p>
        </w:tc>
      </w:tr>
      <w:tr w:rsidR="00C36B8B" w:rsidRPr="007E26CA" w14:paraId="0AA1CFFD" w14:textId="77777777" w:rsidTr="005E7339">
        <w:trPr>
          <w:trHeight w:val="300"/>
        </w:trPr>
        <w:tc>
          <w:tcPr>
            <w:tcW w:w="5385" w:type="dxa"/>
            <w:shd w:val="clear" w:color="auto" w:fill="auto"/>
            <w:noWrap/>
            <w:vAlign w:val="center"/>
          </w:tcPr>
          <w:p w14:paraId="06037E68"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Construction year 1981 - 2000</w:t>
            </w:r>
          </w:p>
        </w:tc>
        <w:tc>
          <w:tcPr>
            <w:tcW w:w="1260" w:type="dxa"/>
            <w:shd w:val="clear" w:color="auto" w:fill="auto"/>
            <w:noWrap/>
            <w:vAlign w:val="center"/>
          </w:tcPr>
          <w:p w14:paraId="4F151E04" w14:textId="77777777" w:rsidR="00C36B8B" w:rsidRPr="007E26CA" w:rsidRDefault="00C36B8B" w:rsidP="00371BFA">
            <w:pPr>
              <w:spacing w:line="240" w:lineRule="auto"/>
              <w:jc w:val="center"/>
              <w:rPr>
                <w:rFonts w:cs="Times New Roman"/>
                <w:szCs w:val="24"/>
              </w:rPr>
            </w:pPr>
            <w:r w:rsidRPr="00047C51">
              <w:rPr>
                <w:rFonts w:eastAsia="Times New Roman" w:cs="Times New Roman"/>
                <w:color w:val="000000"/>
                <w:szCs w:val="24"/>
                <w:lang w:val="en-US"/>
              </w:rPr>
              <w:t>0.00</w:t>
            </w:r>
          </w:p>
        </w:tc>
        <w:tc>
          <w:tcPr>
            <w:tcW w:w="1243" w:type="dxa"/>
            <w:shd w:val="clear" w:color="auto" w:fill="auto"/>
            <w:noWrap/>
            <w:vAlign w:val="center"/>
          </w:tcPr>
          <w:p w14:paraId="782D6F2B"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vAlign w:val="center"/>
          </w:tcPr>
          <w:p w14:paraId="020EBE29" w14:textId="77777777" w:rsidR="00C36B8B" w:rsidRPr="007E26CA" w:rsidRDefault="00C36B8B" w:rsidP="00371BFA">
            <w:pPr>
              <w:spacing w:line="240" w:lineRule="auto"/>
              <w:jc w:val="center"/>
              <w:rPr>
                <w:rFonts w:cs="Times New Roman"/>
                <w:szCs w:val="24"/>
              </w:rPr>
            </w:pPr>
            <w:r w:rsidRPr="007E26CA">
              <w:rPr>
                <w:rFonts w:cs="Times New Roman"/>
                <w:szCs w:val="24"/>
              </w:rPr>
              <w:t>0.29</w:t>
            </w:r>
          </w:p>
        </w:tc>
      </w:tr>
      <w:tr w:rsidR="00C36B8B" w:rsidRPr="007E26CA" w14:paraId="62B17936" w14:textId="77777777" w:rsidTr="005E7339">
        <w:trPr>
          <w:trHeight w:val="300"/>
        </w:trPr>
        <w:tc>
          <w:tcPr>
            <w:tcW w:w="5385" w:type="dxa"/>
            <w:shd w:val="clear" w:color="auto" w:fill="auto"/>
            <w:noWrap/>
            <w:vAlign w:val="center"/>
          </w:tcPr>
          <w:p w14:paraId="7CB4CD03"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Construction year 2001 - 2010</w:t>
            </w:r>
          </w:p>
        </w:tc>
        <w:tc>
          <w:tcPr>
            <w:tcW w:w="1260" w:type="dxa"/>
            <w:shd w:val="clear" w:color="auto" w:fill="auto"/>
            <w:noWrap/>
            <w:vAlign w:val="center"/>
          </w:tcPr>
          <w:p w14:paraId="3F29F473" w14:textId="77777777" w:rsidR="00C36B8B" w:rsidRPr="007E26CA" w:rsidRDefault="00C36B8B" w:rsidP="00371BFA">
            <w:pPr>
              <w:spacing w:line="240" w:lineRule="auto"/>
              <w:jc w:val="center"/>
              <w:rPr>
                <w:rFonts w:cs="Times New Roman"/>
                <w:szCs w:val="24"/>
              </w:rPr>
            </w:pPr>
            <w:r w:rsidRPr="00047C51">
              <w:rPr>
                <w:rFonts w:eastAsia="Times New Roman" w:cs="Times New Roman"/>
                <w:color w:val="000000"/>
                <w:szCs w:val="24"/>
                <w:lang w:val="en-US"/>
              </w:rPr>
              <w:t>0.00</w:t>
            </w:r>
          </w:p>
        </w:tc>
        <w:tc>
          <w:tcPr>
            <w:tcW w:w="1243" w:type="dxa"/>
            <w:shd w:val="clear" w:color="auto" w:fill="auto"/>
            <w:noWrap/>
            <w:vAlign w:val="center"/>
          </w:tcPr>
          <w:p w14:paraId="4793C0F6"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vAlign w:val="center"/>
          </w:tcPr>
          <w:p w14:paraId="0A5E6766" w14:textId="77777777" w:rsidR="00C36B8B" w:rsidRPr="007E26CA" w:rsidRDefault="00C36B8B" w:rsidP="00371BFA">
            <w:pPr>
              <w:spacing w:line="240" w:lineRule="auto"/>
              <w:jc w:val="center"/>
              <w:rPr>
                <w:rFonts w:cs="Times New Roman"/>
                <w:szCs w:val="24"/>
              </w:rPr>
            </w:pPr>
            <w:r w:rsidRPr="007E26CA">
              <w:rPr>
                <w:rFonts w:cs="Times New Roman"/>
                <w:szCs w:val="24"/>
              </w:rPr>
              <w:t>0.16</w:t>
            </w:r>
          </w:p>
        </w:tc>
      </w:tr>
      <w:tr w:rsidR="00C36B8B" w:rsidRPr="007E26CA" w14:paraId="28565BD5" w14:textId="77777777" w:rsidTr="005E7339">
        <w:trPr>
          <w:trHeight w:val="300"/>
        </w:trPr>
        <w:tc>
          <w:tcPr>
            <w:tcW w:w="5385" w:type="dxa"/>
            <w:shd w:val="clear" w:color="auto" w:fill="auto"/>
            <w:noWrap/>
            <w:vAlign w:val="center"/>
          </w:tcPr>
          <w:p w14:paraId="4D83FF8F"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Construction year after 2010</w:t>
            </w:r>
          </w:p>
        </w:tc>
        <w:tc>
          <w:tcPr>
            <w:tcW w:w="1260" w:type="dxa"/>
            <w:shd w:val="clear" w:color="auto" w:fill="auto"/>
            <w:noWrap/>
            <w:vAlign w:val="center"/>
          </w:tcPr>
          <w:p w14:paraId="5BEFDCDA" w14:textId="77777777" w:rsidR="00C36B8B" w:rsidRPr="007E26CA" w:rsidRDefault="00C36B8B" w:rsidP="00371BFA">
            <w:pPr>
              <w:spacing w:line="240" w:lineRule="auto"/>
              <w:jc w:val="center"/>
              <w:rPr>
                <w:rFonts w:cs="Times New Roman"/>
                <w:szCs w:val="24"/>
              </w:rPr>
            </w:pPr>
            <w:r w:rsidRPr="00047C51">
              <w:rPr>
                <w:rFonts w:eastAsia="Times New Roman" w:cs="Times New Roman"/>
                <w:color w:val="000000"/>
                <w:szCs w:val="24"/>
                <w:lang w:val="en-US"/>
              </w:rPr>
              <w:t>0.00</w:t>
            </w:r>
          </w:p>
        </w:tc>
        <w:tc>
          <w:tcPr>
            <w:tcW w:w="1243" w:type="dxa"/>
            <w:shd w:val="clear" w:color="auto" w:fill="auto"/>
            <w:noWrap/>
            <w:vAlign w:val="center"/>
          </w:tcPr>
          <w:p w14:paraId="1BF8711D"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vAlign w:val="center"/>
          </w:tcPr>
          <w:p w14:paraId="251817D0" w14:textId="77777777" w:rsidR="00C36B8B" w:rsidRPr="007E26CA" w:rsidRDefault="00C36B8B" w:rsidP="00371BFA">
            <w:pPr>
              <w:spacing w:line="240" w:lineRule="auto"/>
              <w:jc w:val="center"/>
              <w:rPr>
                <w:rFonts w:cs="Times New Roman"/>
                <w:szCs w:val="24"/>
              </w:rPr>
            </w:pPr>
            <w:r w:rsidRPr="007E26CA">
              <w:rPr>
                <w:rFonts w:cs="Times New Roman"/>
                <w:szCs w:val="24"/>
              </w:rPr>
              <w:t>0.04</w:t>
            </w:r>
          </w:p>
        </w:tc>
      </w:tr>
      <w:tr w:rsidR="00C36B8B" w:rsidRPr="007E26CA" w14:paraId="10C5C6F1" w14:textId="77777777" w:rsidTr="005E7339">
        <w:trPr>
          <w:trHeight w:val="300"/>
        </w:trPr>
        <w:tc>
          <w:tcPr>
            <w:tcW w:w="5385" w:type="dxa"/>
            <w:shd w:val="clear" w:color="auto" w:fill="auto"/>
            <w:noWrap/>
            <w:vAlign w:val="center"/>
          </w:tcPr>
          <w:p w14:paraId="140DC8FB"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High income HH (&gt;120k)</w:t>
            </w:r>
          </w:p>
        </w:tc>
        <w:tc>
          <w:tcPr>
            <w:tcW w:w="1260" w:type="dxa"/>
            <w:shd w:val="clear" w:color="auto" w:fill="auto"/>
            <w:noWrap/>
            <w:vAlign w:val="center"/>
          </w:tcPr>
          <w:p w14:paraId="6FE40D69" w14:textId="77777777" w:rsidR="00C36B8B" w:rsidRPr="007E26CA" w:rsidRDefault="00C36B8B" w:rsidP="00371BFA">
            <w:pPr>
              <w:spacing w:line="240" w:lineRule="auto"/>
              <w:jc w:val="center"/>
              <w:rPr>
                <w:rFonts w:cs="Times New Roman"/>
                <w:szCs w:val="24"/>
              </w:rPr>
            </w:pPr>
            <w:r w:rsidRPr="00047C51">
              <w:rPr>
                <w:rFonts w:eastAsia="Times New Roman" w:cs="Times New Roman"/>
                <w:color w:val="000000"/>
                <w:szCs w:val="24"/>
                <w:lang w:val="en-US"/>
              </w:rPr>
              <w:t>0.00</w:t>
            </w:r>
          </w:p>
        </w:tc>
        <w:tc>
          <w:tcPr>
            <w:tcW w:w="1243" w:type="dxa"/>
            <w:shd w:val="clear" w:color="auto" w:fill="auto"/>
            <w:noWrap/>
            <w:vAlign w:val="center"/>
          </w:tcPr>
          <w:p w14:paraId="1AE3793F"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vAlign w:val="center"/>
          </w:tcPr>
          <w:p w14:paraId="23AF225B" w14:textId="77777777" w:rsidR="00C36B8B" w:rsidRPr="007E26CA" w:rsidRDefault="00C36B8B" w:rsidP="00371BFA">
            <w:pPr>
              <w:spacing w:line="240" w:lineRule="auto"/>
              <w:jc w:val="center"/>
              <w:rPr>
                <w:rFonts w:cs="Times New Roman"/>
                <w:szCs w:val="24"/>
              </w:rPr>
            </w:pPr>
            <w:r w:rsidRPr="007E26CA">
              <w:rPr>
                <w:rFonts w:cs="Times New Roman"/>
                <w:szCs w:val="24"/>
              </w:rPr>
              <w:t>0.15</w:t>
            </w:r>
          </w:p>
        </w:tc>
      </w:tr>
      <w:tr w:rsidR="00C36B8B" w:rsidRPr="007E26CA" w14:paraId="23D5FAC0" w14:textId="77777777" w:rsidTr="00400298">
        <w:trPr>
          <w:trHeight w:val="300"/>
        </w:trPr>
        <w:tc>
          <w:tcPr>
            <w:tcW w:w="8987" w:type="dxa"/>
            <w:gridSpan w:val="4"/>
            <w:shd w:val="clear" w:color="auto" w:fill="auto"/>
            <w:noWrap/>
            <w:vAlign w:val="center"/>
          </w:tcPr>
          <w:p w14:paraId="0E6DC2C7" w14:textId="77777777" w:rsidR="00C36B8B" w:rsidRPr="007E26CA" w:rsidRDefault="00C36B8B" w:rsidP="00371BFA">
            <w:pPr>
              <w:spacing w:line="240" w:lineRule="auto"/>
              <w:jc w:val="left"/>
              <w:rPr>
                <w:rFonts w:cs="Times New Roman"/>
                <w:szCs w:val="24"/>
              </w:rPr>
            </w:pPr>
            <w:r w:rsidRPr="007E26CA">
              <w:rPr>
                <w:rFonts w:cs="Times New Roman"/>
                <w:i/>
                <w:iCs/>
                <w:szCs w:val="24"/>
              </w:rPr>
              <w:t>Appliance Use</w:t>
            </w:r>
          </w:p>
        </w:tc>
      </w:tr>
      <w:tr w:rsidR="00C36B8B" w:rsidRPr="007E26CA" w14:paraId="1C70E7A8" w14:textId="77777777" w:rsidTr="005E7339">
        <w:trPr>
          <w:trHeight w:val="300"/>
        </w:trPr>
        <w:tc>
          <w:tcPr>
            <w:tcW w:w="5385" w:type="dxa"/>
            <w:shd w:val="clear" w:color="auto" w:fill="auto"/>
            <w:noWrap/>
            <w:vAlign w:val="center"/>
            <w:hideMark/>
          </w:tcPr>
          <w:p w14:paraId="630162E7"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AC Used</w:t>
            </w:r>
          </w:p>
        </w:tc>
        <w:tc>
          <w:tcPr>
            <w:tcW w:w="1260" w:type="dxa"/>
            <w:shd w:val="clear" w:color="auto" w:fill="auto"/>
            <w:noWrap/>
            <w:vAlign w:val="center"/>
          </w:tcPr>
          <w:p w14:paraId="473C18E0" w14:textId="77777777" w:rsidR="00C36B8B" w:rsidRPr="007E26CA" w:rsidRDefault="00C36B8B" w:rsidP="00371BFA">
            <w:pPr>
              <w:spacing w:line="240" w:lineRule="auto"/>
              <w:jc w:val="center"/>
              <w:rPr>
                <w:rFonts w:cs="Times New Roman"/>
                <w:szCs w:val="24"/>
              </w:rPr>
            </w:pPr>
            <w:r w:rsidRPr="007E26CA">
              <w:rPr>
                <w:rFonts w:cs="Times New Roman"/>
                <w:szCs w:val="24"/>
              </w:rPr>
              <w:t>--</w:t>
            </w:r>
          </w:p>
        </w:tc>
        <w:tc>
          <w:tcPr>
            <w:tcW w:w="1243" w:type="dxa"/>
            <w:shd w:val="clear" w:color="auto" w:fill="auto"/>
            <w:noWrap/>
            <w:vAlign w:val="center"/>
          </w:tcPr>
          <w:p w14:paraId="679324DC" w14:textId="77777777" w:rsidR="00C36B8B" w:rsidRPr="007E26CA" w:rsidRDefault="00C36B8B" w:rsidP="00371BFA">
            <w:pPr>
              <w:spacing w:line="240" w:lineRule="auto"/>
              <w:jc w:val="center"/>
              <w:rPr>
                <w:rFonts w:cs="Times New Roman"/>
                <w:szCs w:val="24"/>
              </w:rPr>
            </w:pPr>
            <w:r w:rsidRPr="007E26CA">
              <w:rPr>
                <w:rFonts w:cs="Times New Roman"/>
                <w:szCs w:val="24"/>
              </w:rPr>
              <w:t>--</w:t>
            </w:r>
          </w:p>
        </w:tc>
        <w:tc>
          <w:tcPr>
            <w:tcW w:w="1099" w:type="dxa"/>
            <w:vAlign w:val="center"/>
          </w:tcPr>
          <w:p w14:paraId="12FA03CF" w14:textId="77777777" w:rsidR="00C36B8B" w:rsidRPr="007E26CA" w:rsidRDefault="00C36B8B" w:rsidP="00371BFA">
            <w:pPr>
              <w:spacing w:line="240" w:lineRule="auto"/>
              <w:jc w:val="center"/>
              <w:rPr>
                <w:rFonts w:cs="Times New Roman"/>
                <w:szCs w:val="24"/>
              </w:rPr>
            </w:pPr>
            <w:r w:rsidRPr="007E26CA">
              <w:rPr>
                <w:rFonts w:cs="Times New Roman"/>
                <w:szCs w:val="24"/>
              </w:rPr>
              <w:t>0.87</w:t>
            </w:r>
          </w:p>
        </w:tc>
      </w:tr>
      <w:tr w:rsidR="00C36B8B" w:rsidRPr="007E26CA" w14:paraId="1EB8E64E" w14:textId="77777777" w:rsidTr="005E7339">
        <w:trPr>
          <w:trHeight w:val="300"/>
        </w:trPr>
        <w:tc>
          <w:tcPr>
            <w:tcW w:w="5385" w:type="dxa"/>
            <w:shd w:val="clear" w:color="auto" w:fill="auto"/>
            <w:noWrap/>
            <w:vAlign w:val="center"/>
            <w:hideMark/>
          </w:tcPr>
          <w:p w14:paraId="3273C823"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Number of refrigerators used</w:t>
            </w:r>
          </w:p>
        </w:tc>
        <w:tc>
          <w:tcPr>
            <w:tcW w:w="1260" w:type="dxa"/>
            <w:shd w:val="clear" w:color="auto" w:fill="auto"/>
            <w:noWrap/>
            <w:vAlign w:val="center"/>
          </w:tcPr>
          <w:p w14:paraId="1ED1B1B8"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shd w:val="clear" w:color="auto" w:fill="auto"/>
            <w:noWrap/>
            <w:vAlign w:val="center"/>
          </w:tcPr>
          <w:p w14:paraId="6D9BB2DD"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8.00</w:t>
            </w:r>
          </w:p>
        </w:tc>
        <w:tc>
          <w:tcPr>
            <w:tcW w:w="1099" w:type="dxa"/>
            <w:vAlign w:val="center"/>
          </w:tcPr>
          <w:p w14:paraId="0929AC05"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1.</w:t>
            </w:r>
            <w:r>
              <w:rPr>
                <w:rFonts w:eastAsia="Times New Roman" w:cs="Times New Roman"/>
                <w:color w:val="000000"/>
                <w:szCs w:val="24"/>
                <w:lang w:val="en-US"/>
              </w:rPr>
              <w:t>40</w:t>
            </w:r>
          </w:p>
        </w:tc>
      </w:tr>
      <w:tr w:rsidR="00C36B8B" w:rsidRPr="007E26CA" w14:paraId="5E5734AA" w14:textId="77777777" w:rsidTr="005E7339">
        <w:trPr>
          <w:trHeight w:val="300"/>
        </w:trPr>
        <w:tc>
          <w:tcPr>
            <w:tcW w:w="5385" w:type="dxa"/>
            <w:shd w:val="clear" w:color="auto" w:fill="auto"/>
            <w:noWrap/>
            <w:vAlign w:val="center"/>
            <w:hideMark/>
          </w:tcPr>
          <w:p w14:paraId="3667F170"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lastRenderedPageBreak/>
              <w:t>Number of desktop computers</w:t>
            </w:r>
          </w:p>
        </w:tc>
        <w:tc>
          <w:tcPr>
            <w:tcW w:w="1260" w:type="dxa"/>
            <w:shd w:val="clear" w:color="auto" w:fill="auto"/>
            <w:noWrap/>
            <w:vAlign w:val="center"/>
          </w:tcPr>
          <w:p w14:paraId="4CA62AE1"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shd w:val="clear" w:color="auto" w:fill="auto"/>
            <w:noWrap/>
            <w:vAlign w:val="center"/>
          </w:tcPr>
          <w:p w14:paraId="1DC7E7BC"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10.00</w:t>
            </w:r>
          </w:p>
        </w:tc>
        <w:tc>
          <w:tcPr>
            <w:tcW w:w="1099" w:type="dxa"/>
            <w:vAlign w:val="center"/>
          </w:tcPr>
          <w:p w14:paraId="1911E3A7"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0.5</w:t>
            </w:r>
            <w:r>
              <w:rPr>
                <w:rFonts w:eastAsia="Times New Roman" w:cs="Times New Roman"/>
                <w:color w:val="000000"/>
                <w:szCs w:val="24"/>
                <w:lang w:val="en-US"/>
              </w:rPr>
              <w:t>2</w:t>
            </w:r>
          </w:p>
        </w:tc>
      </w:tr>
      <w:tr w:rsidR="00C36B8B" w:rsidRPr="007E26CA" w14:paraId="5317E8DC" w14:textId="77777777" w:rsidTr="005E7339">
        <w:trPr>
          <w:trHeight w:val="300"/>
        </w:trPr>
        <w:tc>
          <w:tcPr>
            <w:tcW w:w="5385" w:type="dxa"/>
            <w:shd w:val="clear" w:color="auto" w:fill="auto"/>
            <w:noWrap/>
            <w:vAlign w:val="center"/>
            <w:hideMark/>
          </w:tcPr>
          <w:p w14:paraId="528C4409"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Space heating used</w:t>
            </w:r>
          </w:p>
        </w:tc>
        <w:tc>
          <w:tcPr>
            <w:tcW w:w="1260" w:type="dxa"/>
            <w:shd w:val="clear" w:color="auto" w:fill="auto"/>
            <w:noWrap/>
            <w:vAlign w:val="center"/>
          </w:tcPr>
          <w:p w14:paraId="6A1AE4C9"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shd w:val="clear" w:color="auto" w:fill="auto"/>
            <w:noWrap/>
            <w:vAlign w:val="center"/>
          </w:tcPr>
          <w:p w14:paraId="24C7D2DB"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vAlign w:val="center"/>
          </w:tcPr>
          <w:p w14:paraId="20F0DB40" w14:textId="77777777" w:rsidR="00C36B8B" w:rsidRPr="007E26CA" w:rsidRDefault="00C36B8B" w:rsidP="00371BFA">
            <w:pPr>
              <w:spacing w:line="240" w:lineRule="auto"/>
              <w:jc w:val="center"/>
              <w:rPr>
                <w:rFonts w:cs="Times New Roman"/>
                <w:szCs w:val="24"/>
              </w:rPr>
            </w:pPr>
            <w:r w:rsidRPr="007E26CA">
              <w:rPr>
                <w:rFonts w:cs="Times New Roman"/>
                <w:szCs w:val="24"/>
              </w:rPr>
              <w:t>0.95</w:t>
            </w:r>
          </w:p>
        </w:tc>
      </w:tr>
      <w:tr w:rsidR="00C36B8B" w:rsidRPr="007E26CA" w14:paraId="2571E94E" w14:textId="77777777" w:rsidTr="005E7339">
        <w:trPr>
          <w:trHeight w:val="300"/>
        </w:trPr>
        <w:tc>
          <w:tcPr>
            <w:tcW w:w="5385" w:type="dxa"/>
            <w:shd w:val="clear" w:color="auto" w:fill="auto"/>
            <w:noWrap/>
            <w:vAlign w:val="center"/>
          </w:tcPr>
          <w:p w14:paraId="574D2C1E"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Number of smart phones</w:t>
            </w:r>
          </w:p>
        </w:tc>
        <w:tc>
          <w:tcPr>
            <w:tcW w:w="1260" w:type="dxa"/>
            <w:shd w:val="clear" w:color="auto" w:fill="auto"/>
            <w:noWrap/>
            <w:vAlign w:val="center"/>
          </w:tcPr>
          <w:p w14:paraId="46A25FD4"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shd w:val="clear" w:color="auto" w:fill="auto"/>
            <w:noWrap/>
            <w:vAlign w:val="center"/>
          </w:tcPr>
          <w:p w14:paraId="5E431531" w14:textId="77777777" w:rsidR="00C36B8B" w:rsidRPr="007E26CA" w:rsidRDefault="00C36B8B" w:rsidP="00371BFA">
            <w:pPr>
              <w:spacing w:line="240" w:lineRule="auto"/>
              <w:jc w:val="center"/>
              <w:rPr>
                <w:rFonts w:cs="Times New Roman"/>
                <w:szCs w:val="24"/>
              </w:rPr>
            </w:pPr>
            <w:r w:rsidRPr="007E26CA">
              <w:rPr>
                <w:rFonts w:cs="Times New Roman"/>
                <w:szCs w:val="24"/>
              </w:rPr>
              <w:t>8.00</w:t>
            </w:r>
          </w:p>
        </w:tc>
        <w:tc>
          <w:tcPr>
            <w:tcW w:w="1099" w:type="dxa"/>
            <w:vAlign w:val="center"/>
          </w:tcPr>
          <w:p w14:paraId="4E90D616" w14:textId="77777777" w:rsidR="00C36B8B" w:rsidRPr="007E26CA" w:rsidRDefault="00C36B8B" w:rsidP="00371BFA">
            <w:pPr>
              <w:spacing w:line="240" w:lineRule="auto"/>
              <w:jc w:val="center"/>
              <w:rPr>
                <w:rFonts w:cs="Times New Roman"/>
                <w:szCs w:val="24"/>
              </w:rPr>
            </w:pPr>
            <w:r w:rsidRPr="007E26CA">
              <w:rPr>
                <w:rFonts w:cs="Times New Roman"/>
                <w:szCs w:val="24"/>
              </w:rPr>
              <w:t>1.60</w:t>
            </w:r>
          </w:p>
        </w:tc>
      </w:tr>
      <w:tr w:rsidR="00C36B8B" w:rsidRPr="007E26CA" w14:paraId="400B615E" w14:textId="77777777" w:rsidTr="005E7339">
        <w:trPr>
          <w:trHeight w:val="300"/>
        </w:trPr>
        <w:tc>
          <w:tcPr>
            <w:tcW w:w="5385" w:type="dxa"/>
            <w:shd w:val="clear" w:color="auto" w:fill="auto"/>
            <w:noWrap/>
            <w:vAlign w:val="center"/>
          </w:tcPr>
          <w:p w14:paraId="1E100A9D"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Humidifier used</w:t>
            </w:r>
          </w:p>
        </w:tc>
        <w:tc>
          <w:tcPr>
            <w:tcW w:w="1260" w:type="dxa"/>
            <w:shd w:val="clear" w:color="auto" w:fill="auto"/>
            <w:noWrap/>
            <w:vAlign w:val="center"/>
          </w:tcPr>
          <w:p w14:paraId="6873E221"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shd w:val="clear" w:color="auto" w:fill="auto"/>
            <w:noWrap/>
            <w:vAlign w:val="center"/>
          </w:tcPr>
          <w:p w14:paraId="40B6F590"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vAlign w:val="center"/>
          </w:tcPr>
          <w:p w14:paraId="45F76C87" w14:textId="77777777" w:rsidR="00C36B8B" w:rsidRPr="007E26CA" w:rsidRDefault="00C36B8B" w:rsidP="00371BFA">
            <w:pPr>
              <w:spacing w:line="240" w:lineRule="auto"/>
              <w:jc w:val="center"/>
              <w:rPr>
                <w:rFonts w:cs="Times New Roman"/>
                <w:szCs w:val="24"/>
              </w:rPr>
            </w:pPr>
            <w:r w:rsidRPr="007E26CA">
              <w:rPr>
                <w:rFonts w:cs="Times New Roman"/>
                <w:szCs w:val="24"/>
              </w:rPr>
              <w:t>0.20</w:t>
            </w:r>
          </w:p>
        </w:tc>
      </w:tr>
      <w:tr w:rsidR="00C36B8B" w:rsidRPr="007E26CA" w14:paraId="008EE845" w14:textId="77777777" w:rsidTr="00400298">
        <w:trPr>
          <w:trHeight w:val="300"/>
        </w:trPr>
        <w:tc>
          <w:tcPr>
            <w:tcW w:w="8987" w:type="dxa"/>
            <w:gridSpan w:val="4"/>
            <w:shd w:val="clear" w:color="auto" w:fill="auto"/>
            <w:noWrap/>
            <w:vAlign w:val="center"/>
          </w:tcPr>
          <w:p w14:paraId="0FA32353" w14:textId="77777777" w:rsidR="00C36B8B" w:rsidRPr="007E26CA" w:rsidRDefault="00C36B8B" w:rsidP="00371BFA">
            <w:pPr>
              <w:spacing w:line="240" w:lineRule="auto"/>
              <w:jc w:val="left"/>
              <w:rPr>
                <w:rFonts w:cs="Times New Roman"/>
                <w:szCs w:val="24"/>
              </w:rPr>
            </w:pPr>
            <w:r w:rsidRPr="007E26CA">
              <w:rPr>
                <w:rFonts w:cs="Times New Roman"/>
                <w:i/>
                <w:iCs/>
                <w:szCs w:val="24"/>
              </w:rPr>
              <w:t>Climatic Variables</w:t>
            </w:r>
          </w:p>
        </w:tc>
      </w:tr>
      <w:tr w:rsidR="00C36B8B" w:rsidRPr="007E26CA" w14:paraId="55A12696" w14:textId="77777777" w:rsidTr="005E7339">
        <w:trPr>
          <w:trHeight w:val="300"/>
        </w:trPr>
        <w:tc>
          <w:tcPr>
            <w:tcW w:w="5385" w:type="dxa"/>
            <w:tcBorders>
              <w:bottom w:val="single" w:sz="4" w:space="0" w:color="auto"/>
            </w:tcBorders>
            <w:shd w:val="clear" w:color="auto" w:fill="auto"/>
            <w:noWrap/>
            <w:vAlign w:val="center"/>
          </w:tcPr>
          <w:p w14:paraId="05714CA0"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Total cooling degree days, base temperature 65F</w:t>
            </w:r>
          </w:p>
        </w:tc>
        <w:tc>
          <w:tcPr>
            <w:tcW w:w="1260" w:type="dxa"/>
            <w:tcBorders>
              <w:bottom w:val="single" w:sz="4" w:space="0" w:color="auto"/>
            </w:tcBorders>
            <w:shd w:val="clear" w:color="auto" w:fill="auto"/>
            <w:noWrap/>
            <w:vAlign w:val="center"/>
          </w:tcPr>
          <w:p w14:paraId="66955A62"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0.00</w:t>
            </w:r>
          </w:p>
        </w:tc>
        <w:tc>
          <w:tcPr>
            <w:tcW w:w="1243" w:type="dxa"/>
            <w:tcBorders>
              <w:bottom w:val="single" w:sz="4" w:space="0" w:color="auto"/>
            </w:tcBorders>
            <w:shd w:val="clear" w:color="auto" w:fill="auto"/>
            <w:noWrap/>
            <w:vAlign w:val="center"/>
          </w:tcPr>
          <w:p w14:paraId="0AB95926"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6607.00</w:t>
            </w:r>
          </w:p>
        </w:tc>
        <w:tc>
          <w:tcPr>
            <w:tcW w:w="1099" w:type="dxa"/>
            <w:tcBorders>
              <w:bottom w:val="single" w:sz="4" w:space="0" w:color="auto"/>
            </w:tcBorders>
            <w:vAlign w:val="center"/>
          </w:tcPr>
          <w:p w14:paraId="039DBE7B"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1719.21</w:t>
            </w:r>
          </w:p>
        </w:tc>
      </w:tr>
      <w:tr w:rsidR="00C36B8B" w:rsidRPr="007E26CA" w14:paraId="4186C1ED" w14:textId="77777777" w:rsidTr="005E7339">
        <w:trPr>
          <w:trHeight w:val="300"/>
        </w:trPr>
        <w:tc>
          <w:tcPr>
            <w:tcW w:w="5385" w:type="dxa"/>
            <w:tcBorders>
              <w:top w:val="single" w:sz="4" w:space="0" w:color="auto"/>
              <w:bottom w:val="double" w:sz="4" w:space="0" w:color="auto"/>
            </w:tcBorders>
            <w:shd w:val="clear" w:color="auto" w:fill="auto"/>
            <w:noWrap/>
            <w:vAlign w:val="center"/>
          </w:tcPr>
          <w:p w14:paraId="22522149"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Total heating degree days, base temperature 65F</w:t>
            </w:r>
          </w:p>
        </w:tc>
        <w:tc>
          <w:tcPr>
            <w:tcW w:w="1260" w:type="dxa"/>
            <w:tcBorders>
              <w:top w:val="single" w:sz="4" w:space="0" w:color="auto"/>
              <w:bottom w:val="double" w:sz="4" w:space="0" w:color="auto"/>
            </w:tcBorders>
            <w:shd w:val="clear" w:color="auto" w:fill="auto"/>
            <w:noWrap/>
            <w:vAlign w:val="center"/>
          </w:tcPr>
          <w:p w14:paraId="43D3AA5D"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0.00</w:t>
            </w:r>
          </w:p>
        </w:tc>
        <w:tc>
          <w:tcPr>
            <w:tcW w:w="1243" w:type="dxa"/>
            <w:tcBorders>
              <w:top w:val="single" w:sz="4" w:space="0" w:color="auto"/>
              <w:bottom w:val="double" w:sz="4" w:space="0" w:color="auto"/>
            </w:tcBorders>
            <w:shd w:val="clear" w:color="auto" w:fill="auto"/>
            <w:noWrap/>
            <w:vAlign w:val="center"/>
          </w:tcPr>
          <w:p w14:paraId="2A3B7825"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9843.00</w:t>
            </w:r>
          </w:p>
        </w:tc>
        <w:tc>
          <w:tcPr>
            <w:tcW w:w="1099" w:type="dxa"/>
            <w:tcBorders>
              <w:top w:val="single" w:sz="4" w:space="0" w:color="auto"/>
              <w:bottom w:val="double" w:sz="4" w:space="0" w:color="auto"/>
            </w:tcBorders>
            <w:vAlign w:val="center"/>
          </w:tcPr>
          <w:p w14:paraId="467CEC6C"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lang w:val="en-US"/>
              </w:rPr>
              <w:t>3707.85</w:t>
            </w:r>
          </w:p>
        </w:tc>
      </w:tr>
      <w:tr w:rsidR="00C36B8B" w:rsidRPr="007E26CA" w14:paraId="64FD6186" w14:textId="77777777" w:rsidTr="005E7339">
        <w:trPr>
          <w:trHeight w:val="300"/>
        </w:trPr>
        <w:tc>
          <w:tcPr>
            <w:tcW w:w="5385" w:type="dxa"/>
            <w:tcBorders>
              <w:top w:val="double" w:sz="4" w:space="0" w:color="auto"/>
              <w:bottom w:val="single" w:sz="4" w:space="0" w:color="auto"/>
            </w:tcBorders>
            <w:shd w:val="clear" w:color="auto" w:fill="auto"/>
            <w:noWrap/>
            <w:vAlign w:val="center"/>
          </w:tcPr>
          <w:p w14:paraId="69CA8101" w14:textId="467F5691" w:rsidR="00C36B8B" w:rsidRPr="007E26CA" w:rsidRDefault="00C36B8B" w:rsidP="00371BFA">
            <w:pPr>
              <w:spacing w:line="240" w:lineRule="auto"/>
              <w:jc w:val="left"/>
              <w:rPr>
                <w:rFonts w:cs="Times New Roman"/>
                <w:color w:val="000000"/>
                <w:szCs w:val="24"/>
              </w:rPr>
            </w:pPr>
            <w:r w:rsidRPr="007E26CA">
              <w:rPr>
                <w:rFonts w:cs="Times New Roman"/>
                <w:b/>
                <w:bCs/>
                <w:szCs w:val="24"/>
              </w:rPr>
              <w:t>Independent Variables fr</w:t>
            </w:r>
            <w:r w:rsidR="00640451">
              <w:rPr>
                <w:rFonts w:cs="Times New Roman"/>
                <w:b/>
                <w:bCs/>
                <w:szCs w:val="24"/>
              </w:rPr>
              <w:t>o</w:t>
            </w:r>
            <w:r w:rsidRPr="007E26CA">
              <w:rPr>
                <w:rFonts w:cs="Times New Roman"/>
                <w:b/>
                <w:bCs/>
                <w:szCs w:val="24"/>
              </w:rPr>
              <w:t>m NHTS</w:t>
            </w:r>
          </w:p>
        </w:tc>
        <w:tc>
          <w:tcPr>
            <w:tcW w:w="1260" w:type="dxa"/>
            <w:tcBorders>
              <w:top w:val="double" w:sz="4" w:space="0" w:color="auto"/>
              <w:bottom w:val="single" w:sz="4" w:space="0" w:color="auto"/>
            </w:tcBorders>
            <w:shd w:val="clear" w:color="auto" w:fill="auto"/>
            <w:noWrap/>
            <w:vAlign w:val="center"/>
          </w:tcPr>
          <w:p w14:paraId="18C3F063" w14:textId="77777777" w:rsidR="00C36B8B" w:rsidRPr="007E26CA" w:rsidRDefault="00C36B8B" w:rsidP="00371BFA">
            <w:pPr>
              <w:spacing w:line="240" w:lineRule="auto"/>
              <w:jc w:val="left"/>
              <w:rPr>
                <w:rFonts w:cs="Times New Roman"/>
                <w:szCs w:val="24"/>
              </w:rPr>
            </w:pPr>
          </w:p>
        </w:tc>
        <w:tc>
          <w:tcPr>
            <w:tcW w:w="1243" w:type="dxa"/>
            <w:tcBorders>
              <w:top w:val="double" w:sz="4" w:space="0" w:color="auto"/>
              <w:bottom w:val="single" w:sz="4" w:space="0" w:color="auto"/>
            </w:tcBorders>
            <w:shd w:val="clear" w:color="auto" w:fill="auto"/>
            <w:noWrap/>
            <w:vAlign w:val="center"/>
          </w:tcPr>
          <w:p w14:paraId="2FE9C475" w14:textId="77777777" w:rsidR="00C36B8B" w:rsidRPr="007E26CA" w:rsidRDefault="00C36B8B" w:rsidP="00371BFA">
            <w:pPr>
              <w:spacing w:line="240" w:lineRule="auto"/>
              <w:jc w:val="left"/>
              <w:rPr>
                <w:rFonts w:cs="Times New Roman"/>
                <w:szCs w:val="24"/>
              </w:rPr>
            </w:pPr>
          </w:p>
        </w:tc>
        <w:tc>
          <w:tcPr>
            <w:tcW w:w="1099" w:type="dxa"/>
            <w:tcBorders>
              <w:top w:val="double" w:sz="4" w:space="0" w:color="auto"/>
              <w:bottom w:val="single" w:sz="4" w:space="0" w:color="auto"/>
            </w:tcBorders>
            <w:vAlign w:val="center"/>
          </w:tcPr>
          <w:p w14:paraId="362282B6" w14:textId="77777777" w:rsidR="00C36B8B" w:rsidRPr="007E26CA" w:rsidRDefault="00C36B8B" w:rsidP="00371BFA">
            <w:pPr>
              <w:spacing w:line="240" w:lineRule="auto"/>
              <w:jc w:val="left"/>
              <w:rPr>
                <w:rFonts w:cs="Times New Roman"/>
                <w:szCs w:val="24"/>
              </w:rPr>
            </w:pPr>
          </w:p>
        </w:tc>
      </w:tr>
      <w:tr w:rsidR="00C36B8B" w:rsidRPr="007E26CA" w14:paraId="53D68E5F" w14:textId="77777777" w:rsidTr="005E7339">
        <w:trPr>
          <w:trHeight w:val="300"/>
        </w:trPr>
        <w:tc>
          <w:tcPr>
            <w:tcW w:w="5385" w:type="dxa"/>
            <w:tcBorders>
              <w:top w:val="double" w:sz="4" w:space="0" w:color="auto"/>
              <w:bottom w:val="single" w:sz="4" w:space="0" w:color="auto"/>
            </w:tcBorders>
            <w:shd w:val="clear" w:color="auto" w:fill="auto"/>
            <w:noWrap/>
            <w:vAlign w:val="center"/>
          </w:tcPr>
          <w:p w14:paraId="6793309D"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Population Density</w:t>
            </w:r>
          </w:p>
        </w:tc>
        <w:tc>
          <w:tcPr>
            <w:tcW w:w="1260" w:type="dxa"/>
            <w:tcBorders>
              <w:top w:val="double" w:sz="4" w:space="0" w:color="auto"/>
              <w:bottom w:val="single" w:sz="4" w:space="0" w:color="auto"/>
            </w:tcBorders>
            <w:shd w:val="clear" w:color="auto" w:fill="auto"/>
            <w:noWrap/>
            <w:vAlign w:val="center"/>
          </w:tcPr>
          <w:p w14:paraId="14BCD632" w14:textId="77777777" w:rsidR="00C36B8B" w:rsidRPr="007E26CA" w:rsidRDefault="00C36B8B" w:rsidP="00371BFA">
            <w:pPr>
              <w:spacing w:line="240" w:lineRule="auto"/>
              <w:jc w:val="left"/>
              <w:rPr>
                <w:rFonts w:cs="Times New Roman"/>
                <w:szCs w:val="24"/>
              </w:rPr>
            </w:pPr>
          </w:p>
        </w:tc>
        <w:tc>
          <w:tcPr>
            <w:tcW w:w="1243" w:type="dxa"/>
            <w:tcBorders>
              <w:top w:val="double" w:sz="4" w:space="0" w:color="auto"/>
              <w:bottom w:val="single" w:sz="4" w:space="0" w:color="auto"/>
            </w:tcBorders>
            <w:shd w:val="clear" w:color="auto" w:fill="auto"/>
            <w:noWrap/>
            <w:vAlign w:val="center"/>
          </w:tcPr>
          <w:p w14:paraId="2B7209DE" w14:textId="77777777" w:rsidR="00C36B8B" w:rsidRPr="007E26CA" w:rsidRDefault="00C36B8B" w:rsidP="00371BFA">
            <w:pPr>
              <w:spacing w:line="240" w:lineRule="auto"/>
              <w:jc w:val="left"/>
              <w:rPr>
                <w:rFonts w:cs="Times New Roman"/>
                <w:szCs w:val="24"/>
              </w:rPr>
            </w:pPr>
          </w:p>
        </w:tc>
        <w:tc>
          <w:tcPr>
            <w:tcW w:w="1099" w:type="dxa"/>
            <w:tcBorders>
              <w:top w:val="double" w:sz="4" w:space="0" w:color="auto"/>
              <w:bottom w:val="single" w:sz="4" w:space="0" w:color="auto"/>
            </w:tcBorders>
            <w:vAlign w:val="center"/>
          </w:tcPr>
          <w:p w14:paraId="50F14AFC" w14:textId="77777777" w:rsidR="00C36B8B" w:rsidRPr="007E26CA" w:rsidRDefault="00C36B8B" w:rsidP="00371BFA">
            <w:pPr>
              <w:spacing w:line="240" w:lineRule="auto"/>
              <w:jc w:val="left"/>
              <w:rPr>
                <w:rFonts w:cs="Times New Roman"/>
                <w:szCs w:val="24"/>
              </w:rPr>
            </w:pPr>
          </w:p>
        </w:tc>
      </w:tr>
      <w:tr w:rsidR="00C36B8B" w:rsidRPr="007E26CA" w14:paraId="48AADCF2" w14:textId="77777777" w:rsidTr="005E7339">
        <w:trPr>
          <w:trHeight w:val="300"/>
        </w:trPr>
        <w:tc>
          <w:tcPr>
            <w:tcW w:w="5385" w:type="dxa"/>
            <w:tcBorders>
              <w:top w:val="single" w:sz="4" w:space="0" w:color="auto"/>
            </w:tcBorders>
            <w:shd w:val="clear" w:color="auto" w:fill="auto"/>
            <w:noWrap/>
            <w:vAlign w:val="center"/>
          </w:tcPr>
          <w:p w14:paraId="6920B0C5" w14:textId="77777777" w:rsidR="00C36B8B" w:rsidRPr="007E26CA" w:rsidRDefault="00C36B8B" w:rsidP="00371BFA">
            <w:pPr>
              <w:spacing w:line="240" w:lineRule="auto"/>
              <w:ind w:left="600"/>
              <w:jc w:val="left"/>
              <w:rPr>
                <w:rFonts w:cs="Times New Roman"/>
                <w:color w:val="000000"/>
                <w:szCs w:val="24"/>
              </w:rPr>
            </w:pPr>
            <w:r w:rsidRPr="007E26CA">
              <w:rPr>
                <w:rFonts w:cs="Times New Roman"/>
                <w:color w:val="000000"/>
                <w:szCs w:val="24"/>
              </w:rPr>
              <w:t>Medium</w:t>
            </w:r>
          </w:p>
        </w:tc>
        <w:tc>
          <w:tcPr>
            <w:tcW w:w="1260" w:type="dxa"/>
            <w:tcBorders>
              <w:top w:val="single" w:sz="4" w:space="0" w:color="auto"/>
            </w:tcBorders>
            <w:shd w:val="clear" w:color="auto" w:fill="auto"/>
            <w:noWrap/>
            <w:vAlign w:val="center"/>
          </w:tcPr>
          <w:p w14:paraId="262A62BD"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tcBorders>
              <w:top w:val="single" w:sz="4" w:space="0" w:color="auto"/>
            </w:tcBorders>
            <w:shd w:val="clear" w:color="auto" w:fill="auto"/>
            <w:noWrap/>
            <w:vAlign w:val="center"/>
          </w:tcPr>
          <w:p w14:paraId="431AB916"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tcBorders>
              <w:top w:val="single" w:sz="4" w:space="0" w:color="auto"/>
            </w:tcBorders>
            <w:vAlign w:val="center"/>
          </w:tcPr>
          <w:p w14:paraId="733B6552" w14:textId="77777777" w:rsidR="00C36B8B" w:rsidRPr="007E26CA" w:rsidRDefault="00C36B8B" w:rsidP="00371BFA">
            <w:pPr>
              <w:spacing w:line="240" w:lineRule="auto"/>
              <w:jc w:val="center"/>
              <w:rPr>
                <w:rFonts w:cs="Times New Roman"/>
                <w:szCs w:val="24"/>
              </w:rPr>
            </w:pPr>
            <w:r w:rsidRPr="007E26CA">
              <w:rPr>
                <w:rFonts w:cs="Times New Roman"/>
                <w:szCs w:val="24"/>
              </w:rPr>
              <w:t>0.21</w:t>
            </w:r>
          </w:p>
        </w:tc>
      </w:tr>
      <w:tr w:rsidR="00C36B8B" w:rsidRPr="007E26CA" w14:paraId="6FAFBB68" w14:textId="77777777" w:rsidTr="005E7339">
        <w:trPr>
          <w:trHeight w:val="300"/>
        </w:trPr>
        <w:tc>
          <w:tcPr>
            <w:tcW w:w="5385" w:type="dxa"/>
            <w:shd w:val="clear" w:color="auto" w:fill="auto"/>
            <w:noWrap/>
            <w:vAlign w:val="center"/>
          </w:tcPr>
          <w:p w14:paraId="5DEB07F4" w14:textId="77777777" w:rsidR="00C36B8B" w:rsidRPr="007E26CA" w:rsidRDefault="00C36B8B" w:rsidP="00371BFA">
            <w:pPr>
              <w:spacing w:line="240" w:lineRule="auto"/>
              <w:ind w:left="600"/>
              <w:jc w:val="left"/>
              <w:rPr>
                <w:rFonts w:cs="Times New Roman"/>
                <w:color w:val="000000"/>
                <w:szCs w:val="24"/>
              </w:rPr>
            </w:pPr>
            <w:r w:rsidRPr="007E26CA">
              <w:rPr>
                <w:rFonts w:cs="Times New Roman"/>
                <w:color w:val="000000"/>
                <w:szCs w:val="24"/>
              </w:rPr>
              <w:t>High</w:t>
            </w:r>
          </w:p>
        </w:tc>
        <w:tc>
          <w:tcPr>
            <w:tcW w:w="1260" w:type="dxa"/>
            <w:shd w:val="clear" w:color="auto" w:fill="auto"/>
            <w:noWrap/>
            <w:vAlign w:val="center"/>
          </w:tcPr>
          <w:p w14:paraId="1C9D05E4"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shd w:val="clear" w:color="auto" w:fill="auto"/>
            <w:noWrap/>
            <w:vAlign w:val="center"/>
          </w:tcPr>
          <w:p w14:paraId="4EF7C508"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vAlign w:val="center"/>
          </w:tcPr>
          <w:p w14:paraId="124EAF82" w14:textId="77777777" w:rsidR="00C36B8B" w:rsidRPr="007E26CA" w:rsidRDefault="00C36B8B" w:rsidP="00371BFA">
            <w:pPr>
              <w:spacing w:line="240" w:lineRule="auto"/>
              <w:jc w:val="center"/>
              <w:rPr>
                <w:rFonts w:cs="Times New Roman"/>
                <w:szCs w:val="24"/>
              </w:rPr>
            </w:pPr>
            <w:r w:rsidRPr="007E26CA">
              <w:rPr>
                <w:rFonts w:cs="Times New Roman"/>
                <w:szCs w:val="24"/>
              </w:rPr>
              <w:t>0.06</w:t>
            </w:r>
          </w:p>
        </w:tc>
      </w:tr>
      <w:tr w:rsidR="00C36B8B" w:rsidRPr="007E26CA" w14:paraId="76B524E8" w14:textId="77777777" w:rsidTr="005E7339">
        <w:trPr>
          <w:trHeight w:val="300"/>
        </w:trPr>
        <w:tc>
          <w:tcPr>
            <w:tcW w:w="5385" w:type="dxa"/>
            <w:shd w:val="clear" w:color="auto" w:fill="auto"/>
            <w:noWrap/>
            <w:vAlign w:val="center"/>
            <w:hideMark/>
          </w:tcPr>
          <w:p w14:paraId="43B572ED"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Number of females in HH</w:t>
            </w:r>
          </w:p>
        </w:tc>
        <w:tc>
          <w:tcPr>
            <w:tcW w:w="1260" w:type="dxa"/>
            <w:shd w:val="clear" w:color="auto" w:fill="auto"/>
            <w:noWrap/>
            <w:vAlign w:val="center"/>
          </w:tcPr>
          <w:p w14:paraId="2306C88A"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shd w:val="clear" w:color="auto" w:fill="auto"/>
            <w:noWrap/>
            <w:vAlign w:val="center"/>
          </w:tcPr>
          <w:p w14:paraId="564812D3" w14:textId="77777777" w:rsidR="00C36B8B" w:rsidRPr="007E26CA" w:rsidRDefault="00C36B8B" w:rsidP="00371BFA">
            <w:pPr>
              <w:spacing w:line="240" w:lineRule="auto"/>
              <w:jc w:val="center"/>
              <w:rPr>
                <w:rFonts w:cs="Times New Roman"/>
                <w:szCs w:val="24"/>
              </w:rPr>
            </w:pPr>
            <w:r w:rsidRPr="007E26CA">
              <w:rPr>
                <w:rFonts w:cs="Times New Roman"/>
                <w:color w:val="000000"/>
                <w:szCs w:val="24"/>
              </w:rPr>
              <w:t>8</w:t>
            </w:r>
            <w:r>
              <w:rPr>
                <w:rFonts w:cs="Times New Roman"/>
                <w:color w:val="000000"/>
                <w:szCs w:val="24"/>
              </w:rPr>
              <w:t>.00</w:t>
            </w:r>
          </w:p>
        </w:tc>
        <w:tc>
          <w:tcPr>
            <w:tcW w:w="1099" w:type="dxa"/>
            <w:vAlign w:val="center"/>
          </w:tcPr>
          <w:p w14:paraId="26070770" w14:textId="77777777" w:rsidR="00C36B8B" w:rsidRPr="007E26CA" w:rsidRDefault="00C36B8B" w:rsidP="00371BFA">
            <w:pPr>
              <w:spacing w:line="240" w:lineRule="auto"/>
              <w:jc w:val="center"/>
              <w:rPr>
                <w:rFonts w:cs="Times New Roman"/>
                <w:szCs w:val="24"/>
              </w:rPr>
            </w:pPr>
            <w:r w:rsidRPr="007E26CA">
              <w:rPr>
                <w:rFonts w:cs="Times New Roman"/>
                <w:color w:val="000000"/>
                <w:szCs w:val="24"/>
              </w:rPr>
              <w:t>1.09</w:t>
            </w:r>
          </w:p>
        </w:tc>
      </w:tr>
      <w:tr w:rsidR="00C36B8B" w:rsidRPr="007E26CA" w14:paraId="06A480F3" w14:textId="77777777" w:rsidTr="005E7339">
        <w:trPr>
          <w:trHeight w:val="300"/>
        </w:trPr>
        <w:tc>
          <w:tcPr>
            <w:tcW w:w="5385" w:type="dxa"/>
            <w:shd w:val="clear" w:color="auto" w:fill="auto"/>
            <w:noWrap/>
            <w:vAlign w:val="center"/>
            <w:hideMark/>
          </w:tcPr>
          <w:p w14:paraId="1E55D497"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Number of vehicles in HH</w:t>
            </w:r>
          </w:p>
        </w:tc>
        <w:tc>
          <w:tcPr>
            <w:tcW w:w="1260" w:type="dxa"/>
            <w:shd w:val="clear" w:color="auto" w:fill="auto"/>
            <w:noWrap/>
            <w:vAlign w:val="center"/>
          </w:tcPr>
          <w:p w14:paraId="5DC96584"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243" w:type="dxa"/>
            <w:shd w:val="clear" w:color="auto" w:fill="auto"/>
            <w:noWrap/>
            <w:vAlign w:val="center"/>
          </w:tcPr>
          <w:p w14:paraId="12486FCB" w14:textId="77777777" w:rsidR="00C36B8B" w:rsidRPr="007E26CA" w:rsidRDefault="00C36B8B" w:rsidP="00371BFA">
            <w:pPr>
              <w:spacing w:line="240" w:lineRule="auto"/>
              <w:jc w:val="center"/>
              <w:rPr>
                <w:rFonts w:cs="Times New Roman"/>
                <w:szCs w:val="24"/>
              </w:rPr>
            </w:pPr>
            <w:r w:rsidRPr="007E26CA">
              <w:rPr>
                <w:rFonts w:cs="Times New Roman"/>
                <w:color w:val="000000"/>
                <w:szCs w:val="24"/>
              </w:rPr>
              <w:t>12</w:t>
            </w:r>
            <w:r>
              <w:rPr>
                <w:rFonts w:cs="Times New Roman"/>
                <w:color w:val="000000"/>
                <w:szCs w:val="24"/>
              </w:rPr>
              <w:t>.00</w:t>
            </w:r>
          </w:p>
        </w:tc>
        <w:tc>
          <w:tcPr>
            <w:tcW w:w="1099" w:type="dxa"/>
            <w:vAlign w:val="center"/>
          </w:tcPr>
          <w:p w14:paraId="7FF5755E" w14:textId="77777777" w:rsidR="00C36B8B" w:rsidRPr="007E26CA" w:rsidRDefault="00C36B8B" w:rsidP="00371BFA">
            <w:pPr>
              <w:spacing w:line="240" w:lineRule="auto"/>
              <w:jc w:val="center"/>
              <w:rPr>
                <w:rFonts w:cs="Times New Roman"/>
                <w:szCs w:val="24"/>
              </w:rPr>
            </w:pPr>
            <w:r w:rsidRPr="007E26CA">
              <w:rPr>
                <w:rFonts w:cs="Times New Roman"/>
                <w:color w:val="000000"/>
                <w:szCs w:val="24"/>
              </w:rPr>
              <w:t>2.11</w:t>
            </w:r>
          </w:p>
        </w:tc>
      </w:tr>
      <w:tr w:rsidR="00C36B8B" w:rsidRPr="007E26CA" w14:paraId="692DB9F3" w14:textId="77777777" w:rsidTr="005E7339">
        <w:trPr>
          <w:trHeight w:val="300"/>
        </w:trPr>
        <w:tc>
          <w:tcPr>
            <w:tcW w:w="5385" w:type="dxa"/>
            <w:shd w:val="clear" w:color="auto" w:fill="auto"/>
            <w:noWrap/>
            <w:vAlign w:val="center"/>
          </w:tcPr>
          <w:p w14:paraId="6FF3B008"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Number of drivers in HH</w:t>
            </w:r>
          </w:p>
        </w:tc>
        <w:tc>
          <w:tcPr>
            <w:tcW w:w="1260" w:type="dxa"/>
            <w:shd w:val="clear" w:color="auto" w:fill="auto"/>
            <w:noWrap/>
            <w:vAlign w:val="center"/>
          </w:tcPr>
          <w:p w14:paraId="72B5273A" w14:textId="77777777" w:rsidR="00C36B8B" w:rsidRPr="007E26CA" w:rsidRDefault="00C36B8B" w:rsidP="00371BFA">
            <w:pPr>
              <w:spacing w:line="240" w:lineRule="auto"/>
              <w:jc w:val="center"/>
              <w:rPr>
                <w:rFonts w:cs="Times New Roman"/>
                <w:szCs w:val="24"/>
              </w:rPr>
            </w:pPr>
            <w:r w:rsidRPr="00065EF7">
              <w:rPr>
                <w:rFonts w:eastAsia="Times New Roman" w:cs="Times New Roman"/>
                <w:color w:val="000000"/>
                <w:szCs w:val="24"/>
                <w:lang w:val="en-US"/>
              </w:rPr>
              <w:t>0.00</w:t>
            </w:r>
          </w:p>
        </w:tc>
        <w:tc>
          <w:tcPr>
            <w:tcW w:w="1243" w:type="dxa"/>
            <w:shd w:val="clear" w:color="auto" w:fill="auto"/>
            <w:noWrap/>
            <w:vAlign w:val="center"/>
          </w:tcPr>
          <w:p w14:paraId="2AAED3E2" w14:textId="77777777" w:rsidR="00C36B8B" w:rsidRPr="007E26CA" w:rsidRDefault="00C36B8B" w:rsidP="00371BFA">
            <w:pPr>
              <w:spacing w:line="240" w:lineRule="auto"/>
              <w:jc w:val="center"/>
              <w:rPr>
                <w:rFonts w:cs="Times New Roman"/>
                <w:szCs w:val="24"/>
              </w:rPr>
            </w:pPr>
            <w:r w:rsidRPr="007E26CA">
              <w:rPr>
                <w:rFonts w:cs="Times New Roman"/>
                <w:color w:val="000000"/>
                <w:szCs w:val="24"/>
              </w:rPr>
              <w:t>9</w:t>
            </w:r>
            <w:r>
              <w:rPr>
                <w:rFonts w:cs="Times New Roman"/>
                <w:color w:val="000000"/>
                <w:szCs w:val="24"/>
              </w:rPr>
              <w:t>.00</w:t>
            </w:r>
          </w:p>
        </w:tc>
        <w:tc>
          <w:tcPr>
            <w:tcW w:w="1099" w:type="dxa"/>
            <w:vAlign w:val="center"/>
          </w:tcPr>
          <w:p w14:paraId="100349AA" w14:textId="77777777" w:rsidR="00C36B8B" w:rsidRPr="007E26CA" w:rsidRDefault="00C36B8B" w:rsidP="00371BFA">
            <w:pPr>
              <w:spacing w:line="240" w:lineRule="auto"/>
              <w:jc w:val="center"/>
              <w:rPr>
                <w:rFonts w:cs="Times New Roman"/>
                <w:szCs w:val="24"/>
              </w:rPr>
            </w:pPr>
            <w:r w:rsidRPr="007E26CA">
              <w:rPr>
                <w:rFonts w:cs="Times New Roman"/>
                <w:color w:val="000000"/>
                <w:szCs w:val="24"/>
              </w:rPr>
              <w:t>1.77</w:t>
            </w:r>
          </w:p>
        </w:tc>
      </w:tr>
      <w:tr w:rsidR="00C36B8B" w:rsidRPr="007E26CA" w14:paraId="4D7AF1EA" w14:textId="77777777" w:rsidTr="005E7339">
        <w:trPr>
          <w:trHeight w:val="300"/>
        </w:trPr>
        <w:tc>
          <w:tcPr>
            <w:tcW w:w="5385" w:type="dxa"/>
            <w:shd w:val="clear" w:color="auto" w:fill="auto"/>
            <w:noWrap/>
            <w:vAlign w:val="center"/>
          </w:tcPr>
          <w:p w14:paraId="1A438C27"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Number of workers in HH</w:t>
            </w:r>
          </w:p>
        </w:tc>
        <w:tc>
          <w:tcPr>
            <w:tcW w:w="1260" w:type="dxa"/>
            <w:shd w:val="clear" w:color="auto" w:fill="auto"/>
            <w:noWrap/>
            <w:vAlign w:val="center"/>
          </w:tcPr>
          <w:p w14:paraId="2C6464B9" w14:textId="77777777" w:rsidR="00C36B8B" w:rsidRPr="007E26CA" w:rsidRDefault="00C36B8B" w:rsidP="00371BFA">
            <w:pPr>
              <w:spacing w:line="240" w:lineRule="auto"/>
              <w:jc w:val="center"/>
              <w:rPr>
                <w:rFonts w:cs="Times New Roman"/>
                <w:szCs w:val="24"/>
              </w:rPr>
            </w:pPr>
            <w:r w:rsidRPr="00065EF7">
              <w:rPr>
                <w:rFonts w:eastAsia="Times New Roman" w:cs="Times New Roman"/>
                <w:color w:val="000000"/>
                <w:szCs w:val="24"/>
                <w:lang w:val="en-US"/>
              </w:rPr>
              <w:t>0.00</w:t>
            </w:r>
          </w:p>
        </w:tc>
        <w:tc>
          <w:tcPr>
            <w:tcW w:w="1243" w:type="dxa"/>
            <w:shd w:val="clear" w:color="auto" w:fill="auto"/>
            <w:noWrap/>
            <w:vAlign w:val="center"/>
          </w:tcPr>
          <w:p w14:paraId="2278DBA9" w14:textId="77777777" w:rsidR="00C36B8B" w:rsidRPr="007E26CA" w:rsidRDefault="00C36B8B" w:rsidP="00371BFA">
            <w:pPr>
              <w:spacing w:line="240" w:lineRule="auto"/>
              <w:jc w:val="center"/>
              <w:rPr>
                <w:rFonts w:cs="Times New Roman"/>
                <w:szCs w:val="24"/>
              </w:rPr>
            </w:pPr>
            <w:r w:rsidRPr="007E26CA">
              <w:rPr>
                <w:rFonts w:cs="Times New Roman"/>
                <w:szCs w:val="24"/>
              </w:rPr>
              <w:t>7</w:t>
            </w:r>
            <w:r>
              <w:rPr>
                <w:rFonts w:cs="Times New Roman"/>
                <w:szCs w:val="24"/>
              </w:rPr>
              <w:t>.00</w:t>
            </w:r>
          </w:p>
        </w:tc>
        <w:tc>
          <w:tcPr>
            <w:tcW w:w="1099" w:type="dxa"/>
            <w:vAlign w:val="center"/>
          </w:tcPr>
          <w:p w14:paraId="118F9CB1" w14:textId="77777777" w:rsidR="00C36B8B" w:rsidRPr="007E26CA" w:rsidRDefault="00C36B8B" w:rsidP="00371BFA">
            <w:pPr>
              <w:spacing w:line="240" w:lineRule="auto"/>
              <w:jc w:val="center"/>
              <w:rPr>
                <w:rFonts w:cs="Times New Roman"/>
                <w:szCs w:val="24"/>
              </w:rPr>
            </w:pPr>
            <w:r w:rsidRPr="007E26CA">
              <w:rPr>
                <w:rFonts w:cs="Times New Roman"/>
                <w:szCs w:val="24"/>
              </w:rPr>
              <w:t>1.08</w:t>
            </w:r>
          </w:p>
        </w:tc>
      </w:tr>
      <w:tr w:rsidR="00C36B8B" w:rsidRPr="007E26CA" w14:paraId="5F924E39" w14:textId="77777777" w:rsidTr="005E7339">
        <w:trPr>
          <w:trHeight w:val="300"/>
        </w:trPr>
        <w:tc>
          <w:tcPr>
            <w:tcW w:w="5385" w:type="dxa"/>
            <w:shd w:val="clear" w:color="auto" w:fill="auto"/>
            <w:noWrap/>
            <w:vAlign w:val="center"/>
            <w:hideMark/>
          </w:tcPr>
          <w:p w14:paraId="009F8005"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 xml:space="preserve">Mean age of HH members </w:t>
            </w:r>
          </w:p>
        </w:tc>
        <w:tc>
          <w:tcPr>
            <w:tcW w:w="1260" w:type="dxa"/>
            <w:shd w:val="clear" w:color="auto" w:fill="auto"/>
            <w:noWrap/>
            <w:vAlign w:val="center"/>
          </w:tcPr>
          <w:p w14:paraId="01FEE369" w14:textId="77777777" w:rsidR="00C36B8B" w:rsidRPr="007E26CA" w:rsidRDefault="00C36B8B" w:rsidP="00371BFA">
            <w:pPr>
              <w:spacing w:line="240" w:lineRule="auto"/>
              <w:jc w:val="center"/>
              <w:rPr>
                <w:rFonts w:cs="Times New Roman"/>
                <w:szCs w:val="24"/>
              </w:rPr>
            </w:pPr>
            <w:r>
              <w:rPr>
                <w:rFonts w:cs="Times New Roman"/>
                <w:szCs w:val="24"/>
              </w:rPr>
              <w:t>11.00</w:t>
            </w:r>
          </w:p>
        </w:tc>
        <w:tc>
          <w:tcPr>
            <w:tcW w:w="1243" w:type="dxa"/>
            <w:shd w:val="clear" w:color="auto" w:fill="auto"/>
            <w:noWrap/>
            <w:vAlign w:val="center"/>
          </w:tcPr>
          <w:p w14:paraId="2A66F156" w14:textId="77777777" w:rsidR="00C36B8B" w:rsidRPr="007E26CA" w:rsidRDefault="00C36B8B" w:rsidP="00371BFA">
            <w:pPr>
              <w:spacing w:line="240" w:lineRule="auto"/>
              <w:jc w:val="center"/>
              <w:rPr>
                <w:rFonts w:cs="Times New Roman"/>
                <w:szCs w:val="24"/>
              </w:rPr>
            </w:pPr>
            <w:r>
              <w:rPr>
                <w:rFonts w:cs="Times New Roman"/>
                <w:szCs w:val="24"/>
              </w:rPr>
              <w:t>92.00</w:t>
            </w:r>
          </w:p>
        </w:tc>
        <w:tc>
          <w:tcPr>
            <w:tcW w:w="1099" w:type="dxa"/>
            <w:vAlign w:val="center"/>
          </w:tcPr>
          <w:p w14:paraId="4A454C70" w14:textId="77777777" w:rsidR="00C36B8B" w:rsidRPr="007E26CA" w:rsidRDefault="00C36B8B" w:rsidP="00371BFA">
            <w:pPr>
              <w:spacing w:line="240" w:lineRule="auto"/>
              <w:jc w:val="center"/>
              <w:rPr>
                <w:rFonts w:cs="Times New Roman"/>
                <w:szCs w:val="24"/>
              </w:rPr>
            </w:pPr>
            <w:r>
              <w:rPr>
                <w:rFonts w:cs="Times New Roman"/>
                <w:szCs w:val="24"/>
              </w:rPr>
              <w:t>52.87</w:t>
            </w:r>
          </w:p>
        </w:tc>
      </w:tr>
      <w:tr w:rsidR="00C36B8B" w:rsidRPr="007E26CA" w14:paraId="476D28A5" w14:textId="77777777" w:rsidTr="005E7339">
        <w:trPr>
          <w:trHeight w:val="300"/>
        </w:trPr>
        <w:tc>
          <w:tcPr>
            <w:tcW w:w="5385" w:type="dxa"/>
            <w:tcBorders>
              <w:bottom w:val="single" w:sz="4" w:space="0" w:color="auto"/>
            </w:tcBorders>
            <w:shd w:val="clear" w:color="auto" w:fill="auto"/>
            <w:noWrap/>
            <w:vAlign w:val="center"/>
          </w:tcPr>
          <w:p w14:paraId="0ACFC7A9"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HH average annual miles</w:t>
            </w:r>
          </w:p>
        </w:tc>
        <w:tc>
          <w:tcPr>
            <w:tcW w:w="1260" w:type="dxa"/>
            <w:tcBorders>
              <w:bottom w:val="single" w:sz="4" w:space="0" w:color="auto"/>
            </w:tcBorders>
            <w:shd w:val="clear" w:color="auto" w:fill="auto"/>
            <w:noWrap/>
            <w:vAlign w:val="center"/>
          </w:tcPr>
          <w:p w14:paraId="602B67E6"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rPr>
              <w:t>2.83</w:t>
            </w:r>
          </w:p>
        </w:tc>
        <w:tc>
          <w:tcPr>
            <w:tcW w:w="1243" w:type="dxa"/>
            <w:tcBorders>
              <w:bottom w:val="single" w:sz="4" w:space="0" w:color="auto"/>
            </w:tcBorders>
            <w:shd w:val="clear" w:color="auto" w:fill="auto"/>
            <w:noWrap/>
            <w:vAlign w:val="center"/>
          </w:tcPr>
          <w:p w14:paraId="7C3DC3A9"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rPr>
              <w:t>254,309</w:t>
            </w:r>
          </w:p>
        </w:tc>
        <w:tc>
          <w:tcPr>
            <w:tcW w:w="1099" w:type="dxa"/>
            <w:tcBorders>
              <w:bottom w:val="single" w:sz="4" w:space="0" w:color="auto"/>
            </w:tcBorders>
            <w:vAlign w:val="center"/>
          </w:tcPr>
          <w:p w14:paraId="688813D1" w14:textId="77777777" w:rsidR="00C36B8B" w:rsidRPr="007E26CA" w:rsidRDefault="00C36B8B" w:rsidP="00371BFA">
            <w:pPr>
              <w:spacing w:line="240" w:lineRule="auto"/>
              <w:jc w:val="center"/>
              <w:rPr>
                <w:rFonts w:cs="Times New Roman"/>
                <w:szCs w:val="24"/>
              </w:rPr>
            </w:pPr>
            <w:r w:rsidRPr="007E26CA">
              <w:rPr>
                <w:rFonts w:eastAsia="Times New Roman" w:cs="Times New Roman"/>
                <w:color w:val="000000"/>
                <w:szCs w:val="24"/>
              </w:rPr>
              <w:t>20,994</w:t>
            </w:r>
          </w:p>
        </w:tc>
      </w:tr>
      <w:tr w:rsidR="00C36B8B" w:rsidRPr="007E26CA" w14:paraId="30FA9524" w14:textId="77777777" w:rsidTr="005E7339">
        <w:trPr>
          <w:trHeight w:val="300"/>
        </w:trPr>
        <w:tc>
          <w:tcPr>
            <w:tcW w:w="5385" w:type="dxa"/>
            <w:tcBorders>
              <w:bottom w:val="single" w:sz="4" w:space="0" w:color="auto"/>
            </w:tcBorders>
            <w:shd w:val="clear" w:color="auto" w:fill="auto"/>
            <w:noWrap/>
            <w:vAlign w:val="center"/>
          </w:tcPr>
          <w:p w14:paraId="41BD151D"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People use car daily</w:t>
            </w:r>
          </w:p>
        </w:tc>
        <w:tc>
          <w:tcPr>
            <w:tcW w:w="1260" w:type="dxa"/>
            <w:tcBorders>
              <w:bottom w:val="single" w:sz="4" w:space="0" w:color="auto"/>
            </w:tcBorders>
            <w:shd w:val="clear" w:color="auto" w:fill="auto"/>
            <w:noWrap/>
            <w:vAlign w:val="center"/>
          </w:tcPr>
          <w:p w14:paraId="0DDFC4D7"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tcBorders>
              <w:bottom w:val="single" w:sz="4" w:space="0" w:color="auto"/>
            </w:tcBorders>
            <w:shd w:val="clear" w:color="auto" w:fill="auto"/>
            <w:noWrap/>
            <w:vAlign w:val="center"/>
          </w:tcPr>
          <w:p w14:paraId="5C8F34A2"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tcBorders>
              <w:bottom w:val="single" w:sz="4" w:space="0" w:color="auto"/>
            </w:tcBorders>
            <w:vAlign w:val="center"/>
          </w:tcPr>
          <w:p w14:paraId="7CE32475" w14:textId="77777777" w:rsidR="00C36B8B" w:rsidRPr="007E26CA" w:rsidRDefault="00C36B8B" w:rsidP="00371BFA">
            <w:pPr>
              <w:spacing w:line="240" w:lineRule="auto"/>
              <w:jc w:val="center"/>
              <w:rPr>
                <w:rFonts w:cs="Times New Roman"/>
                <w:szCs w:val="24"/>
              </w:rPr>
            </w:pPr>
            <w:r w:rsidRPr="007E26CA">
              <w:rPr>
                <w:rFonts w:cs="Times New Roman"/>
                <w:szCs w:val="24"/>
              </w:rPr>
              <w:t>0.16</w:t>
            </w:r>
          </w:p>
        </w:tc>
      </w:tr>
      <w:tr w:rsidR="00C36B8B" w:rsidRPr="007E26CA" w14:paraId="35633DC2" w14:textId="77777777" w:rsidTr="005E7339">
        <w:trPr>
          <w:trHeight w:val="300"/>
        </w:trPr>
        <w:tc>
          <w:tcPr>
            <w:tcW w:w="5385" w:type="dxa"/>
            <w:tcBorders>
              <w:bottom w:val="single" w:sz="4" w:space="0" w:color="auto"/>
            </w:tcBorders>
            <w:shd w:val="clear" w:color="auto" w:fill="auto"/>
            <w:noWrap/>
            <w:vAlign w:val="center"/>
          </w:tcPr>
          <w:p w14:paraId="18384AA4"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People use bicycle daily</w:t>
            </w:r>
          </w:p>
        </w:tc>
        <w:tc>
          <w:tcPr>
            <w:tcW w:w="1260" w:type="dxa"/>
            <w:tcBorders>
              <w:bottom w:val="single" w:sz="4" w:space="0" w:color="auto"/>
            </w:tcBorders>
            <w:shd w:val="clear" w:color="auto" w:fill="auto"/>
            <w:noWrap/>
            <w:vAlign w:val="center"/>
          </w:tcPr>
          <w:p w14:paraId="429430C6"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tcBorders>
              <w:bottom w:val="single" w:sz="4" w:space="0" w:color="auto"/>
            </w:tcBorders>
            <w:shd w:val="clear" w:color="auto" w:fill="auto"/>
            <w:noWrap/>
            <w:vAlign w:val="center"/>
          </w:tcPr>
          <w:p w14:paraId="4A1FE270"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tcBorders>
              <w:bottom w:val="single" w:sz="4" w:space="0" w:color="auto"/>
            </w:tcBorders>
            <w:vAlign w:val="center"/>
          </w:tcPr>
          <w:p w14:paraId="443EB99B" w14:textId="77777777" w:rsidR="00C36B8B" w:rsidRPr="007E26CA" w:rsidRDefault="00C36B8B" w:rsidP="00371BFA">
            <w:pPr>
              <w:spacing w:line="240" w:lineRule="auto"/>
              <w:jc w:val="center"/>
              <w:rPr>
                <w:rFonts w:cs="Times New Roman"/>
                <w:szCs w:val="24"/>
              </w:rPr>
            </w:pPr>
            <w:r w:rsidRPr="007E26CA">
              <w:rPr>
                <w:rFonts w:cs="Times New Roman"/>
                <w:szCs w:val="24"/>
              </w:rPr>
              <w:t>0.01</w:t>
            </w:r>
          </w:p>
        </w:tc>
      </w:tr>
      <w:tr w:rsidR="00C36B8B" w:rsidRPr="007E26CA" w14:paraId="151ADB69" w14:textId="77777777" w:rsidTr="005E7339">
        <w:trPr>
          <w:trHeight w:val="300"/>
        </w:trPr>
        <w:tc>
          <w:tcPr>
            <w:tcW w:w="5385" w:type="dxa"/>
            <w:tcBorders>
              <w:bottom w:val="single" w:sz="4" w:space="0" w:color="auto"/>
            </w:tcBorders>
            <w:shd w:val="clear" w:color="auto" w:fill="auto"/>
            <w:noWrap/>
            <w:vAlign w:val="center"/>
          </w:tcPr>
          <w:p w14:paraId="3B451C22"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People walk daily</w:t>
            </w:r>
          </w:p>
        </w:tc>
        <w:tc>
          <w:tcPr>
            <w:tcW w:w="1260" w:type="dxa"/>
            <w:tcBorders>
              <w:bottom w:val="single" w:sz="4" w:space="0" w:color="auto"/>
            </w:tcBorders>
            <w:shd w:val="clear" w:color="auto" w:fill="auto"/>
            <w:noWrap/>
            <w:vAlign w:val="center"/>
          </w:tcPr>
          <w:p w14:paraId="65552A54"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tcBorders>
              <w:bottom w:val="single" w:sz="4" w:space="0" w:color="auto"/>
            </w:tcBorders>
            <w:shd w:val="clear" w:color="auto" w:fill="auto"/>
            <w:noWrap/>
            <w:vAlign w:val="center"/>
          </w:tcPr>
          <w:p w14:paraId="0F45BA86"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tcBorders>
              <w:bottom w:val="single" w:sz="4" w:space="0" w:color="auto"/>
            </w:tcBorders>
            <w:vAlign w:val="center"/>
          </w:tcPr>
          <w:p w14:paraId="011170A3" w14:textId="77777777" w:rsidR="00C36B8B" w:rsidRPr="007E26CA" w:rsidRDefault="00C36B8B" w:rsidP="00371BFA">
            <w:pPr>
              <w:spacing w:line="240" w:lineRule="auto"/>
              <w:jc w:val="center"/>
              <w:rPr>
                <w:rFonts w:cs="Times New Roman"/>
                <w:szCs w:val="24"/>
              </w:rPr>
            </w:pPr>
            <w:r w:rsidRPr="007E26CA">
              <w:rPr>
                <w:rFonts w:cs="Times New Roman"/>
                <w:szCs w:val="24"/>
              </w:rPr>
              <w:t>0.16</w:t>
            </w:r>
          </w:p>
        </w:tc>
      </w:tr>
      <w:tr w:rsidR="00C36B8B" w:rsidRPr="007E26CA" w14:paraId="56032669" w14:textId="77777777" w:rsidTr="005E7339">
        <w:trPr>
          <w:trHeight w:val="300"/>
        </w:trPr>
        <w:tc>
          <w:tcPr>
            <w:tcW w:w="5385" w:type="dxa"/>
            <w:shd w:val="clear" w:color="auto" w:fill="auto"/>
            <w:noWrap/>
            <w:vAlign w:val="center"/>
          </w:tcPr>
          <w:p w14:paraId="425FF57B" w14:textId="77777777" w:rsidR="00C36B8B" w:rsidRPr="007E26CA" w:rsidRDefault="00C36B8B" w:rsidP="00371BFA">
            <w:pPr>
              <w:spacing w:line="240" w:lineRule="auto"/>
              <w:ind w:left="240"/>
              <w:jc w:val="left"/>
              <w:rPr>
                <w:rFonts w:cs="Times New Roman"/>
                <w:color w:val="000000"/>
                <w:szCs w:val="24"/>
              </w:rPr>
            </w:pPr>
            <w:r w:rsidRPr="007E26CA">
              <w:rPr>
                <w:rFonts w:cs="Times New Roman"/>
                <w:color w:val="000000"/>
                <w:szCs w:val="24"/>
              </w:rPr>
              <w:t>People use transit daily</w:t>
            </w:r>
          </w:p>
        </w:tc>
        <w:tc>
          <w:tcPr>
            <w:tcW w:w="1260" w:type="dxa"/>
            <w:shd w:val="clear" w:color="auto" w:fill="auto"/>
            <w:noWrap/>
            <w:vAlign w:val="center"/>
          </w:tcPr>
          <w:p w14:paraId="765946B6" w14:textId="77777777" w:rsidR="00C36B8B" w:rsidRPr="007E26CA" w:rsidRDefault="00C36B8B" w:rsidP="00371BFA">
            <w:pPr>
              <w:spacing w:line="240" w:lineRule="auto"/>
              <w:jc w:val="center"/>
              <w:rPr>
                <w:rFonts w:cs="Times New Roman"/>
                <w:szCs w:val="24"/>
              </w:rPr>
            </w:pPr>
            <w:r w:rsidRPr="00977680">
              <w:rPr>
                <w:rFonts w:eastAsia="Times New Roman" w:cs="Times New Roman"/>
                <w:color w:val="000000"/>
                <w:szCs w:val="24"/>
                <w:lang w:val="en-US"/>
              </w:rPr>
              <w:t>0.00</w:t>
            </w:r>
          </w:p>
        </w:tc>
        <w:tc>
          <w:tcPr>
            <w:tcW w:w="1243" w:type="dxa"/>
            <w:shd w:val="clear" w:color="auto" w:fill="auto"/>
            <w:noWrap/>
            <w:vAlign w:val="center"/>
          </w:tcPr>
          <w:p w14:paraId="59FAA02A" w14:textId="77777777" w:rsidR="00C36B8B" w:rsidRPr="007E26CA" w:rsidRDefault="00C36B8B" w:rsidP="00371BFA">
            <w:pPr>
              <w:spacing w:line="240" w:lineRule="auto"/>
              <w:jc w:val="center"/>
              <w:rPr>
                <w:rFonts w:cs="Times New Roman"/>
                <w:szCs w:val="24"/>
              </w:rPr>
            </w:pPr>
            <w:r>
              <w:rPr>
                <w:rFonts w:cs="Times New Roman"/>
                <w:szCs w:val="24"/>
              </w:rPr>
              <w:t>1.00</w:t>
            </w:r>
          </w:p>
        </w:tc>
        <w:tc>
          <w:tcPr>
            <w:tcW w:w="1099" w:type="dxa"/>
            <w:vAlign w:val="center"/>
          </w:tcPr>
          <w:p w14:paraId="7EDF4265" w14:textId="77777777" w:rsidR="00C36B8B" w:rsidRPr="007E26CA" w:rsidRDefault="00C36B8B" w:rsidP="00371BFA">
            <w:pPr>
              <w:spacing w:line="240" w:lineRule="auto"/>
              <w:jc w:val="center"/>
              <w:rPr>
                <w:rFonts w:cs="Times New Roman"/>
                <w:szCs w:val="24"/>
              </w:rPr>
            </w:pPr>
            <w:r w:rsidRPr="007E26CA">
              <w:rPr>
                <w:rFonts w:cs="Times New Roman"/>
                <w:szCs w:val="24"/>
              </w:rPr>
              <w:t>0.01</w:t>
            </w:r>
          </w:p>
        </w:tc>
      </w:tr>
    </w:tbl>
    <w:p w14:paraId="7C72CE14" w14:textId="05E8E593" w:rsidR="00E25D47" w:rsidRPr="00E25D47" w:rsidRDefault="00E25D47" w:rsidP="00E25D47">
      <w:pPr>
        <w:rPr>
          <w:lang w:val="en-US"/>
        </w:rPr>
      </w:pPr>
      <w:r w:rsidRPr="00E25D47">
        <w:rPr>
          <w:noProof/>
          <w:lang w:val="en-US"/>
        </w:rPr>
        <w:drawing>
          <wp:inline distT="0" distB="0" distL="0" distR="0" wp14:anchorId="05F75489" wp14:editId="714BE290">
            <wp:extent cx="5943600" cy="3613150"/>
            <wp:effectExtent l="0" t="0" r="0" b="6350"/>
            <wp:docPr id="1460277176" name="Picture 6" descr="A comparison of a number of household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7176" name="Picture 6" descr="A comparison of a number of household distribu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13150"/>
                    </a:xfrm>
                    <a:prstGeom prst="rect">
                      <a:avLst/>
                    </a:prstGeom>
                    <a:noFill/>
                    <a:ln>
                      <a:noFill/>
                    </a:ln>
                  </pic:spPr>
                </pic:pic>
              </a:graphicData>
            </a:graphic>
          </wp:inline>
        </w:drawing>
      </w:r>
    </w:p>
    <w:p w14:paraId="34A77814" w14:textId="4F4626EF" w:rsidR="007E7BA2" w:rsidRDefault="00ED2BCB" w:rsidP="000B26F3">
      <w:pPr>
        <w:pStyle w:val="Heading2"/>
      </w:pPr>
      <w:r>
        <w:lastRenderedPageBreak/>
        <w:t xml:space="preserve">4.1 </w:t>
      </w:r>
      <w:r w:rsidR="007E7BA2">
        <w:t>Selecting Variables Fusion</w:t>
      </w:r>
    </w:p>
    <w:p w14:paraId="0BAEAB63" w14:textId="25BAEAE1" w:rsidR="007E7BA2" w:rsidRDefault="007E7BA2" w:rsidP="007E7BA2">
      <w:r>
        <w:t xml:space="preserve">In the current analysis, we tried several combinations of these </w:t>
      </w:r>
      <w:r w:rsidR="00571A4D">
        <w:t>factors</w:t>
      </w:r>
      <w:r>
        <w:t xml:space="preserve"> for linking the two datasets and for each combination, we calculate the improvement in </w:t>
      </w:r>
      <w:r w:rsidR="00A42D02">
        <w:t xml:space="preserve">average (we consider </w:t>
      </w:r>
      <w:r w:rsidR="000B53B9">
        <w:t>N=</w:t>
      </w:r>
      <w:r w:rsidR="00A42D02">
        <w:t xml:space="preserve">15 samples) </w:t>
      </w:r>
      <w:r>
        <w:t>log-likelihood</w:t>
      </w:r>
      <w:r w:rsidR="00377338">
        <w:t xml:space="preserve"> (LL)</w:t>
      </w:r>
      <w:r>
        <w:t xml:space="preserve"> relative to the simple linear regression model that is e</w:t>
      </w:r>
      <w:r w:rsidR="00BB0A00">
        <w:t>stimated</w:t>
      </w:r>
      <w:r>
        <w:t xml:space="preserve"> using the RECS data only. Finally, we select the corresponding combination that provides the superior improvement. The </w:t>
      </w:r>
      <w:r w:rsidR="00377338">
        <w:t xml:space="preserve">average </w:t>
      </w:r>
      <w:r>
        <w:t xml:space="preserve">LL improvement measures across each variable/variable groups are plotted in Figure </w:t>
      </w:r>
      <w:r w:rsidR="00EB55E6">
        <w:t>4</w:t>
      </w:r>
      <w:r>
        <w:t xml:space="preserve">. </w:t>
      </w:r>
      <w:r w:rsidR="00086D8E">
        <w:t>From this plot, we can clearly see the relatively higher average LL improvement when household from both datasets are fused based on census division and location classified as urban or rural. We select this variable group for linking the two datasets and proceed to the next step.</w:t>
      </w:r>
    </w:p>
    <w:p w14:paraId="7ACADFAD" w14:textId="60290B6C" w:rsidR="00E25D47" w:rsidRPr="00E25D47" w:rsidRDefault="00E25D47" w:rsidP="00E25D47">
      <w:pPr>
        <w:rPr>
          <w:noProof/>
          <w:lang w:val="en-US"/>
        </w:rPr>
      </w:pPr>
      <w:r w:rsidRPr="00E25D47">
        <w:rPr>
          <w:noProof/>
          <w:lang w:val="en-US"/>
        </w:rPr>
        <w:drawing>
          <wp:inline distT="0" distB="0" distL="0" distR="0" wp14:anchorId="19BCCB2B" wp14:editId="55F63512">
            <wp:extent cx="5943600" cy="3813810"/>
            <wp:effectExtent l="0" t="0" r="0" b="0"/>
            <wp:docPr id="1961532469" name="Picture 8" descr="A graph of different gas ty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32469" name="Picture 8" descr="A graph of different gas type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13810"/>
                    </a:xfrm>
                    <a:prstGeom prst="rect">
                      <a:avLst/>
                    </a:prstGeom>
                    <a:noFill/>
                    <a:ln>
                      <a:noFill/>
                    </a:ln>
                  </pic:spPr>
                </pic:pic>
              </a:graphicData>
            </a:graphic>
          </wp:inline>
        </w:drawing>
      </w:r>
    </w:p>
    <w:p w14:paraId="7E424E72" w14:textId="4A26CD72" w:rsidR="00D32600" w:rsidRDefault="00ED2BCB" w:rsidP="000B26F3">
      <w:pPr>
        <w:pStyle w:val="Heading2"/>
      </w:pPr>
      <w:r>
        <w:lastRenderedPageBreak/>
        <w:t xml:space="preserve">4.2 </w:t>
      </w:r>
      <w:r w:rsidR="00D32600">
        <w:t>Selecting Number of Matching Records for Fusion</w:t>
      </w:r>
    </w:p>
    <w:p w14:paraId="50C85B48" w14:textId="7729B438" w:rsidR="00D32600" w:rsidRDefault="00D32600" w:rsidP="00D32600">
      <w:r>
        <w:t xml:space="preserve">Based on the result obtained in the first step, we linked the two datasets based on similar HH location and created N=15 fused databases using multiple matching records of K including 3,5, 10, 15, 20, 30, 40 and 50 (see Figure </w:t>
      </w:r>
      <w:r w:rsidR="00EB55E6">
        <w:t>5</w:t>
      </w:r>
      <w:r>
        <w:t>). We compute the improvement in average LL measures for different value</w:t>
      </w:r>
      <w:r w:rsidR="0013311D">
        <w:t>s</w:t>
      </w:r>
      <w:r>
        <w:t xml:space="preserve"> of K. From the Figure (</w:t>
      </w:r>
      <w:r w:rsidR="00EB55E6">
        <w:t>5</w:t>
      </w:r>
      <w:r>
        <w:t xml:space="preserve">), we can clearly see there is significant improvement in average LL as K increases in the initial stages. After </w:t>
      </w:r>
      <w:r w:rsidR="00BA496B">
        <w:t xml:space="preserve">a </w:t>
      </w:r>
      <w:r>
        <w:t xml:space="preserve">K value of 15, only marginal changes to average LL improvement are noticed. </w:t>
      </w:r>
      <w:r w:rsidR="00F9790E">
        <w:t xml:space="preserve">However, with increased K value, </w:t>
      </w:r>
      <w:r>
        <w:t xml:space="preserve">the model estimation times will continue to increase as the number of effective records increase with K. Thus, from the perspective of model improvement and run times, we select K=15 as the optimal value. Thus, for each sample, 15 records from NHTS will be added to the RECS sample.  </w:t>
      </w:r>
    </w:p>
    <w:p w14:paraId="4A88D9DD" w14:textId="2C9FB8DF" w:rsidR="00E25D47" w:rsidRPr="00E25D47" w:rsidRDefault="00E25D47" w:rsidP="00E25D47">
      <w:pPr>
        <w:rPr>
          <w:lang w:val="en-US"/>
        </w:rPr>
      </w:pPr>
      <w:r w:rsidRPr="00E25D47">
        <w:rPr>
          <w:noProof/>
          <w:lang w:val="en-US"/>
        </w:rPr>
        <w:drawing>
          <wp:inline distT="0" distB="0" distL="0" distR="0" wp14:anchorId="0454F6B3" wp14:editId="1A6D1F45">
            <wp:extent cx="5943600" cy="3759835"/>
            <wp:effectExtent l="0" t="0" r="0" b="0"/>
            <wp:docPr id="1588562965" name="Picture 10" descr="A graph of energy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62965" name="Picture 10" descr="A graph of energy consump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59835"/>
                    </a:xfrm>
                    <a:prstGeom prst="rect">
                      <a:avLst/>
                    </a:prstGeom>
                    <a:noFill/>
                    <a:ln>
                      <a:noFill/>
                    </a:ln>
                  </pic:spPr>
                </pic:pic>
              </a:graphicData>
            </a:graphic>
          </wp:inline>
        </w:drawing>
      </w:r>
    </w:p>
    <w:p w14:paraId="7F898FDA" w14:textId="77777777" w:rsidR="005E7339" w:rsidRDefault="005E7339" w:rsidP="00D32600"/>
    <w:p w14:paraId="73C29EF7" w14:textId="02E340F6" w:rsidR="00221DFD" w:rsidRPr="009A2442" w:rsidRDefault="00ED2BCB" w:rsidP="000B26F3">
      <w:pPr>
        <w:pStyle w:val="Heading2"/>
      </w:pPr>
      <w:r>
        <w:lastRenderedPageBreak/>
        <w:t xml:space="preserve">4.3 </w:t>
      </w:r>
      <w:r w:rsidR="00221DFD">
        <w:t>Check Parameter Estimates Stability</w:t>
      </w:r>
    </w:p>
    <w:p w14:paraId="14853D76" w14:textId="35AEC6D4" w:rsidR="00F014CA" w:rsidRDefault="001C0B1D" w:rsidP="00221DFD">
      <w:r>
        <w:t>After</w:t>
      </w:r>
      <w:r w:rsidR="00221DFD">
        <w:t xml:space="preserve"> select</w:t>
      </w:r>
      <w:r>
        <w:t>ing</w:t>
      </w:r>
      <w:r w:rsidR="00221DFD">
        <w:t xml:space="preserve"> the variables and the number of records to be </w:t>
      </w:r>
      <w:r>
        <w:t>used for fusion</w:t>
      </w:r>
      <w:r w:rsidR="00221DFD">
        <w:t xml:space="preserve">, the next step is to </w:t>
      </w:r>
      <w:r w:rsidR="006470BF">
        <w:t xml:space="preserve">evaluate </w:t>
      </w:r>
      <w:r w:rsidR="00221DFD">
        <w:t xml:space="preserve">the </w:t>
      </w:r>
      <w:r w:rsidR="006470BF">
        <w:t xml:space="preserve">stability of the parameters of the </w:t>
      </w:r>
      <w:r w:rsidR="00221DFD">
        <w:t xml:space="preserve">energy demand model </w:t>
      </w:r>
      <w:r w:rsidR="006470BF">
        <w:t xml:space="preserve">estimated using </w:t>
      </w:r>
      <w:r w:rsidR="00221DFD">
        <w:t xml:space="preserve">the </w:t>
      </w:r>
      <w:r w:rsidR="006470BF">
        <w:t xml:space="preserve">fused </w:t>
      </w:r>
      <w:r w:rsidR="00221DFD">
        <w:t xml:space="preserve">data. </w:t>
      </w:r>
      <w:r w:rsidR="005F32FF">
        <w:t xml:space="preserve">As described, multiple samples were </w:t>
      </w:r>
      <w:r w:rsidR="00F014CA">
        <w:t xml:space="preserve">generated for the fused </w:t>
      </w:r>
      <w:r w:rsidR="006063DB">
        <w:t>dataset,</w:t>
      </w:r>
      <w:r w:rsidR="00F014CA">
        <w:t xml:space="preserve"> and it is important to confirm that the parameter estimates from </w:t>
      </w:r>
      <w:r w:rsidR="00253797">
        <w:t>all</w:t>
      </w:r>
      <w:r w:rsidR="00F014CA">
        <w:t xml:space="preserve"> these samples offer consistent results. To undertake this </w:t>
      </w:r>
      <w:r w:rsidR="00CA36F0">
        <w:t>evaluation, we propose an approximate t-statistic measure</w:t>
      </w:r>
      <w:r w:rsidR="00237494">
        <w:t xml:space="preserve"> for each sample parameter estimate </w:t>
      </w:r>
      <w:r w:rsidR="006E168B">
        <w:t>as follows</w:t>
      </w:r>
      <w:r w:rsidR="00AB1BC7">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397"/>
      </w:tblGrid>
      <w:tr w:rsidR="00221DFD" w:rsidRPr="00024ABA" w14:paraId="369D3B3B" w14:textId="77777777" w:rsidTr="00A67542">
        <w:trPr>
          <w:trHeight w:val="288"/>
        </w:trPr>
        <w:tc>
          <w:tcPr>
            <w:tcW w:w="4254" w:type="pct"/>
            <w:vAlign w:val="center"/>
          </w:tcPr>
          <w:p w14:paraId="57FE5ED8" w14:textId="77777777" w:rsidR="00221DFD" w:rsidRPr="00653959" w:rsidRDefault="00000000" w:rsidP="00A67542">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oMath>
            <w:r w:rsidR="00221DFD">
              <w:rPr>
                <w:rFonts w:eastAsiaTheme="minorEastAsia"/>
                <w:sz w:val="24"/>
              </w:rPr>
              <w:t xml:space="preserve"> </w:t>
            </w:r>
            <m:oMath>
              <m:r>
                <w:rPr>
                  <w:rFonts w:ascii="Cambria Math" w:eastAsiaTheme="minorEastAsia" w:hAnsi="Cambria Math"/>
                  <w:sz w:val="24"/>
                </w:rPr>
                <m:t>Abs(</m:t>
              </m:r>
              <m:f>
                <m:fPr>
                  <m:ctrlPr>
                    <w:rPr>
                      <w:rFonts w:ascii="Cambria Math" w:eastAsiaTheme="minorEastAsia" w:hAnsi="Cambria Math"/>
                      <w:i/>
                      <w:sz w:val="36"/>
                      <w:szCs w:val="32"/>
                    </w:rPr>
                  </m:ctrlPr>
                </m:fPr>
                <m:num>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m</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s</m:t>
                      </m:r>
                    </m:sub>
                  </m:sSub>
                  <m:r>
                    <w:rPr>
                      <w:rFonts w:ascii="Cambria Math" w:hAnsi="Cambria Math"/>
                      <w:sz w:val="32"/>
                      <w:szCs w:val="32"/>
                    </w:rPr>
                    <m:t>)</m:t>
                  </m:r>
                </m:num>
                <m:den>
                  <m:rad>
                    <m:radPr>
                      <m:degHide m:val="1"/>
                      <m:ctrlPr>
                        <w:rPr>
                          <w:rFonts w:ascii="Cambria Math" w:hAnsi="Cambria Math"/>
                          <w:i/>
                          <w:sz w:val="36"/>
                          <w:szCs w:val="32"/>
                        </w:rPr>
                      </m:ctrlPr>
                    </m:radPr>
                    <m:deg/>
                    <m:e>
                      <m:r>
                        <w:rPr>
                          <w:rFonts w:ascii="Cambria Math" w:eastAsiaTheme="minorEastAsia" w:hAnsi="Cambria Math"/>
                          <w:sz w:val="32"/>
                          <w:szCs w:val="32"/>
                        </w:rPr>
                        <m:t>S</m:t>
                      </m:r>
                      <m:sSubSup>
                        <m:sSubSupPr>
                          <m:ctrlPr>
                            <w:rPr>
                              <w:rFonts w:ascii="Cambria Math" w:eastAsiaTheme="minorEastAsia" w:hAnsi="Cambria Math"/>
                              <w:i/>
                              <w:sz w:val="32"/>
                              <w:szCs w:val="32"/>
                            </w:rPr>
                          </m:ctrlPr>
                        </m:sSubSupPr>
                        <m:e>
                          <m:r>
                            <w:rPr>
                              <w:rFonts w:ascii="Cambria Math" w:eastAsiaTheme="minorEastAsia" w:hAnsi="Cambria Math"/>
                              <w:sz w:val="32"/>
                              <w:szCs w:val="32"/>
                            </w:rPr>
                            <m:t>D</m:t>
                          </m:r>
                        </m:e>
                        <m:sub>
                          <m:r>
                            <w:rPr>
                              <w:rFonts w:ascii="Cambria Math" w:eastAsiaTheme="minorEastAsia" w:hAnsi="Cambria Math"/>
                              <w:sz w:val="32"/>
                              <w:szCs w:val="32"/>
                            </w:rPr>
                            <m:t>m</m:t>
                          </m:r>
                        </m:sub>
                        <m:sup>
                          <m:r>
                            <w:rPr>
                              <w:rFonts w:ascii="Cambria Math" w:eastAsiaTheme="minorEastAsia" w:hAnsi="Cambria Math"/>
                              <w:sz w:val="32"/>
                              <w:szCs w:val="32"/>
                            </w:rPr>
                            <m:t>2</m:t>
                          </m:r>
                        </m:sup>
                      </m:sSubSup>
                      <m:r>
                        <w:rPr>
                          <w:rFonts w:ascii="Cambria Math" w:eastAsiaTheme="minorEastAsia" w:hAnsi="Cambria Math"/>
                          <w:sz w:val="32"/>
                          <w:szCs w:val="32"/>
                        </w:rPr>
                        <m:t>+S</m:t>
                      </m:r>
                      <m:sSubSup>
                        <m:sSubSupPr>
                          <m:ctrlPr>
                            <w:rPr>
                              <w:rFonts w:ascii="Cambria Math" w:eastAsiaTheme="minorEastAsia" w:hAnsi="Cambria Math"/>
                              <w:i/>
                              <w:sz w:val="32"/>
                              <w:szCs w:val="32"/>
                            </w:rPr>
                          </m:ctrlPr>
                        </m:sSubSupPr>
                        <m:e>
                          <m:r>
                            <w:rPr>
                              <w:rFonts w:ascii="Cambria Math" w:eastAsiaTheme="minorEastAsia" w:hAnsi="Cambria Math"/>
                              <w:sz w:val="32"/>
                              <w:szCs w:val="32"/>
                            </w:rPr>
                            <m:t>D</m:t>
                          </m:r>
                        </m:e>
                        <m:sub>
                          <m:r>
                            <w:rPr>
                              <w:rFonts w:ascii="Cambria Math" w:eastAsiaTheme="minorEastAsia" w:hAnsi="Cambria Math"/>
                              <w:sz w:val="32"/>
                              <w:szCs w:val="32"/>
                            </w:rPr>
                            <m:t>s</m:t>
                          </m:r>
                        </m:sub>
                        <m:sup>
                          <m:r>
                            <w:rPr>
                              <w:rFonts w:ascii="Cambria Math" w:eastAsiaTheme="minorEastAsia" w:hAnsi="Cambria Math"/>
                              <w:sz w:val="32"/>
                              <w:szCs w:val="32"/>
                            </w:rPr>
                            <m:t>2</m:t>
                          </m:r>
                        </m:sup>
                      </m:sSubSup>
                    </m:e>
                  </m:rad>
                </m:den>
              </m:f>
              <m:r>
                <w:rPr>
                  <w:rFonts w:ascii="Cambria Math" w:eastAsiaTheme="minorEastAsia" w:hAnsi="Cambria Math"/>
                  <w:sz w:val="36"/>
                  <w:szCs w:val="32"/>
                </w:rPr>
                <m:t>)</m:t>
              </m:r>
            </m:oMath>
          </w:p>
        </w:tc>
        <w:tc>
          <w:tcPr>
            <w:tcW w:w="746" w:type="pct"/>
            <w:vAlign w:val="center"/>
          </w:tcPr>
          <w:p w14:paraId="54896965" w14:textId="77777777" w:rsidR="00221DFD" w:rsidRPr="00024ABA" w:rsidRDefault="00221DFD" w:rsidP="00A67542">
            <w:pPr>
              <w:spacing w:before="360" w:after="360"/>
              <w:ind w:left="850"/>
              <w:contextualSpacing/>
              <w:jc w:val="right"/>
              <w:rPr>
                <w:rFonts w:ascii="Times New Roman" w:hAnsi="Times New Roman" w:cs="Times New Roman"/>
                <w:sz w:val="24"/>
                <w:szCs w:val="24"/>
              </w:rPr>
            </w:pPr>
            <w:r w:rsidRPr="00024ABA">
              <w:rPr>
                <w:rFonts w:ascii="Times New Roman" w:hAnsi="Times New Roman" w:cs="Times New Roman"/>
                <w:sz w:val="24"/>
                <w:szCs w:val="24"/>
              </w:rPr>
              <w:t>(</w:t>
            </w:r>
            <w:r>
              <w:rPr>
                <w:rFonts w:ascii="Times New Roman" w:hAnsi="Times New Roman" w:cs="Times New Roman"/>
                <w:sz w:val="24"/>
                <w:szCs w:val="24"/>
              </w:rPr>
              <w:t>6</w:t>
            </w:r>
            <w:r w:rsidRPr="00024ABA">
              <w:rPr>
                <w:rFonts w:ascii="Times New Roman" w:hAnsi="Times New Roman" w:cs="Times New Roman"/>
                <w:sz w:val="24"/>
                <w:szCs w:val="24"/>
              </w:rPr>
              <w:t>)</w:t>
            </w:r>
          </w:p>
        </w:tc>
      </w:tr>
    </w:tbl>
    <w:p w14:paraId="447D5D3F" w14:textId="688143B9" w:rsidR="009C1A2D" w:rsidRDefault="00CF737C" w:rsidP="00221DFD">
      <w:pPr>
        <w:ind w:firstLine="720"/>
      </w:pPr>
      <w:r>
        <w:t xml:space="preserve">Where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oMath>
      <w:r>
        <w:t xml:space="preserve"> is the average estimate value across all </w:t>
      </w:r>
      <w:r w:rsidR="00131013">
        <w:t xml:space="preserve">N </w:t>
      </w:r>
      <w:r>
        <w:t>samples</w:t>
      </w:r>
      <w:r w:rsidR="004D1390">
        <w:t xml:space="preserve"> (</w:t>
      </w:r>
      <m:oMath>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nary>
          <m:naryPr>
            <m:chr m:val="∑"/>
            <m:limLoc m:val="undOvr"/>
            <m:ctrlPr>
              <w:rPr>
                <w:rFonts w:ascii="Cambria Math" w:hAnsi="Cambria Math"/>
                <w:i/>
              </w:rPr>
            </m:ctrlPr>
          </m:naryPr>
          <m:sub>
            <m:r>
              <w:rPr>
                <w:rFonts w:ascii="Cambria Math" w:hAnsi="Cambria Math"/>
              </w:rPr>
              <m:t>s=1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s</m:t>
                </m:r>
              </m:sub>
            </m:sSub>
          </m:e>
        </m:nary>
      </m:oMath>
      <w:r w:rsidR="004D1390">
        <w:t>)</w:t>
      </w:r>
      <w:r w:rsidR="00131013">
        <w:t xml:space="preserve">;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s</m:t>
            </m:r>
          </m:sub>
        </m:sSub>
      </m:oMath>
      <w:r w:rsidR="00CC6165">
        <w:rPr>
          <w:rFonts w:eastAsiaTheme="minorEastAsia"/>
          <w:szCs w:val="24"/>
        </w:rPr>
        <w:t xml:space="preserve"> </w:t>
      </w:r>
      <w:r w:rsidR="00131013">
        <w:t xml:space="preserve">is the estimate for the </w:t>
      </w:r>
      <w:r w:rsidR="00131013" w:rsidRPr="00E0488B">
        <w:rPr>
          <w:i/>
          <w:iCs/>
        </w:rPr>
        <w:t>s</w:t>
      </w:r>
      <w:r w:rsidR="00131013" w:rsidRPr="00E0488B">
        <w:rPr>
          <w:i/>
          <w:iCs/>
          <w:vertAlign w:val="superscript"/>
        </w:rPr>
        <w:t>th</w:t>
      </w:r>
      <w:r w:rsidR="00131013">
        <w:t xml:space="preserve"> sample; </w:t>
      </w:r>
      <m:oMath>
        <m:sSub>
          <m:sSubPr>
            <m:ctrlPr>
              <w:rPr>
                <w:rFonts w:ascii="Cambria Math" w:hAnsi="Cambria Math"/>
                <w:i/>
                <w:szCs w:val="24"/>
              </w:rPr>
            </m:ctrlPr>
          </m:sSubPr>
          <m:e>
            <m:r>
              <w:rPr>
                <w:rFonts w:ascii="Cambria Math" w:hAnsi="Cambria Math"/>
                <w:szCs w:val="24"/>
              </w:rPr>
              <m:t>SD</m:t>
            </m:r>
          </m:e>
          <m:sub>
            <m:r>
              <w:rPr>
                <w:rFonts w:ascii="Cambria Math" w:hAnsi="Cambria Math"/>
                <w:szCs w:val="24"/>
              </w:rPr>
              <m:t>m</m:t>
            </m:r>
          </m:sub>
        </m:sSub>
      </m:oMath>
      <w:r w:rsidR="00131013">
        <w:t xml:space="preserve"> </w:t>
      </w:r>
      <w:r w:rsidR="00733EB0">
        <w:t xml:space="preserve">is </w:t>
      </w:r>
      <w:r w:rsidR="00131013">
        <w:t xml:space="preserve">the average standard error </w:t>
      </w:r>
      <w:r w:rsidR="00733EB0">
        <w:t>for all N samples</w:t>
      </w:r>
      <w:r w:rsidR="004D1390">
        <w:t xml:space="preserve"> (</w:t>
      </w:r>
      <m:oMath>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m:t>
            </m:r>
          </m:sub>
        </m:sSub>
        <m:r>
          <w:rPr>
            <w:rFonts w:ascii="Cambria Math" w:eastAsiaTheme="minorEastAsia"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nary>
          <m:naryPr>
            <m:chr m:val="∑"/>
            <m:limLoc m:val="undOvr"/>
            <m:ctrlPr>
              <w:rPr>
                <w:rFonts w:ascii="Cambria Math" w:hAnsi="Cambria Math"/>
                <w:i/>
              </w:rPr>
            </m:ctrlPr>
          </m:naryPr>
          <m:sub>
            <m:r>
              <w:rPr>
                <w:rFonts w:ascii="Cambria Math" w:hAnsi="Cambria Math"/>
              </w:rPr>
              <m:t>s=1</m:t>
            </m:r>
          </m:sub>
          <m:sup>
            <m:r>
              <w:rPr>
                <w:rFonts w:ascii="Cambria Math" w:hAnsi="Cambria Math"/>
              </w:rPr>
              <m:t>N</m:t>
            </m:r>
          </m:sup>
          <m:e>
            <m:sSub>
              <m:sSubPr>
                <m:ctrlPr>
                  <w:rPr>
                    <w:rFonts w:ascii="Cambria Math" w:hAnsi="Cambria Math"/>
                    <w:i/>
                  </w:rPr>
                </m:ctrlPr>
              </m:sSubPr>
              <m:e>
                <m:r>
                  <w:rPr>
                    <w:rFonts w:ascii="Cambria Math" w:hAnsi="Cambria Math"/>
                  </w:rPr>
                  <m:t>SD</m:t>
                </m:r>
              </m:e>
              <m:sub>
                <m:r>
                  <w:rPr>
                    <w:rFonts w:ascii="Cambria Math" w:hAnsi="Cambria Math"/>
                  </w:rPr>
                  <m:t>s</m:t>
                </m:r>
              </m:sub>
            </m:sSub>
          </m:e>
        </m:nary>
      </m:oMath>
      <w:r w:rsidR="004D1390">
        <w:t>)</w:t>
      </w:r>
      <w:r w:rsidR="00733EB0">
        <w:t xml:space="preserve"> </w:t>
      </w:r>
      <w:r w:rsidR="00131013">
        <w:t xml:space="preserve">and </w:t>
      </w:r>
      <m:oMath>
        <m:sSub>
          <m:sSubPr>
            <m:ctrlPr>
              <w:rPr>
                <w:rFonts w:ascii="Cambria Math" w:hAnsi="Cambria Math"/>
                <w:i/>
                <w:szCs w:val="24"/>
              </w:rPr>
            </m:ctrlPr>
          </m:sSubPr>
          <m:e>
            <m:r>
              <w:rPr>
                <w:rFonts w:ascii="Cambria Math" w:hAnsi="Cambria Math"/>
                <w:szCs w:val="24"/>
              </w:rPr>
              <m:t>SD</m:t>
            </m:r>
          </m:e>
          <m:sub>
            <m:r>
              <w:rPr>
                <w:rFonts w:ascii="Cambria Math" w:hAnsi="Cambria Math"/>
                <w:szCs w:val="24"/>
              </w:rPr>
              <m:t>s</m:t>
            </m:r>
          </m:sub>
        </m:sSub>
      </m:oMath>
      <w:r w:rsidR="00733EB0">
        <w:t xml:space="preserve"> is the standard error for the sth sample. </w:t>
      </w:r>
      <w:r w:rsidR="00237494">
        <w:t xml:space="preserve">If the computed t-statistic value is greater than 1.65 it indicates that the parameter estimate is quite different from the average parameter across the samples. The t-statistic across all parameters and samples can be computed and used to measure the number of outliers. </w:t>
      </w:r>
      <w:r w:rsidR="00601E99">
        <w:t xml:space="preserve">The presence of outliers will indicate that </w:t>
      </w:r>
      <w:r w:rsidR="00601B20">
        <w:t xml:space="preserve">significant </w:t>
      </w:r>
      <w:r w:rsidR="00601E99">
        <w:t>parameter variability across the samples</w:t>
      </w:r>
      <w:r w:rsidR="00601B20">
        <w:t xml:space="preserve"> and hence</w:t>
      </w:r>
      <w:r w:rsidR="00601E99">
        <w:t xml:space="preserve"> </w:t>
      </w:r>
      <w:r w:rsidR="00601B20">
        <w:t xml:space="preserve">the </w:t>
      </w:r>
      <w:r w:rsidR="00601E99">
        <w:t xml:space="preserve">results are less likely to be stable in this case. </w:t>
      </w:r>
      <w:r w:rsidR="009C1A2D">
        <w:t xml:space="preserve">In our study context, we computed the approximate t-statistic for </w:t>
      </w:r>
      <w:r w:rsidR="00FF2079">
        <w:t>fused</w:t>
      </w:r>
      <w:r w:rsidR="009C1A2D">
        <w:t xml:space="preserve"> model parameters</w:t>
      </w:r>
      <w:r w:rsidR="004D1390">
        <w:t xml:space="preserve"> </w:t>
      </w:r>
      <w:r w:rsidR="00FF2079">
        <w:t>in the</w:t>
      </w:r>
      <w:r w:rsidR="004D1390">
        <w:t xml:space="preserve"> energy use component and </w:t>
      </w:r>
      <w:r w:rsidR="00FF2079">
        <w:t xml:space="preserve">parameters in the </w:t>
      </w:r>
      <w:r w:rsidR="004D1390">
        <w:t xml:space="preserve">weight component. The results are plotted in Figure </w:t>
      </w:r>
      <w:r w:rsidR="00EB55E6">
        <w:t>6</w:t>
      </w:r>
      <w:r w:rsidR="004D1390">
        <w:t>.</w:t>
      </w:r>
      <w:r w:rsidR="00FF2079">
        <w:t xml:space="preserve"> The boxplots clearly illustrate significant stability in the parameters estimated. In fact, the compute</w:t>
      </w:r>
      <w:r w:rsidR="00AA3DA3">
        <w:t>d</w:t>
      </w:r>
      <w:r w:rsidR="00FF2079">
        <w:t xml:space="preserve"> approximate t-statistic does not reach 1.65 for even one </w:t>
      </w:r>
      <w:r w:rsidR="00042913">
        <w:t xml:space="preserve">parameter across all samples. The highest single value obtained is under 0.3, while the mean values range around </w:t>
      </w:r>
      <w:r w:rsidR="009734D5">
        <w:t xml:space="preserve">0.1. </w:t>
      </w:r>
      <w:r w:rsidR="00CC6165">
        <w:t>T</w:t>
      </w:r>
      <w:r w:rsidR="009F75F5">
        <w:t xml:space="preserve">he results </w:t>
      </w:r>
      <w:r w:rsidR="00CC6165">
        <w:lastRenderedPageBreak/>
        <w:t xml:space="preserve">clearly </w:t>
      </w:r>
      <w:r w:rsidR="009F75F5">
        <w:t>indicate that for the fused dataset, we have obtained a reasonably stable estimate for all parameters.</w:t>
      </w:r>
    </w:p>
    <w:p w14:paraId="48AE42AA" w14:textId="137AD27C" w:rsidR="00E25D47" w:rsidRPr="00E25D47" w:rsidRDefault="00E25D47" w:rsidP="00E25D47">
      <w:pPr>
        <w:rPr>
          <w:b/>
          <w:bCs/>
          <w:lang w:val="en-US"/>
        </w:rPr>
      </w:pPr>
      <w:r w:rsidRPr="00E25D47">
        <w:rPr>
          <w:b/>
          <w:bCs/>
          <w:noProof/>
          <w:lang w:val="en-US"/>
        </w:rPr>
        <w:drawing>
          <wp:inline distT="0" distB="0" distL="0" distR="0" wp14:anchorId="796F94D9" wp14:editId="59E0BC8B">
            <wp:extent cx="5943600" cy="3736340"/>
            <wp:effectExtent l="0" t="0" r="0" b="0"/>
            <wp:docPr id="1712584427" name="Picture 12"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84427" name="Picture 12" descr="A graph of different types of graphs&#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36340"/>
                    </a:xfrm>
                    <a:prstGeom prst="rect">
                      <a:avLst/>
                    </a:prstGeom>
                    <a:noFill/>
                    <a:ln>
                      <a:noFill/>
                    </a:ln>
                  </pic:spPr>
                </pic:pic>
              </a:graphicData>
            </a:graphic>
          </wp:inline>
        </w:drawing>
      </w:r>
    </w:p>
    <w:p w14:paraId="760C2340" w14:textId="77777777" w:rsidR="00086D8E" w:rsidRDefault="00086D8E" w:rsidP="00221DFD">
      <w:pPr>
        <w:rPr>
          <w:b/>
          <w:bCs/>
        </w:rPr>
      </w:pPr>
    </w:p>
    <w:p w14:paraId="54FCF243" w14:textId="2C709C19" w:rsidR="003C752D" w:rsidRDefault="00ED2BCB" w:rsidP="003C752D">
      <w:pPr>
        <w:pStyle w:val="Heading1"/>
      </w:pPr>
      <w:r>
        <w:t xml:space="preserve">5 </w:t>
      </w:r>
      <w:r w:rsidR="003C752D">
        <w:t>Methodology</w:t>
      </w:r>
    </w:p>
    <w:p w14:paraId="06E6CEC8" w14:textId="77777777" w:rsidR="003C752D" w:rsidRDefault="003C752D" w:rsidP="003C752D">
      <w:r>
        <w:t xml:space="preserve">In this section, we will present the methodological framework adopted in the study for analyzing the residential energy usage. </w:t>
      </w:r>
    </w:p>
    <w:p w14:paraId="5F978B59" w14:textId="77777777" w:rsidR="003C752D" w:rsidRDefault="003C752D" w:rsidP="003C752D">
      <w:pPr>
        <w:ind w:firstLine="720"/>
      </w:pPr>
      <w:r>
        <w:t xml:space="preserve">The model structure estimated in the current research effort has a choice model component (energy usage) and a weight component. In the choice model component, we consider the natural logarithm of the energy usage (separately for electricity and natural gas) as our dependent variable and employ linear regression model for analyzing the continuous outcome variable. </w:t>
      </w:r>
    </w:p>
    <w:p w14:paraId="53C9B41E" w14:textId="77777777" w:rsidR="003C752D" w:rsidRDefault="003C752D" w:rsidP="003C752D">
      <w:pPr>
        <w:ind w:firstLine="720"/>
        <w:rPr>
          <w:rFonts w:eastAsiaTheme="minorEastAsia" w:cs="Times New Roman"/>
          <w:szCs w:val="24"/>
        </w:rPr>
      </w:pPr>
      <w:r w:rsidRPr="00BA524C">
        <w:rPr>
          <w:lang w:val="en-US"/>
        </w:rPr>
        <w:lastRenderedPageBreak/>
        <w:t xml:space="preserve">Let us assume that </w:t>
      </w:r>
      <w:r>
        <w:rPr>
          <w:lang w:val="en-US"/>
        </w:rPr>
        <w:t xml:space="preserve">there are </w:t>
      </w:r>
      <m:oMath>
        <m:r>
          <w:rPr>
            <w:rFonts w:ascii="Cambria Math" w:hAnsi="Cambria Math"/>
            <w:lang w:val="en-US"/>
          </w:rPr>
          <m:t>i</m:t>
        </m:r>
      </m:oMath>
      <w:r>
        <w:rPr>
          <w:rFonts w:eastAsiaTheme="minorEastAsia"/>
          <w:lang w:val="en-US"/>
        </w:rPr>
        <w:t xml:space="preserve"> (1.2,…N, N=4,000) HHs in RECS survey data and </w:t>
      </w:r>
      <m:oMath>
        <m:r>
          <w:rPr>
            <w:rFonts w:ascii="Cambria Math" w:hAnsi="Cambria Math"/>
            <w:lang w:val="en-US"/>
          </w:rPr>
          <m:t>K</m:t>
        </m:r>
      </m:oMath>
      <w:r w:rsidRPr="00BA524C">
        <w:rPr>
          <w:lang w:val="en-US"/>
        </w:rPr>
        <w:t xml:space="preserve"> possible matches</w:t>
      </w:r>
      <w:r>
        <w:rPr>
          <w:lang w:val="en-US"/>
        </w:rPr>
        <w:t xml:space="preserve"> </w:t>
      </w:r>
      <w:r w:rsidRPr="00BA524C">
        <w:rPr>
          <w:lang w:val="en-US"/>
        </w:rPr>
        <w:t>from the</w:t>
      </w:r>
      <w:r>
        <w:rPr>
          <w:lang w:val="en-US"/>
        </w:rPr>
        <w:t xml:space="preserve"> NHTS dataset. </w:t>
      </w:r>
      <m:oMath>
        <m:r>
          <w:rPr>
            <w:rFonts w:ascii="Cambria Math" w:hAnsi="Cambria Math" w:cs="Times New Roman"/>
            <w:szCs w:val="24"/>
          </w:rPr>
          <m:t>d</m:t>
        </m:r>
      </m:oMath>
      <w:r w:rsidRPr="00941DD5">
        <w:rPr>
          <w:rFonts w:cs="Times New Roman"/>
          <w:szCs w:val="24"/>
        </w:rPr>
        <w:t xml:space="preserve"> be an index to represent the </w:t>
      </w:r>
      <w:r>
        <w:rPr>
          <w:rFonts w:cs="Times New Roman"/>
          <w:szCs w:val="24"/>
        </w:rPr>
        <w:t>residential energy usage by different sources (electricity and natural gas)</w:t>
      </w:r>
      <w:r w:rsidRPr="00941DD5">
        <w:rPr>
          <w:rFonts w:cs="Times New Roman"/>
          <w:szCs w:val="24"/>
        </w:rPr>
        <w:t xml:space="preserve">. </w:t>
      </w:r>
      <w:r>
        <w:rPr>
          <w:rFonts w:cs="Times New Roman"/>
          <w:szCs w:val="24"/>
        </w:rPr>
        <w:t xml:space="preserve">Let </w:t>
      </w:r>
      <m:oMath>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d,i</m:t>
            </m:r>
          </m:sub>
        </m:sSub>
      </m:oMath>
      <w:r>
        <w:rPr>
          <w:rFonts w:eastAsiaTheme="minorEastAsia" w:cs="Times New Roman"/>
          <w:szCs w:val="24"/>
        </w:rPr>
        <w:t xml:space="preserve"> and </w:t>
      </w:r>
      <w:r>
        <w:rPr>
          <w:rFonts w:cs="Times New Roman"/>
          <w:szCs w:val="24"/>
        </w:rPr>
        <w:t xml:space="preserve"> </w:t>
      </w:r>
      <m:oMath>
        <m:sSub>
          <m:sSubPr>
            <m:ctrlPr>
              <w:rPr>
                <w:rFonts w:ascii="Cambria Math" w:hAnsi="Cambria Math"/>
                <w:i/>
                <w:szCs w:val="24"/>
                <w:lang w:val="en-US"/>
              </w:rPr>
            </m:ctrlPr>
          </m:sSubPr>
          <m:e>
            <m:r>
              <w:rPr>
                <w:rFonts w:ascii="Cambria Math" w:hAnsi="Cambria Math"/>
                <w:szCs w:val="24"/>
                <w:lang w:val="en-US"/>
              </w:rPr>
              <m:t>Q</m:t>
            </m:r>
          </m:e>
          <m:sub>
            <m:r>
              <w:rPr>
                <w:rFonts w:ascii="Cambria Math" w:hAnsi="Cambria Math"/>
                <w:szCs w:val="24"/>
                <w:lang w:val="en-US"/>
              </w:rPr>
              <m:t>d, ik</m:t>
            </m:r>
          </m:sub>
        </m:sSub>
      </m:oMath>
      <w:r>
        <w:rPr>
          <w:rFonts w:eastAsiaTheme="minorEastAsia" w:cs="Times New Roman"/>
          <w:szCs w:val="24"/>
          <w:lang w:val="en-US"/>
        </w:rPr>
        <w:t xml:space="preserve"> </w:t>
      </w:r>
      <w:r w:rsidRPr="00941DD5">
        <w:rPr>
          <w:rFonts w:cs="Times New Roman"/>
          <w:szCs w:val="24"/>
        </w:rPr>
        <w:t xml:space="preserve">is the </w:t>
      </w:r>
      <w:r>
        <w:rPr>
          <w:rFonts w:cs="Times New Roman"/>
          <w:szCs w:val="24"/>
        </w:rPr>
        <w:t xml:space="preserve">observed and predicted </w:t>
      </w:r>
      <w:r w:rsidRPr="00941DD5">
        <w:rPr>
          <w:rFonts w:cs="Times New Roman"/>
          <w:szCs w:val="24"/>
        </w:rPr>
        <w:t xml:space="preserve">lognormal of the </w:t>
      </w:r>
      <w:r>
        <w:rPr>
          <w:rFonts w:cs="Times New Roman"/>
          <w:szCs w:val="24"/>
        </w:rPr>
        <w:t>energy usage</w:t>
      </w:r>
      <w:r w:rsidRPr="00941DD5">
        <w:rPr>
          <w:rFonts w:cs="Times New Roman"/>
          <w:szCs w:val="24"/>
        </w:rPr>
        <w:t xml:space="preserve"> in </w:t>
      </w:r>
      <w:r>
        <w:rPr>
          <w:rFonts w:cs="Times New Roman"/>
          <w:szCs w:val="24"/>
        </w:rPr>
        <w:t>HH</w:t>
      </w:r>
      <w:r w:rsidRPr="00941DD5">
        <w:rPr>
          <w:rFonts w:cs="Times New Roman"/>
          <w:szCs w:val="24"/>
        </w:rPr>
        <w:t xml:space="preserve"> </w:t>
      </w:r>
      <m:oMath>
        <m:r>
          <w:rPr>
            <w:rFonts w:ascii="Cambria Math" w:hAnsi="Cambria Math" w:cs="Times New Roman"/>
            <w:szCs w:val="24"/>
          </w:rPr>
          <m:t>i</m:t>
        </m:r>
      </m:oMath>
      <w:r w:rsidRPr="00941DD5">
        <w:rPr>
          <w:rFonts w:eastAsiaTheme="minorEastAsia" w:cs="Times New Roman"/>
          <w:szCs w:val="24"/>
        </w:rPr>
        <w:t xml:space="preserve"> </w:t>
      </w:r>
      <w:r>
        <w:rPr>
          <w:rFonts w:eastAsiaTheme="minorEastAsia" w:cs="Times New Roman"/>
          <w:szCs w:val="24"/>
        </w:rPr>
        <w:t xml:space="preserve">for the </w:t>
      </w:r>
      <m:oMath>
        <m:sSup>
          <m:sSupPr>
            <m:ctrlPr>
              <w:rPr>
                <w:rFonts w:ascii="Cambria Math" w:eastAsiaTheme="minorEastAsia" w:hAnsi="Cambria Math" w:cs="Times New Roman"/>
                <w:i/>
                <w:lang w:val="en-US"/>
              </w:rPr>
            </m:ctrlPr>
          </m:sSupPr>
          <m:e>
            <m:r>
              <w:rPr>
                <w:rFonts w:ascii="Cambria Math" w:hAnsi="Cambria Math"/>
                <w:lang w:val="en-US"/>
              </w:rPr>
              <m:t>K</m:t>
            </m:r>
            <m:ctrlPr>
              <w:rPr>
                <w:rFonts w:ascii="Cambria Math" w:hAnsi="Cambria Math"/>
                <w:i/>
                <w:lang w:val="en-US"/>
              </w:rPr>
            </m:ctrlPr>
          </m:e>
          <m:sup>
            <m:r>
              <w:rPr>
                <w:rFonts w:ascii="Cambria Math" w:eastAsiaTheme="minorEastAsia" w:hAnsi="Cambria Math" w:cs="Times New Roman"/>
                <w:lang w:val="en-US"/>
              </w:rPr>
              <m:t>th</m:t>
            </m:r>
          </m:sup>
        </m:sSup>
      </m:oMath>
      <w:r>
        <w:rPr>
          <w:rFonts w:eastAsiaTheme="minorEastAsia" w:cs="Times New Roman"/>
          <w:lang w:val="en-US"/>
        </w:rPr>
        <w:t xml:space="preserve"> fused records</w:t>
      </w:r>
      <w:r>
        <w:rPr>
          <w:rFonts w:eastAsiaTheme="minorEastAsia" w:cs="Times New Roman"/>
          <w:szCs w:val="24"/>
        </w:rPr>
        <w:t xml:space="preserve"> by energy source </w:t>
      </w:r>
      <m:oMath>
        <m:r>
          <w:rPr>
            <w:rFonts w:ascii="Cambria Math" w:hAnsi="Cambria Math" w:cs="Times New Roman"/>
            <w:szCs w:val="24"/>
          </w:rPr>
          <m:t>d</m:t>
        </m:r>
      </m:oMath>
      <w:r>
        <w:rPr>
          <w:rFonts w:eastAsiaTheme="minorEastAsia" w:cs="Times New Roman"/>
          <w:szCs w:val="24"/>
        </w:rPr>
        <w:t xml:space="preserve"> respectively (the </w:t>
      </w:r>
      <m:oMath>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d,i</m:t>
            </m:r>
          </m:sub>
        </m:sSub>
      </m:oMath>
      <w:r>
        <w:rPr>
          <w:rFonts w:eastAsiaTheme="minorEastAsia" w:cs="Times New Roman"/>
          <w:szCs w:val="24"/>
        </w:rPr>
        <w:t xml:space="preserve"> will be same across all the </w:t>
      </w:r>
      <m:oMath>
        <m:r>
          <w:rPr>
            <w:rFonts w:ascii="Cambria Math" w:hAnsi="Cambria Math"/>
            <w:lang w:val="en-US"/>
          </w:rPr>
          <m:t>K</m:t>
        </m:r>
      </m:oMath>
      <w:r>
        <w:rPr>
          <w:rFonts w:eastAsiaTheme="minorEastAsia" w:cs="Times New Roman"/>
          <w:szCs w:val="24"/>
        </w:rPr>
        <w:t xml:space="preserve"> fused records for HH </w:t>
      </w:r>
      <m:oMath>
        <m:r>
          <w:rPr>
            <w:rFonts w:ascii="Cambria Math" w:hAnsi="Cambria Math"/>
            <w:lang w:val="en-US"/>
          </w:rPr>
          <m:t>i</m:t>
        </m:r>
      </m:oMath>
      <w:r>
        <w:rPr>
          <w:rFonts w:eastAsiaTheme="minorEastAsia" w:cs="Times New Roman"/>
          <w:lang w:val="en-US"/>
        </w:rPr>
        <w:t>)</w:t>
      </w:r>
      <w:r w:rsidRPr="00941DD5">
        <w:rPr>
          <w:rFonts w:cs="Times New Roman"/>
          <w:szCs w:val="24"/>
        </w:rPr>
        <w:t xml:space="preserve">. </w:t>
      </w:r>
      <w:r>
        <w:rPr>
          <w:rFonts w:cs="Times New Roman"/>
          <w:szCs w:val="24"/>
        </w:rPr>
        <w:t xml:space="preserve">In the current study context, separate linear regression models are estimated for electricity and natural gas consumption and hence </w:t>
      </w:r>
      <m:oMath>
        <m:r>
          <w:rPr>
            <w:rFonts w:ascii="Cambria Math" w:hAnsi="Cambria Math" w:cs="Times New Roman"/>
            <w:szCs w:val="24"/>
          </w:rPr>
          <m:t>d</m:t>
        </m:r>
      </m:oMath>
      <w:r>
        <w:rPr>
          <w:rFonts w:eastAsiaTheme="minorEastAsia" w:cs="Times New Roman"/>
          <w:szCs w:val="24"/>
        </w:rPr>
        <w:t xml:space="preserve"> is omitted in the following equations for simplicity. Following this, the formulation of the linear regression model can be written as: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3C752D" w:rsidRPr="00024ABA" w14:paraId="54E8B4EB" w14:textId="77777777" w:rsidTr="00323982">
        <w:trPr>
          <w:trHeight w:val="288"/>
        </w:trPr>
        <w:tc>
          <w:tcPr>
            <w:tcW w:w="4281" w:type="pct"/>
            <w:vAlign w:val="center"/>
          </w:tcPr>
          <w:p w14:paraId="7C0FB41E" w14:textId="77777777" w:rsidR="003C752D" w:rsidRPr="00BA74ED" w:rsidRDefault="00000000" w:rsidP="00323982">
            <w:pPr>
              <w:rPr>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ik</m:t>
                    </m:r>
                  </m:sub>
                </m:sSub>
                <m:r>
                  <w:rPr>
                    <w:rFonts w:ascii="Cambria Math" w:hAnsi="Cambria Math"/>
                    <w:sz w:val="24"/>
                    <w:szCs w:val="24"/>
                    <w:lang w:val="en-US"/>
                  </w:rPr>
                  <m:t xml:space="preserve">= </m:t>
                </m:r>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ik</m:t>
                    </m:r>
                  </m:sub>
                </m:sSub>
                <m:r>
                  <w:rPr>
                    <w:rFonts w:ascii="Cambria Math" w:hAnsi="Cambria Math" w:cs="Times New Roman"/>
                    <w:szCs w:val="24"/>
                  </w:rPr>
                  <m:t xml:space="preserve">+ </m:t>
                </m:r>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γ</m:t>
                        </m:r>
                      </m:e>
                      <m:sup>
                        <m:r>
                          <w:rPr>
                            <w:rFonts w:ascii="Cambria Math" w:hAnsi="Cambria Math" w:cs="Times New Roman"/>
                            <w:szCs w:val="24"/>
                          </w:rPr>
                          <m:t>'</m:t>
                        </m:r>
                      </m:sup>
                    </m:sSup>
                    <m:r>
                      <w:rPr>
                        <w:rFonts w:ascii="Cambria Math" w:hAnsi="Cambria Math" w:cs="Times New Roman"/>
                        <w:szCs w:val="24"/>
                      </w:rPr>
                      <m:t>S</m:t>
                    </m:r>
                  </m:e>
                  <m:sub>
                    <m:r>
                      <w:rPr>
                        <w:rFonts w:ascii="Cambria Math" w:hAnsi="Cambria Math" w:cs="Times New Roman"/>
                        <w:szCs w:val="24"/>
                      </w:rPr>
                      <m:t>ik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 xml:space="preserve"> ik</m:t>
                    </m:r>
                  </m:sub>
                </m:sSub>
              </m:oMath>
            </m:oMathPara>
          </w:p>
        </w:tc>
        <w:tc>
          <w:tcPr>
            <w:tcW w:w="719" w:type="pct"/>
            <w:vAlign w:val="center"/>
          </w:tcPr>
          <w:p w14:paraId="017DDF35" w14:textId="77777777" w:rsidR="003C752D" w:rsidRPr="00024ABA" w:rsidRDefault="003C752D" w:rsidP="00323982">
            <w:pPr>
              <w:spacing w:before="360" w:after="360"/>
              <w:ind w:left="850"/>
              <w:contextualSpacing/>
              <w:jc w:val="right"/>
              <w:rPr>
                <w:rFonts w:ascii="Times New Roman" w:hAnsi="Times New Roman" w:cs="Times New Roman"/>
                <w:sz w:val="24"/>
                <w:szCs w:val="24"/>
              </w:rPr>
            </w:pPr>
            <w:r w:rsidRPr="00024ABA">
              <w:rPr>
                <w:rFonts w:ascii="Times New Roman" w:hAnsi="Times New Roman" w:cs="Times New Roman"/>
                <w:sz w:val="24"/>
                <w:szCs w:val="24"/>
              </w:rPr>
              <w:t>(1)</w:t>
            </w:r>
          </w:p>
        </w:tc>
      </w:tr>
    </w:tbl>
    <w:p w14:paraId="7E716BD7" w14:textId="77777777" w:rsidR="003C752D" w:rsidRDefault="003C752D" w:rsidP="003C752D">
      <w:pPr>
        <w:rPr>
          <w:rFonts w:eastAsiaTheme="minorEastAsia" w:cs="Times New Roman"/>
          <w:szCs w:val="24"/>
          <w:lang w:val="en-US"/>
        </w:rPr>
      </w:pPr>
      <w:r>
        <w:rPr>
          <w:rFonts w:eastAsiaTheme="minorEastAsia"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ik</m:t>
            </m:r>
          </m:sub>
        </m:sSub>
      </m:oMath>
      <w:r w:rsidRPr="00941DD5">
        <w:rPr>
          <w:rFonts w:cs="Times New Roman"/>
          <w:szCs w:val="24"/>
        </w:rPr>
        <w:t xml:space="preserve">is a vector of </w:t>
      </w:r>
      <w:r>
        <w:rPr>
          <w:rFonts w:cs="Times New Roman"/>
          <w:szCs w:val="24"/>
        </w:rPr>
        <w:t>attributes from the source dataset</w:t>
      </w:r>
      <w:r w:rsidRPr="00941DD5">
        <w:rPr>
          <w:rFonts w:cs="Times New Roman"/>
          <w:szCs w:val="24"/>
        </w:rPr>
        <w:t xml:space="preserve"> </w:t>
      </w:r>
      <w:r>
        <w:rPr>
          <w:rFonts w:cs="Times New Roman"/>
          <w:szCs w:val="24"/>
        </w:rPr>
        <w:t>that influence energy demand and</w:t>
      </w:r>
      <w:r w:rsidRPr="00941DD5">
        <w:rPr>
          <w:rFonts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941DD5">
        <w:rPr>
          <w:rFonts w:cs="Times New Roman"/>
          <w:szCs w:val="24"/>
        </w:rPr>
        <w:t xml:space="preserve"> is the </w:t>
      </w:r>
      <w:r>
        <w:rPr>
          <w:rFonts w:cs="Times New Roman"/>
          <w:szCs w:val="24"/>
        </w:rPr>
        <w:t xml:space="preserve">corresponding </w:t>
      </w:r>
      <w:r w:rsidRPr="00941DD5">
        <w:rPr>
          <w:rFonts w:cs="Times New Roman"/>
          <w:szCs w:val="24"/>
        </w:rPr>
        <w:t xml:space="preserve">coefficients to be estimated </w:t>
      </w:r>
      <w:r>
        <w:rPr>
          <w:rFonts w:cs="Times New Roman"/>
          <w:szCs w:val="24"/>
        </w:rPr>
        <w:t>(including a scalar constant).</w:t>
      </w:r>
      <w:r>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ik</m:t>
            </m:r>
          </m:sub>
        </m:sSub>
      </m:oMath>
      <w:r w:rsidRPr="00941DD5">
        <w:rPr>
          <w:rFonts w:cs="Times New Roman"/>
          <w:szCs w:val="24"/>
        </w:rPr>
        <w:t xml:space="preserve">is </w:t>
      </w:r>
      <w:r>
        <w:rPr>
          <w:rFonts w:cs="Times New Roman"/>
          <w:szCs w:val="24"/>
        </w:rPr>
        <w:t>the</w:t>
      </w:r>
      <w:r w:rsidRPr="00941DD5">
        <w:rPr>
          <w:rFonts w:cs="Times New Roman"/>
          <w:szCs w:val="24"/>
        </w:rPr>
        <w:t xml:space="preserve"> vector of </w:t>
      </w:r>
      <w:r>
        <w:rPr>
          <w:rFonts w:cs="Times New Roman"/>
          <w:szCs w:val="24"/>
        </w:rPr>
        <w:t>attributes from the donor dataset</w:t>
      </w:r>
      <w:r w:rsidRPr="00941DD5">
        <w:rPr>
          <w:rFonts w:cs="Times New Roman"/>
          <w:szCs w:val="24"/>
        </w:rPr>
        <w:t xml:space="preserve"> </w:t>
      </w:r>
      <w:r>
        <w:rPr>
          <w:rFonts w:cs="Times New Roman"/>
          <w:szCs w:val="24"/>
        </w:rPr>
        <w:t>that affect energy demand and</w:t>
      </w:r>
      <w:r w:rsidRPr="00941DD5">
        <w:rPr>
          <w:rFonts w:cs="Times New Roman"/>
          <w:szCs w:val="24"/>
        </w:rPr>
        <w:t xml:space="preserve"> </w:t>
      </w:r>
      <m:oMath>
        <m:sSup>
          <m:sSupPr>
            <m:ctrlPr>
              <w:rPr>
                <w:rFonts w:ascii="Cambria Math" w:hAnsi="Cambria Math" w:cs="Times New Roman"/>
                <w:i/>
                <w:sz w:val="22"/>
                <w:szCs w:val="24"/>
              </w:rPr>
            </m:ctrlPr>
          </m:sSupPr>
          <m:e>
            <m:r>
              <w:rPr>
                <w:rFonts w:ascii="Cambria Math" w:hAnsi="Cambria Math" w:cs="Times New Roman"/>
                <w:sz w:val="22"/>
                <w:szCs w:val="24"/>
              </w:rPr>
              <m:t>γ</m:t>
            </m:r>
          </m:e>
          <m:sup>
            <m:r>
              <w:rPr>
                <w:rFonts w:ascii="Cambria Math" w:hAnsi="Cambria Math" w:cs="Times New Roman"/>
                <w:sz w:val="22"/>
                <w:szCs w:val="24"/>
              </w:rPr>
              <m:t>'</m:t>
            </m:r>
          </m:sup>
        </m:sSup>
      </m:oMath>
      <w:r w:rsidRPr="00941DD5">
        <w:rPr>
          <w:rFonts w:cs="Times New Roman"/>
          <w:szCs w:val="24"/>
        </w:rPr>
        <w:t xml:space="preserve"> is the </w:t>
      </w:r>
      <w:r>
        <w:rPr>
          <w:rFonts w:cs="Times New Roman"/>
          <w:szCs w:val="24"/>
        </w:rPr>
        <w:t xml:space="preserve">corresponding vector of </w:t>
      </w:r>
      <w:r w:rsidRPr="00941DD5">
        <w:rPr>
          <w:rFonts w:cs="Times New Roman"/>
          <w:szCs w:val="24"/>
        </w:rPr>
        <w:t>coefficients to be estimated</w:t>
      </w:r>
      <w:r>
        <w:rPr>
          <w:rFonts w:cs="Times New Roman"/>
          <w:szCs w:val="24"/>
        </w:rPr>
        <w:t>. The reader would note that to estimate the unfused model using source data only, we restrict</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ik</m:t>
            </m:r>
          </m:sub>
        </m:sSub>
      </m:oMath>
      <w:r>
        <w:rPr>
          <w:rFonts w:cs="Times New Roman"/>
          <w:szCs w:val="24"/>
        </w:rPr>
        <w:t xml:space="preserve">to be empty. </w:t>
      </w:r>
      <m:oMath>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 xml:space="preserve"> ik</m:t>
            </m:r>
          </m:sub>
        </m:sSub>
      </m:oMath>
      <w:r w:rsidRPr="00941DD5">
        <w:rPr>
          <w:rFonts w:cs="Times New Roman"/>
          <w:szCs w:val="24"/>
        </w:rPr>
        <w:t xml:space="preserve"> </w:t>
      </w:r>
      <w:r>
        <w:rPr>
          <w:rFonts w:cs="Times New Roman"/>
          <w:szCs w:val="24"/>
        </w:rPr>
        <w:t>is</w:t>
      </w:r>
      <w:r w:rsidRPr="00941DD5">
        <w:rPr>
          <w:rFonts w:cs="Times New Roman"/>
          <w:szCs w:val="24"/>
        </w:rPr>
        <w:t xml:space="preserve"> independently and identically distributed error term</w:t>
      </w:r>
      <w:r>
        <w:rPr>
          <w:rFonts w:cs="Times New Roman"/>
          <w:szCs w:val="24"/>
        </w:rPr>
        <w:t xml:space="preserve"> with</w:t>
      </w:r>
      <w:r w:rsidRPr="00941DD5">
        <w:rPr>
          <w:rFonts w:cs="Times New Roman"/>
          <w:szCs w:val="24"/>
        </w:rPr>
        <w:t xml:space="preserve"> zero mean and variance </w:t>
      </w:r>
      <m:oMath>
        <m:sSup>
          <m:sSupPr>
            <m:ctrlPr>
              <w:rPr>
                <w:rFonts w:ascii="Cambria Math" w:hAnsi="Cambria Math" w:cs="Times New Roman"/>
                <w:i/>
                <w:szCs w:val="24"/>
              </w:rPr>
            </m:ctrlPr>
          </m:sSupPr>
          <m:e>
            <m:r>
              <w:rPr>
                <w:rFonts w:ascii="Cambria Math" w:hAnsi="Cambria Math" w:cs="Times New Roman"/>
                <w:szCs w:val="24"/>
              </w:rPr>
              <m:t>σ</m:t>
            </m:r>
          </m:e>
          <m:sup>
            <m:r>
              <w:rPr>
                <w:rFonts w:ascii="Cambria Math" w:hAnsi="Cambria Math" w:cs="Times New Roman"/>
                <w:szCs w:val="24"/>
              </w:rPr>
              <m:t>2</m:t>
            </m:r>
          </m:sup>
        </m:sSup>
      </m:oMath>
      <w:r w:rsidRPr="00941DD5">
        <w:rPr>
          <w:rFonts w:cs="Times New Roman"/>
          <w:szCs w:val="24"/>
        </w:rPr>
        <w:t>.</w:t>
      </w:r>
      <w:r>
        <w:rPr>
          <w:rFonts w:cs="Times New Roman"/>
          <w:szCs w:val="24"/>
        </w:rPr>
        <w:t xml:space="preserve"> Based on this, the probability for HH </w:t>
      </w:r>
      <m:oMath>
        <m:r>
          <w:rPr>
            <w:rFonts w:ascii="Cambria Math" w:hAnsi="Cambria Math"/>
            <w:lang w:val="en-US"/>
          </w:rPr>
          <m:t>i</m:t>
        </m:r>
      </m:oMath>
      <w:r>
        <w:rPr>
          <w:rFonts w:eastAsiaTheme="minorEastAsia" w:cs="Times New Roman"/>
          <w:lang w:val="en-US"/>
        </w:rPr>
        <w:t xml:space="preserve"> for the </w:t>
      </w:r>
      <m:oMath>
        <m:sSup>
          <m:sSupPr>
            <m:ctrlPr>
              <w:rPr>
                <w:rFonts w:ascii="Cambria Math" w:eastAsiaTheme="minorEastAsia" w:hAnsi="Cambria Math" w:cs="Times New Roman"/>
                <w:i/>
                <w:lang w:val="en-US"/>
              </w:rPr>
            </m:ctrlPr>
          </m:sSupPr>
          <m:e>
            <m:r>
              <w:rPr>
                <w:rFonts w:ascii="Cambria Math" w:hAnsi="Cambria Math"/>
                <w:lang w:val="en-US"/>
              </w:rPr>
              <m:t>K</m:t>
            </m:r>
            <m:ctrlPr>
              <w:rPr>
                <w:rFonts w:ascii="Cambria Math" w:hAnsi="Cambria Math"/>
                <w:i/>
                <w:lang w:val="en-US"/>
              </w:rPr>
            </m:ctrlPr>
          </m:e>
          <m:sup>
            <m:r>
              <w:rPr>
                <w:rFonts w:ascii="Cambria Math" w:eastAsiaTheme="minorEastAsia" w:hAnsi="Cambria Math" w:cs="Times New Roman"/>
                <w:lang w:val="en-US"/>
              </w:rPr>
              <m:t>th</m:t>
            </m:r>
          </m:sup>
        </m:sSup>
      </m:oMath>
      <w:r>
        <w:rPr>
          <w:rFonts w:eastAsiaTheme="minorEastAsia" w:cs="Times New Roman"/>
          <w:lang w:val="en-US"/>
        </w:rPr>
        <w:t xml:space="preserve"> fused records</w:t>
      </w:r>
      <w:r>
        <w:rPr>
          <w:rFonts w:eastAsiaTheme="minorEastAsia" w:cs="Times New Roman"/>
          <w:szCs w:val="24"/>
        </w:rPr>
        <w:t xml:space="preserve"> </w:t>
      </w:r>
      <w:r>
        <w:rPr>
          <w:rFonts w:eastAsiaTheme="minorEastAsia" w:cs="Times New Roman"/>
          <w:lang w:val="en-US"/>
        </w:rPr>
        <w:t xml:space="preserve">to have </w:t>
      </w:r>
      <m:oMath>
        <m:sSub>
          <m:sSubPr>
            <m:ctrlPr>
              <w:rPr>
                <w:rFonts w:ascii="Cambria Math" w:hAnsi="Cambria Math"/>
                <w:i/>
                <w:szCs w:val="24"/>
                <w:lang w:val="en-US"/>
              </w:rPr>
            </m:ctrlPr>
          </m:sSubPr>
          <m:e>
            <m:r>
              <w:rPr>
                <w:rFonts w:ascii="Cambria Math" w:hAnsi="Cambria Math"/>
                <w:szCs w:val="24"/>
                <w:lang w:val="en-US"/>
              </w:rPr>
              <m:t>y</m:t>
            </m:r>
          </m:e>
          <m:sub>
            <m:r>
              <w:rPr>
                <w:rFonts w:ascii="Cambria Math" w:hAnsi="Cambria Math"/>
                <w:szCs w:val="24"/>
                <w:lang w:val="en-US"/>
              </w:rPr>
              <m:t>i</m:t>
            </m:r>
          </m:sub>
        </m:sSub>
      </m:oMath>
      <w:r>
        <w:rPr>
          <w:rFonts w:eastAsiaTheme="minorEastAsia" w:cs="Times New Roman"/>
          <w:szCs w:val="24"/>
          <w:lang w:val="en-US"/>
        </w:rPr>
        <w:t xml:space="preserve"> energy demand is given by:</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397"/>
      </w:tblGrid>
      <w:tr w:rsidR="003C752D" w14:paraId="61509552" w14:textId="77777777" w:rsidTr="00323982">
        <w:trPr>
          <w:trHeight w:val="20"/>
        </w:trPr>
        <w:tc>
          <w:tcPr>
            <w:tcW w:w="4254" w:type="pct"/>
            <w:vAlign w:val="center"/>
            <w:hideMark/>
          </w:tcPr>
          <w:p w14:paraId="604325EB" w14:textId="77777777" w:rsidR="003C752D" w:rsidRDefault="003C752D" w:rsidP="00323982">
            <w:pPr>
              <w:spacing w:before="360" w:after="360"/>
              <w:rPr>
                <w:rFonts w:eastAsiaTheme="minorEastAsia" w:cs="Times New Roman"/>
                <w:sz w:val="24"/>
                <w:szCs w:val="24"/>
              </w:rPr>
            </w:pPr>
            <m:oMathPara>
              <m:oMathParaPr>
                <m:jc m:val="left"/>
              </m:oMathParaPr>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ik</m:t>
                        </m:r>
                      </m:sub>
                    </m:sSub>
                  </m:e>
                </m:d>
                <m:r>
                  <w:rPr>
                    <w:rFonts w:ascii="Cambria Math" w:hAnsi="Cambria Math"/>
                    <w:sz w:val="24"/>
                    <w:szCs w:val="24"/>
                  </w:rPr>
                  <m:t>|</m:t>
                </m:r>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sSup>
                  <m:sSupPr>
                    <m:ctrlPr>
                      <w:rPr>
                        <w:rFonts w:ascii="Cambria Math" w:hAnsi="Cambria Math" w:cs="Times New Roman"/>
                        <w:i/>
                        <w:szCs w:val="24"/>
                      </w:rPr>
                    </m:ctrlPr>
                  </m:sSupPr>
                  <m:e>
                    <m:r>
                      <w:rPr>
                        <w:rFonts w:ascii="Cambria Math" w:hAnsi="Cambria Math" w:cs="Times New Roman"/>
                        <w:szCs w:val="24"/>
                      </w:rPr>
                      <m:t>,γ</m:t>
                    </m:r>
                  </m:e>
                  <m:sup>
                    <m:r>
                      <w:rPr>
                        <w:rFonts w:ascii="Cambria Math" w:hAnsi="Cambria Math" w:cs="Times New Roman"/>
                        <w:szCs w:val="24"/>
                      </w:rPr>
                      <m:t>'</m:t>
                    </m:r>
                  </m:sup>
                </m:sSup>
                <m:r>
                  <w:rPr>
                    <w:rFonts w:ascii="Cambria Math" w:eastAsiaTheme="minorEastAsia" w:hAnsi="Cambria Math"/>
                    <w:sz w:val="24"/>
                    <w:szCs w:val="24"/>
                  </w:rPr>
                  <m:t xml:space="preserve">= </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ϕ</m:t>
                    </m:r>
                    <m:d>
                      <m:dPr>
                        <m:begChr m:val="["/>
                        <m:endChr m:val="]"/>
                        <m:ctrlPr>
                          <w:rPr>
                            <w:rFonts w:ascii="Cambria Math" w:eastAsiaTheme="minorEastAsia" w:hAnsi="Cambria Math"/>
                            <w:sz w:val="24"/>
                            <w:szCs w:val="24"/>
                          </w:rPr>
                        </m:ctrlPr>
                      </m:dPr>
                      <m:e>
                        <m:f>
                          <m:fPr>
                            <m:ctrlPr>
                              <w:rPr>
                                <w:rFonts w:ascii="Cambria Math" w:eastAsiaTheme="minorEastAsia" w:hAnsi="Cambria Math"/>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ik</m:t>
                                </m:r>
                              </m:sub>
                            </m:sSub>
                          </m:num>
                          <m:den>
                            <m:r>
                              <w:rPr>
                                <w:rFonts w:ascii="Cambria Math" w:hAnsi="Cambria Math" w:cs="Times New Roman"/>
                                <w:sz w:val="24"/>
                                <w:szCs w:val="24"/>
                              </w:rPr>
                              <m:t>σ</m:t>
                            </m:r>
                          </m:den>
                        </m:f>
                      </m:e>
                    </m:d>
                  </m:num>
                  <m:den>
                    <m:r>
                      <w:rPr>
                        <w:rFonts w:ascii="Cambria Math" w:hAnsi="Cambria Math" w:cs="Times New Roman"/>
                        <w:sz w:val="24"/>
                        <w:szCs w:val="24"/>
                      </w:rPr>
                      <m:t>σ</m:t>
                    </m:r>
                  </m:den>
                </m:f>
                <m:r>
                  <w:rPr>
                    <w:rFonts w:ascii="Cambria Math" w:eastAsiaTheme="minorEastAsia" w:hAnsi="Cambria Math"/>
                    <w:sz w:val="24"/>
                    <w:szCs w:val="24"/>
                  </w:rPr>
                  <m:t xml:space="preserve">  </m:t>
                </m:r>
              </m:oMath>
            </m:oMathPara>
          </w:p>
        </w:tc>
        <w:tc>
          <w:tcPr>
            <w:tcW w:w="746" w:type="pct"/>
            <w:vAlign w:val="center"/>
            <w:hideMark/>
          </w:tcPr>
          <w:p w14:paraId="0B128A4E" w14:textId="77777777" w:rsidR="003C752D" w:rsidRDefault="003C752D" w:rsidP="00323982">
            <w:pPr>
              <w:ind w:left="850"/>
              <w:contextualSpacing/>
              <w:rPr>
                <w:sz w:val="24"/>
                <w:szCs w:val="24"/>
              </w:rPr>
            </w:pPr>
            <w:r w:rsidRPr="00024ABA">
              <w:rPr>
                <w:rFonts w:ascii="Times New Roman" w:hAnsi="Times New Roman" w:cs="Times New Roman"/>
                <w:sz w:val="24"/>
                <w:szCs w:val="24"/>
              </w:rPr>
              <w:t>(</w:t>
            </w:r>
            <w:r>
              <w:rPr>
                <w:rFonts w:ascii="Times New Roman" w:hAnsi="Times New Roman" w:cs="Times New Roman"/>
                <w:sz w:val="24"/>
                <w:szCs w:val="24"/>
              </w:rPr>
              <w:t>2</w:t>
            </w:r>
            <w:r w:rsidRPr="00024ABA">
              <w:rPr>
                <w:rFonts w:ascii="Times New Roman" w:hAnsi="Times New Roman" w:cs="Times New Roman"/>
                <w:sz w:val="24"/>
                <w:szCs w:val="24"/>
              </w:rPr>
              <w:t>)</w:t>
            </w:r>
          </w:p>
        </w:tc>
      </w:tr>
    </w:tbl>
    <w:p w14:paraId="6B7D5376" w14:textId="77777777" w:rsidR="003C752D" w:rsidRDefault="003C752D" w:rsidP="003C752D">
      <w:pPr>
        <w:rPr>
          <w:rFonts w:cs="Times New Roman"/>
          <w:szCs w:val="24"/>
        </w:rPr>
      </w:pPr>
      <w:r>
        <w:rPr>
          <w:rFonts w:cs="Times New Roman"/>
          <w:szCs w:val="24"/>
        </w:rPr>
        <w:t xml:space="preserve">where </w:t>
      </w:r>
      <m:oMath>
        <m:r>
          <m:rPr>
            <m:sty m:val="p"/>
          </m:rPr>
          <w:rPr>
            <w:rFonts w:ascii="Cambria Math" w:eastAsiaTheme="minorEastAsia" w:hAnsi="Cambria Math"/>
            <w:szCs w:val="24"/>
          </w:rPr>
          <m:t>ϕ(.)</m:t>
        </m:r>
      </m:oMath>
      <w:r>
        <w:rPr>
          <w:rFonts w:cs="Times New Roman"/>
          <w:szCs w:val="24"/>
        </w:rPr>
        <w:t xml:space="preserve"> is the standard normal probability density function. </w:t>
      </w:r>
    </w:p>
    <w:p w14:paraId="41F7CC8E" w14:textId="77777777" w:rsidR="003C752D" w:rsidRDefault="003C752D" w:rsidP="003C752D">
      <w:pPr>
        <w:ind w:firstLine="720"/>
        <w:rPr>
          <w:lang w:val="en-US"/>
        </w:rPr>
      </w:pPr>
      <w:r>
        <w:t xml:space="preserve">On the other hand, the weight component takes the form of a latent multinomial logit structure (MNL) allocating the probability for each RECS HH being paired with an NHTS HH. </w:t>
      </w:r>
      <w:r w:rsidRPr="00BA524C">
        <w:rPr>
          <w:lang w:val="en-US"/>
        </w:rPr>
        <w:lastRenderedPageBreak/>
        <w:t>The match</w:t>
      </w:r>
      <w:r>
        <w:rPr>
          <w:lang w:val="en-US"/>
        </w:rPr>
        <w:t>ed</w:t>
      </w:r>
      <w:r w:rsidRPr="00BA524C">
        <w:rPr>
          <w:lang w:val="en-US"/>
        </w:rPr>
        <w:t xml:space="preserve"> weightage propensity is determined</w:t>
      </w:r>
      <w:r>
        <w:rPr>
          <w:lang w:val="en-US"/>
        </w:rPr>
        <w:t xml:space="preserve"> </w:t>
      </w:r>
      <w:r w:rsidRPr="00BA524C">
        <w:rPr>
          <w:lang w:val="en-US"/>
        </w:rPr>
        <w:t>based on a latent probability value estimated using a multinomial logit model</w:t>
      </w:r>
      <w:r>
        <w:rPr>
          <w:lang w:val="en-US"/>
        </w:rPr>
        <w:t xml:space="preserve"> as follows</w:t>
      </w:r>
      <w:r w:rsidRPr="00BA524C">
        <w:rPr>
          <w:lang w:val="en-US"/>
        </w:rPr>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3C752D" w:rsidRPr="00024ABA" w14:paraId="653CB033" w14:textId="77777777" w:rsidTr="00323982">
        <w:trPr>
          <w:trHeight w:val="288"/>
        </w:trPr>
        <w:tc>
          <w:tcPr>
            <w:tcW w:w="4281" w:type="pct"/>
            <w:vAlign w:val="center"/>
          </w:tcPr>
          <w:p w14:paraId="5A6F32A2" w14:textId="77777777" w:rsidR="003C752D" w:rsidRPr="00BA74ED" w:rsidRDefault="00000000" w:rsidP="00323982">
            <w:pPr>
              <w:rPr>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ik</m:t>
                    </m:r>
                  </m:sub>
                </m:sSub>
                <m:r>
                  <w:rPr>
                    <w:rFonts w:ascii="Cambria Math" w:hAnsi="Cambria Math"/>
                    <w:sz w:val="24"/>
                    <w:szCs w:val="24"/>
                    <w:lang w:val="en-US"/>
                  </w:rPr>
                  <m:t>=</m:t>
                </m:r>
                <m:f>
                  <m:fPr>
                    <m:ctrlPr>
                      <w:rPr>
                        <w:rFonts w:ascii="Cambria Math" w:hAnsi="Cambria Math"/>
                        <w:i/>
                        <w:sz w:val="24"/>
                        <w:szCs w:val="24"/>
                        <w:lang w:val="en-US"/>
                      </w:rPr>
                    </m:ctrlPr>
                  </m:fPr>
                  <m:num>
                    <m:func>
                      <m:funcPr>
                        <m:ctrlPr>
                          <w:rPr>
                            <w:rFonts w:ascii="Cambria Math" w:hAnsi="Cambria Math"/>
                            <w:sz w:val="24"/>
                            <w:szCs w:val="24"/>
                            <w:lang w:val="en-US"/>
                          </w:rPr>
                        </m:ctrlPr>
                      </m:funcPr>
                      <m:fName>
                        <m:r>
                          <m:rPr>
                            <m:sty m:val="p"/>
                          </m:rPr>
                          <w:rPr>
                            <w:rFonts w:ascii="Cambria Math" w:hAnsi="Cambria Math"/>
                            <w:sz w:val="24"/>
                            <w:szCs w:val="24"/>
                            <w:lang w:val="en-US"/>
                          </w:rPr>
                          <m:t>exp</m:t>
                        </m:r>
                      </m:fName>
                      <m:e>
                        <m:d>
                          <m:dPr>
                            <m:ctrlPr>
                              <w:rPr>
                                <w:rFonts w:ascii="Cambria Math" w:hAnsi="Cambria Math"/>
                                <w:i/>
                                <w:sz w:val="24"/>
                                <w:szCs w:val="24"/>
                                <w:lang w:val="en-US"/>
                              </w:rPr>
                            </m:ctrlPr>
                          </m:dPr>
                          <m:e>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ik</m:t>
                                </m:r>
                              </m:sub>
                            </m:sSub>
                          </m:e>
                        </m:d>
                      </m:e>
                    </m:func>
                  </m:num>
                  <m:den>
                    <m:nary>
                      <m:naryPr>
                        <m:chr m:val="∑"/>
                        <m:limLoc m:val="undOvr"/>
                        <m:ctrlPr>
                          <w:rPr>
                            <w:rFonts w:ascii="Cambria Math" w:hAnsi="Cambria Math"/>
                            <w:i/>
                            <w:sz w:val="24"/>
                            <w:szCs w:val="24"/>
                            <w:lang w:val="en-US"/>
                          </w:rPr>
                        </m:ctrlPr>
                      </m:naryPr>
                      <m:sub>
                        <m:r>
                          <w:rPr>
                            <w:rFonts w:ascii="Cambria Math" w:hAnsi="Cambria Math"/>
                            <w:sz w:val="24"/>
                            <w:szCs w:val="24"/>
                            <w:lang w:val="en-US"/>
                          </w:rPr>
                          <m:t>k=1</m:t>
                        </m:r>
                      </m:sub>
                      <m:sup>
                        <m:r>
                          <w:rPr>
                            <w:rFonts w:ascii="Cambria Math" w:hAnsi="Cambria Math"/>
                            <w:sz w:val="24"/>
                            <w:szCs w:val="24"/>
                            <w:lang w:val="en-US"/>
                          </w:rPr>
                          <m:t>K</m:t>
                        </m:r>
                      </m:sup>
                      <m:e>
                        <m:func>
                          <m:funcPr>
                            <m:ctrlPr>
                              <w:rPr>
                                <w:rFonts w:ascii="Cambria Math" w:hAnsi="Cambria Math"/>
                                <w:sz w:val="24"/>
                                <w:szCs w:val="24"/>
                                <w:lang w:val="en-US"/>
                              </w:rPr>
                            </m:ctrlPr>
                          </m:funcPr>
                          <m:fName>
                            <m:r>
                              <m:rPr>
                                <m:sty m:val="p"/>
                              </m:rPr>
                              <w:rPr>
                                <w:rFonts w:ascii="Cambria Math" w:hAnsi="Cambria Math"/>
                                <w:sz w:val="24"/>
                                <w:szCs w:val="24"/>
                                <w:lang w:val="en-US"/>
                              </w:rPr>
                              <m:t>exp</m:t>
                            </m:r>
                          </m:fName>
                          <m:e>
                            <m:d>
                              <m:dPr>
                                <m:ctrlPr>
                                  <w:rPr>
                                    <w:rFonts w:ascii="Cambria Math" w:hAnsi="Cambria Math"/>
                                    <w:i/>
                                    <w:sz w:val="24"/>
                                    <w:szCs w:val="24"/>
                                    <w:lang w:val="en-US"/>
                                  </w:rPr>
                                </m:ctrlPr>
                              </m:dPr>
                              <m:e>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ik</m:t>
                                    </m:r>
                                  </m:sub>
                                </m:sSub>
                              </m:e>
                            </m:d>
                          </m:e>
                        </m:func>
                      </m:e>
                    </m:nary>
                  </m:den>
                </m:f>
              </m:oMath>
            </m:oMathPara>
          </w:p>
        </w:tc>
        <w:tc>
          <w:tcPr>
            <w:tcW w:w="719" w:type="pct"/>
            <w:vAlign w:val="center"/>
          </w:tcPr>
          <w:p w14:paraId="76F662E4" w14:textId="77777777" w:rsidR="003C752D" w:rsidRPr="00024ABA" w:rsidRDefault="003C752D" w:rsidP="00323982">
            <w:pPr>
              <w:spacing w:before="360" w:after="360"/>
              <w:ind w:left="850"/>
              <w:contextualSpacing/>
              <w:jc w:val="right"/>
              <w:rPr>
                <w:rFonts w:ascii="Times New Roman" w:hAnsi="Times New Roman" w:cs="Times New Roman"/>
                <w:sz w:val="24"/>
                <w:szCs w:val="24"/>
              </w:rPr>
            </w:pPr>
            <w:r w:rsidRPr="00024ABA">
              <w:rPr>
                <w:rFonts w:ascii="Times New Roman" w:hAnsi="Times New Roman" w:cs="Times New Roman"/>
                <w:sz w:val="24"/>
                <w:szCs w:val="24"/>
              </w:rPr>
              <w:t>(</w:t>
            </w:r>
            <w:r>
              <w:rPr>
                <w:rFonts w:ascii="Times New Roman" w:hAnsi="Times New Roman" w:cs="Times New Roman"/>
                <w:sz w:val="24"/>
                <w:szCs w:val="24"/>
              </w:rPr>
              <w:t>3</w:t>
            </w:r>
            <w:r w:rsidRPr="00024ABA">
              <w:rPr>
                <w:rFonts w:ascii="Times New Roman" w:hAnsi="Times New Roman" w:cs="Times New Roman"/>
                <w:sz w:val="24"/>
                <w:szCs w:val="24"/>
              </w:rPr>
              <w:t>)</w:t>
            </w:r>
          </w:p>
        </w:tc>
      </w:tr>
    </w:tbl>
    <w:p w14:paraId="6440799B" w14:textId="77777777" w:rsidR="003C752D" w:rsidRDefault="003C752D" w:rsidP="003C752D">
      <w:pPr>
        <w:rPr>
          <w:lang w:val="en-US"/>
        </w:rPr>
      </w:pPr>
      <w:r w:rsidRPr="001B6798">
        <w:rPr>
          <w:lang w:val="en-US"/>
        </w:rPr>
        <w:t xml:space="preserve">where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ik</m:t>
            </m:r>
          </m:sub>
        </m:sSub>
      </m:oMath>
      <w:r w:rsidRPr="001B6798">
        <w:rPr>
          <w:lang w:val="en-US"/>
        </w:rPr>
        <w:t xml:space="preserve"> is a vector of attributes considered for matching, </w:t>
      </w:r>
      <m:oMath>
        <m:r>
          <w:rPr>
            <w:rFonts w:ascii="Cambria Math" w:hAnsi="Cambria Math"/>
            <w:lang w:val="en-US"/>
          </w:rPr>
          <m:t>∝</m:t>
        </m:r>
      </m:oMath>
      <w:r>
        <w:rPr>
          <w:lang w:val="en-US"/>
        </w:rPr>
        <w:t xml:space="preserve"> </w:t>
      </w:r>
      <w:r w:rsidRPr="001B6798">
        <w:rPr>
          <w:lang w:val="en-US"/>
        </w:rPr>
        <w:t xml:space="preserve">is a corresponding vector </w:t>
      </w:r>
      <w:r>
        <w:rPr>
          <w:lang w:val="en-US"/>
        </w:rPr>
        <w:t xml:space="preserve">to be estimated. </w:t>
      </w:r>
      <w:r w:rsidRPr="001B6798">
        <w:rPr>
          <w:lang w:val="en-US"/>
        </w:rPr>
        <w:t>Based</w:t>
      </w:r>
      <w:r>
        <w:rPr>
          <w:lang w:val="en-US"/>
        </w:rPr>
        <w:t xml:space="preserve"> </w:t>
      </w:r>
      <w:r w:rsidRPr="001B6798">
        <w:rPr>
          <w:lang w:val="en-US"/>
        </w:rPr>
        <w:t>on this notation,</w:t>
      </w:r>
      <w:r>
        <w:rPr>
          <w:lang w:val="en-US"/>
        </w:rPr>
        <w:t xml:space="preserve"> let’s assume </w:t>
      </w:r>
      <m:oMath>
        <m:sSub>
          <m:sSubPr>
            <m:ctrlPr>
              <w:rPr>
                <w:rFonts w:ascii="Cambria Math" w:hAnsi="Cambria Math"/>
                <w:i/>
                <w:szCs w:val="24"/>
                <w:lang w:val="en-US"/>
              </w:rPr>
            </m:ctrlPr>
          </m:sSubPr>
          <m:e>
            <m:r>
              <w:rPr>
                <w:rFonts w:ascii="Cambria Math" w:hAnsi="Cambria Math"/>
                <w:szCs w:val="24"/>
                <w:lang w:val="en-US"/>
              </w:rPr>
              <m:t>Q</m:t>
            </m:r>
          </m:e>
          <m:sub>
            <m:r>
              <w:rPr>
                <w:rFonts w:ascii="Cambria Math" w:hAnsi="Cambria Math"/>
                <w:szCs w:val="24"/>
                <w:lang w:val="en-US"/>
              </w:rPr>
              <m:t>i</m:t>
            </m:r>
          </m:sub>
        </m:sSub>
      </m:oMath>
      <w:r>
        <w:rPr>
          <w:rFonts w:eastAsiaTheme="minorEastAsia"/>
          <w:szCs w:val="24"/>
          <w:lang w:val="en-US"/>
        </w:rPr>
        <w:t xml:space="preserve"> is the weighted probability that HH </w:t>
      </w:r>
      <m:oMath>
        <m:r>
          <w:rPr>
            <w:rFonts w:ascii="Cambria Math" w:hAnsi="Cambria Math"/>
            <w:szCs w:val="24"/>
            <w:lang w:val="en-US"/>
          </w:rPr>
          <m:t>i</m:t>
        </m:r>
      </m:oMath>
      <w:r>
        <w:rPr>
          <w:rFonts w:eastAsiaTheme="minorEastAsia"/>
          <w:szCs w:val="24"/>
          <w:lang w:val="en-US"/>
        </w:rPr>
        <w:t xml:space="preserve"> has </w:t>
      </w:r>
      <m:oMath>
        <m:sSub>
          <m:sSubPr>
            <m:ctrlPr>
              <w:rPr>
                <w:rFonts w:ascii="Cambria Math" w:hAnsi="Cambria Math"/>
                <w:i/>
                <w:szCs w:val="24"/>
                <w:lang w:val="en-US"/>
              </w:rPr>
            </m:ctrlPr>
          </m:sSubPr>
          <m:e>
            <m:r>
              <w:rPr>
                <w:rFonts w:ascii="Cambria Math" w:hAnsi="Cambria Math"/>
                <w:szCs w:val="24"/>
                <w:lang w:val="en-US"/>
              </w:rPr>
              <m:t>y</m:t>
            </m:r>
          </m:e>
          <m:sub>
            <m:r>
              <w:rPr>
                <w:rFonts w:ascii="Cambria Math" w:hAnsi="Cambria Math"/>
                <w:szCs w:val="24"/>
                <w:lang w:val="en-US"/>
              </w:rPr>
              <m:t>i</m:t>
            </m:r>
          </m:sub>
        </m:sSub>
      </m:oMath>
      <w:r>
        <w:rPr>
          <w:rFonts w:eastAsiaTheme="minorEastAsia" w:cs="Times New Roman"/>
          <w:szCs w:val="24"/>
          <w:lang w:val="en-US"/>
        </w:rPr>
        <w:t xml:space="preserve"> energy demand which can be written as: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397"/>
      </w:tblGrid>
      <w:tr w:rsidR="003C752D" w:rsidRPr="00024ABA" w14:paraId="6FD9D1D9" w14:textId="77777777" w:rsidTr="00323982">
        <w:trPr>
          <w:trHeight w:val="288"/>
        </w:trPr>
        <w:tc>
          <w:tcPr>
            <w:tcW w:w="4254" w:type="pct"/>
            <w:vAlign w:val="center"/>
          </w:tcPr>
          <w:p w14:paraId="18860A6D" w14:textId="77777777" w:rsidR="003C752D" w:rsidRPr="00BA74ED" w:rsidRDefault="00000000" w:rsidP="00323982">
            <w:pPr>
              <w:rPr>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i</m:t>
                    </m:r>
                  </m:sub>
                </m:sSub>
                <m:r>
                  <w:rPr>
                    <w:rFonts w:ascii="Cambria Math" w:hAnsi="Cambria Math"/>
                    <w:sz w:val="24"/>
                    <w:szCs w:val="24"/>
                    <w:lang w:val="en-US"/>
                  </w:rPr>
                  <m:t>=</m:t>
                </m:r>
                <m:nary>
                  <m:naryPr>
                    <m:chr m:val="∑"/>
                    <m:limLoc m:val="undOvr"/>
                    <m:ctrlPr>
                      <w:rPr>
                        <w:rFonts w:ascii="Cambria Math" w:hAnsi="Cambria Math"/>
                        <w:i/>
                        <w:sz w:val="28"/>
                        <w:szCs w:val="24"/>
                        <w:lang w:val="en-US"/>
                      </w:rPr>
                    </m:ctrlPr>
                  </m:naryPr>
                  <m:sub>
                    <m:r>
                      <w:rPr>
                        <w:rFonts w:ascii="Cambria Math" w:hAnsi="Cambria Math"/>
                        <w:sz w:val="24"/>
                        <w:szCs w:val="24"/>
                        <w:lang w:val="en-US"/>
                      </w:rPr>
                      <m:t>k=1</m:t>
                    </m:r>
                  </m:sub>
                  <m:sup>
                    <m:r>
                      <w:rPr>
                        <w:rFonts w:ascii="Cambria Math" w:hAnsi="Cambria Math"/>
                        <w:sz w:val="24"/>
                        <w:szCs w:val="24"/>
                        <w:lang w:val="en-US"/>
                      </w:rPr>
                      <m:t>K</m:t>
                    </m:r>
                  </m:sup>
                  <m:e>
                    <m:r>
                      <w:rPr>
                        <w:rFonts w:ascii="Cambria Math" w:hAnsi="Cambria Math"/>
                        <w:sz w:val="24"/>
                        <w:szCs w:val="24"/>
                        <w:lang w:val="en-US"/>
                      </w:rPr>
                      <m:t>P</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ik</m:t>
                            </m:r>
                          </m:sub>
                        </m:sSub>
                      </m:e>
                    </m:d>
                    <m:r>
                      <w:rPr>
                        <w:rFonts w:ascii="Cambria Math" w:hAnsi="Cambria Math"/>
                        <w:sz w:val="24"/>
                        <w:szCs w:val="24"/>
                        <w:lang w:val="en-US"/>
                      </w:rPr>
                      <m:t>x</m:t>
                    </m:r>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ik</m:t>
                        </m:r>
                      </m:sub>
                    </m:sSub>
                    <m:r>
                      <w:rPr>
                        <w:rFonts w:ascii="Cambria Math" w:hAnsi="Cambria Math"/>
                        <w:sz w:val="24"/>
                        <w:szCs w:val="24"/>
                        <w:lang w:val="en-US"/>
                      </w:rPr>
                      <m:t xml:space="preserve"> </m:t>
                    </m:r>
                  </m:e>
                </m:nary>
              </m:oMath>
            </m:oMathPara>
          </w:p>
        </w:tc>
        <w:tc>
          <w:tcPr>
            <w:tcW w:w="746" w:type="pct"/>
            <w:vAlign w:val="center"/>
          </w:tcPr>
          <w:p w14:paraId="694AA647" w14:textId="77777777" w:rsidR="003C752D" w:rsidRPr="00024ABA" w:rsidRDefault="003C752D" w:rsidP="00323982">
            <w:pPr>
              <w:spacing w:before="360" w:after="360"/>
              <w:ind w:left="850"/>
              <w:contextualSpacing/>
              <w:jc w:val="right"/>
              <w:rPr>
                <w:rFonts w:ascii="Times New Roman" w:hAnsi="Times New Roman" w:cs="Times New Roman"/>
                <w:sz w:val="24"/>
                <w:szCs w:val="24"/>
              </w:rPr>
            </w:pPr>
            <w:r w:rsidRPr="00024ABA">
              <w:rPr>
                <w:rFonts w:ascii="Times New Roman" w:hAnsi="Times New Roman" w:cs="Times New Roman"/>
                <w:sz w:val="24"/>
                <w:szCs w:val="24"/>
              </w:rPr>
              <w:t>(</w:t>
            </w:r>
            <w:r>
              <w:rPr>
                <w:rFonts w:ascii="Times New Roman" w:hAnsi="Times New Roman" w:cs="Times New Roman"/>
                <w:sz w:val="24"/>
                <w:szCs w:val="24"/>
              </w:rPr>
              <w:t>4</w:t>
            </w:r>
            <w:r w:rsidRPr="00024ABA">
              <w:rPr>
                <w:rFonts w:ascii="Times New Roman" w:hAnsi="Times New Roman" w:cs="Times New Roman"/>
                <w:sz w:val="24"/>
                <w:szCs w:val="24"/>
              </w:rPr>
              <w:t>)</w:t>
            </w:r>
          </w:p>
        </w:tc>
      </w:tr>
    </w:tbl>
    <w:p w14:paraId="12546CCB" w14:textId="77777777" w:rsidR="003C752D" w:rsidRDefault="003C752D" w:rsidP="003C752D">
      <w:pPr>
        <w:ind w:firstLine="720"/>
        <w:rPr>
          <w:lang w:val="en-US"/>
        </w:rPr>
      </w:pPr>
      <w:r w:rsidRPr="00E32EED">
        <w:rPr>
          <w:lang w:val="en-US"/>
        </w:rPr>
        <w:t xml:space="preserve">This matching, when executed, will provide us a relationship between the </w:t>
      </w:r>
      <w:r>
        <w:rPr>
          <w:lang w:val="en-US"/>
        </w:rPr>
        <w:t>RECS</w:t>
      </w:r>
      <w:r w:rsidRPr="00E32EED">
        <w:rPr>
          <w:lang w:val="en-US"/>
        </w:rPr>
        <w:t xml:space="preserve"> and </w:t>
      </w:r>
      <w:r>
        <w:rPr>
          <w:lang w:val="en-US"/>
        </w:rPr>
        <w:t xml:space="preserve">NHTS </w:t>
      </w:r>
      <w:r w:rsidRPr="00E32EED">
        <w:rPr>
          <w:lang w:val="en-US"/>
        </w:rPr>
        <w:t xml:space="preserve">datasets. Specifically, employing </w:t>
      </w:r>
      <w:r>
        <w:rPr>
          <w:lang w:val="en-US"/>
        </w:rPr>
        <w:t>e</w:t>
      </w:r>
      <w:r w:rsidRPr="00E32EED">
        <w:rPr>
          <w:lang w:val="en-US"/>
        </w:rPr>
        <w:t xml:space="preserve">quation </w:t>
      </w:r>
      <w:r>
        <w:rPr>
          <w:lang w:val="en-US"/>
        </w:rPr>
        <w:t>4</w:t>
      </w:r>
      <w:r w:rsidRPr="00E32EED">
        <w:rPr>
          <w:lang w:val="en-US"/>
        </w:rPr>
        <w:t xml:space="preserve">, </w:t>
      </w:r>
      <w:r>
        <w:rPr>
          <w:lang w:val="en-US"/>
        </w:rPr>
        <w:t>several additional variables from the NHTS dataset will be employed to generate the missing dimension for the RECS dataset. Finally, the log-likelihood function for the fused dataset energy demand is defined as: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397"/>
      </w:tblGrid>
      <w:tr w:rsidR="003C752D" w:rsidRPr="00024ABA" w14:paraId="1BBDF97A" w14:textId="77777777" w:rsidTr="00323982">
        <w:trPr>
          <w:trHeight w:val="288"/>
        </w:trPr>
        <w:tc>
          <w:tcPr>
            <w:tcW w:w="4254" w:type="pct"/>
            <w:vAlign w:val="center"/>
          </w:tcPr>
          <w:p w14:paraId="4BDE5E12" w14:textId="77777777" w:rsidR="003C752D" w:rsidRPr="00BA74ED" w:rsidRDefault="003C752D" w:rsidP="00323982">
            <w:pPr>
              <w:rPr>
                <w:lang w:val="en-US"/>
              </w:rPr>
            </w:pPr>
            <m:oMathPara>
              <m:oMathParaPr>
                <m:jc m:val="left"/>
              </m:oMathParaPr>
              <m:oMath>
                <m:r>
                  <w:rPr>
                    <w:rFonts w:ascii="Cambria Math" w:hAnsi="Cambria Math"/>
                    <w:lang w:val="en-US"/>
                  </w:rPr>
                  <m:t>LL=</m:t>
                </m:r>
                <m:nary>
                  <m:naryPr>
                    <m:chr m:val="∑"/>
                    <m:limLoc m:val="undOvr"/>
                    <m:ctrlPr>
                      <w:rPr>
                        <w:rFonts w:ascii="Cambria Math" w:hAnsi="Cambria Math"/>
                        <w:i/>
                        <w:sz w:val="24"/>
                        <w:lang w:val="en-US"/>
                      </w:rPr>
                    </m:ctrlPr>
                  </m:naryPr>
                  <m:sub>
                    <m:r>
                      <w:rPr>
                        <w:rFonts w:ascii="Cambria Math" w:hAnsi="Cambria Math"/>
                        <w:lang w:val="en-US"/>
                      </w:rPr>
                      <m:t>i=1</m:t>
                    </m:r>
                  </m:sub>
                  <m:sup>
                    <m:r>
                      <w:rPr>
                        <w:rFonts w:ascii="Cambria Math" w:hAnsi="Cambria Math"/>
                        <w:lang w:val="en-US"/>
                      </w:rPr>
                      <m:t>N</m:t>
                    </m:r>
                  </m:sup>
                  <m:e>
                    <m:r>
                      <m:rPr>
                        <m:sty m:val="p"/>
                      </m:rPr>
                      <w:rPr>
                        <w:rFonts w:ascii="Cambria Math" w:hAnsi="Cambria Math"/>
                        <w:lang w:val="en-US"/>
                      </w:rPr>
                      <m:t>log⁡</m:t>
                    </m:r>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 xml:space="preserve">) </m:t>
                    </m:r>
                  </m:e>
                </m:nary>
              </m:oMath>
            </m:oMathPara>
          </w:p>
        </w:tc>
        <w:tc>
          <w:tcPr>
            <w:tcW w:w="746" w:type="pct"/>
            <w:vAlign w:val="center"/>
          </w:tcPr>
          <w:p w14:paraId="2CCBA677" w14:textId="77777777" w:rsidR="003C752D" w:rsidRPr="00024ABA" w:rsidRDefault="003C752D" w:rsidP="00323982">
            <w:pPr>
              <w:spacing w:before="360" w:after="360"/>
              <w:ind w:left="850"/>
              <w:contextualSpacing/>
              <w:jc w:val="right"/>
              <w:rPr>
                <w:rFonts w:ascii="Times New Roman" w:hAnsi="Times New Roman" w:cs="Times New Roman"/>
                <w:sz w:val="24"/>
                <w:szCs w:val="24"/>
              </w:rPr>
            </w:pPr>
            <w:r w:rsidRPr="00024ABA">
              <w:rPr>
                <w:rFonts w:ascii="Times New Roman" w:hAnsi="Times New Roman" w:cs="Times New Roman"/>
                <w:sz w:val="24"/>
                <w:szCs w:val="24"/>
              </w:rPr>
              <w:t>(</w:t>
            </w:r>
            <w:r>
              <w:rPr>
                <w:rFonts w:ascii="Times New Roman" w:hAnsi="Times New Roman" w:cs="Times New Roman"/>
                <w:sz w:val="24"/>
                <w:szCs w:val="24"/>
              </w:rPr>
              <w:t>5</w:t>
            </w:r>
            <w:r w:rsidRPr="00024ABA">
              <w:rPr>
                <w:rFonts w:ascii="Times New Roman" w:hAnsi="Times New Roman" w:cs="Times New Roman"/>
                <w:sz w:val="24"/>
                <w:szCs w:val="24"/>
              </w:rPr>
              <w:t>)</w:t>
            </w:r>
          </w:p>
        </w:tc>
      </w:tr>
    </w:tbl>
    <w:p w14:paraId="6A14C0C9" w14:textId="77777777" w:rsidR="00A34AD8" w:rsidRDefault="00A34AD8" w:rsidP="00A34AD8"/>
    <w:p w14:paraId="60DF4381" w14:textId="3F522A10" w:rsidR="00221DFD" w:rsidRDefault="00ED2BCB" w:rsidP="000B26F3">
      <w:pPr>
        <w:pStyle w:val="Heading1"/>
      </w:pPr>
      <w:r>
        <w:t xml:space="preserve">6 </w:t>
      </w:r>
      <w:r w:rsidR="000B26F3">
        <w:t>Empirical Analysis</w:t>
      </w:r>
    </w:p>
    <w:p w14:paraId="1FE77F9D" w14:textId="759CCFFD" w:rsidR="00221DFD" w:rsidRDefault="00ED2BCB" w:rsidP="000B26F3">
      <w:pPr>
        <w:pStyle w:val="Heading2"/>
      </w:pPr>
      <w:r>
        <w:t xml:space="preserve">6.1 </w:t>
      </w:r>
      <w:r w:rsidR="00221DFD">
        <w:t>Model Fit</w:t>
      </w:r>
    </w:p>
    <w:p w14:paraId="34DDFA10" w14:textId="246E3560" w:rsidR="00497D43" w:rsidRDefault="00E7464D" w:rsidP="008334D7">
      <w:r>
        <w:t xml:space="preserve">The experimental set up and the corresponding results establish the best </w:t>
      </w:r>
      <w:r w:rsidR="008334D7">
        <w:t xml:space="preserve">model estimated using the fused dataset. </w:t>
      </w:r>
      <w:bookmarkStart w:id="20" w:name="_Hlk78658578"/>
      <w:r w:rsidR="008334D7">
        <w:t>We estimate multiple models to serve as a benchmark for the proposed models</w:t>
      </w:r>
      <w:bookmarkEnd w:id="20"/>
      <w:r w:rsidR="008334D7">
        <w:t xml:space="preserve">. </w:t>
      </w:r>
      <w:r w:rsidR="00221DFD" w:rsidRPr="00EF241B">
        <w:rPr>
          <w:u w:val="single"/>
        </w:rPr>
        <w:t>First</w:t>
      </w:r>
      <w:r w:rsidR="00221DFD">
        <w:t xml:space="preserve">, we </w:t>
      </w:r>
      <w:r w:rsidR="008334D7">
        <w:t xml:space="preserve">estimate </w:t>
      </w:r>
      <w:bookmarkStart w:id="21" w:name="_Hlk78658586"/>
      <w:r w:rsidR="00221DFD">
        <w:t xml:space="preserve">a simple linear regression model (SLR) </w:t>
      </w:r>
      <w:bookmarkEnd w:id="21"/>
      <w:r w:rsidR="00221DFD">
        <w:t xml:space="preserve">employing the RECS survey (with 4,000 HHs) data without fusing any record from the NHTS database. </w:t>
      </w:r>
      <w:r w:rsidR="00221DFD" w:rsidRPr="00EF241B">
        <w:rPr>
          <w:u w:val="single"/>
        </w:rPr>
        <w:t>Second</w:t>
      </w:r>
      <w:r w:rsidR="00221DFD">
        <w:t xml:space="preserve">, we </w:t>
      </w:r>
      <w:r w:rsidR="00497D43">
        <w:t xml:space="preserve">employ the fused dataset </w:t>
      </w:r>
      <w:r w:rsidR="00497D43">
        <w:lastRenderedPageBreak/>
        <w:t xml:space="preserve">with K=15 and N=15 and estimate a linear regression model </w:t>
      </w:r>
      <w:r w:rsidR="00BF1894">
        <w:t>with equal weight</w:t>
      </w:r>
      <w:r w:rsidR="00EC4FA5">
        <w:t>s</w:t>
      </w:r>
      <w:r w:rsidR="00BF1894">
        <w:t xml:space="preserve"> (EWLR) allocation i.e. each fused record is weighted at (1/15). Finally, these two models are compared with the </w:t>
      </w:r>
      <w:bookmarkStart w:id="22" w:name="_Hlk78658676"/>
      <w:r w:rsidR="00BF1894">
        <w:t>fused latent weight linear regression (LWLR) model</w:t>
      </w:r>
      <w:bookmarkEnd w:id="22"/>
      <w:r w:rsidR="00BF1894">
        <w:t xml:space="preserve">. The models are estimated for two use cases: electricity energy use and natural gas energy use. </w:t>
      </w:r>
    </w:p>
    <w:p w14:paraId="107C2478" w14:textId="014A2A3A" w:rsidR="00221DFD" w:rsidRDefault="00221DFD" w:rsidP="00221DFD">
      <w:pPr>
        <w:ind w:firstLine="720"/>
        <w:rPr>
          <w:rFonts w:cs="Times New Roman"/>
          <w:lang w:val="en-US"/>
        </w:rPr>
      </w:pPr>
      <w:r>
        <w:t xml:space="preserve">The performance of these models is compared </w:t>
      </w:r>
      <w:r w:rsidR="00A84028">
        <w:t>based on</w:t>
      </w:r>
      <w:r>
        <w:t xml:space="preserve"> the log-likelihood (LL) at convergence, the number of parameters estimated, and </w:t>
      </w:r>
      <w:bookmarkStart w:id="23" w:name="_Hlk78658777"/>
      <w:r>
        <w:t xml:space="preserve">Bayesian Information Criterion </w:t>
      </w:r>
      <w:bookmarkEnd w:id="23"/>
      <w:r>
        <w:t xml:space="preserve">(BIC). </w:t>
      </w:r>
      <w:r>
        <w:rPr>
          <w:rFonts w:eastAsiaTheme="minorEastAsia"/>
        </w:rPr>
        <w:t xml:space="preserve">For the </w:t>
      </w:r>
      <w:r w:rsidRPr="00E0488B">
        <w:rPr>
          <w:rFonts w:eastAsiaTheme="minorEastAsia"/>
          <w:u w:val="single"/>
        </w:rPr>
        <w:t>electricity demand model</w:t>
      </w:r>
      <w:r>
        <w:rPr>
          <w:rFonts w:eastAsiaTheme="minorEastAsia"/>
        </w:rPr>
        <w:t xml:space="preserve">, the BIC </w:t>
      </w:r>
      <w:r w:rsidR="00614F30">
        <w:rPr>
          <w:rFonts w:eastAsiaTheme="minorEastAsia"/>
        </w:rPr>
        <w:t xml:space="preserve">(LL) </w:t>
      </w:r>
      <w:r>
        <w:rPr>
          <w:rFonts w:eastAsiaTheme="minorEastAsia"/>
        </w:rPr>
        <w:t>values at convergence are: 1) SLR model (with 16 parameters) – 6,126.73 (-2997.01); 2) EWLR model (with 21</w:t>
      </w:r>
      <w:r w:rsidRPr="008113A5">
        <w:rPr>
          <w:rFonts w:eastAsiaTheme="minorEastAsia"/>
        </w:rPr>
        <w:t xml:space="preserve"> </w:t>
      </w:r>
      <w:r>
        <w:rPr>
          <w:rFonts w:eastAsiaTheme="minorEastAsia"/>
        </w:rPr>
        <w:t>parameters)</w:t>
      </w:r>
      <w:r w:rsidRPr="008113A5">
        <w:rPr>
          <w:rFonts w:eastAsiaTheme="minorEastAsia"/>
        </w:rPr>
        <w:t xml:space="preserve"> </w:t>
      </w:r>
      <w:r>
        <w:rPr>
          <w:rFonts w:eastAsiaTheme="minorEastAsia"/>
        </w:rPr>
        <w:t xml:space="preserve">– 5,859.04 (-2814.00); and 3) LWLR model (with 23 parameters) – 5,806.38 (-2776.67). </w:t>
      </w:r>
      <w:r w:rsidR="00BF1894">
        <w:rPr>
          <w:rFonts w:eastAsiaTheme="minorEastAsia"/>
        </w:rPr>
        <w:t>F</w:t>
      </w:r>
      <w:r>
        <w:rPr>
          <w:rFonts w:eastAsiaTheme="minorEastAsia"/>
        </w:rPr>
        <w:t xml:space="preserve">or the </w:t>
      </w:r>
      <w:r w:rsidRPr="00E0488B">
        <w:rPr>
          <w:rFonts w:eastAsiaTheme="minorEastAsia"/>
          <w:u w:val="single"/>
        </w:rPr>
        <w:t xml:space="preserve">natural gas </w:t>
      </w:r>
      <w:r w:rsidR="00343E7A">
        <w:rPr>
          <w:rFonts w:eastAsiaTheme="minorEastAsia"/>
          <w:u w:val="single"/>
        </w:rPr>
        <w:t>demand</w:t>
      </w:r>
      <w:r w:rsidR="00343E7A" w:rsidRPr="00E0488B">
        <w:rPr>
          <w:rFonts w:eastAsiaTheme="minorEastAsia"/>
          <w:u w:val="single"/>
        </w:rPr>
        <w:t xml:space="preserve"> </w:t>
      </w:r>
      <w:r w:rsidRPr="00E0488B">
        <w:rPr>
          <w:rFonts w:eastAsiaTheme="minorEastAsia"/>
          <w:u w:val="single"/>
        </w:rPr>
        <w:t>model</w:t>
      </w:r>
      <w:r>
        <w:rPr>
          <w:rFonts w:eastAsiaTheme="minorEastAsia"/>
        </w:rPr>
        <w:t>, the values are: 1) SLR model (with 9 parameters) – 9,</w:t>
      </w:r>
      <w:r w:rsidR="002571D4">
        <w:rPr>
          <w:rFonts w:eastAsiaTheme="minorEastAsia"/>
        </w:rPr>
        <w:t>882</w:t>
      </w:r>
      <w:r>
        <w:rPr>
          <w:rFonts w:eastAsiaTheme="minorEastAsia"/>
        </w:rPr>
        <w:t>.</w:t>
      </w:r>
      <w:r w:rsidR="002571D4">
        <w:rPr>
          <w:rFonts w:eastAsiaTheme="minorEastAsia"/>
        </w:rPr>
        <w:t>92</w:t>
      </w:r>
      <w:r>
        <w:rPr>
          <w:rFonts w:eastAsiaTheme="minorEastAsia"/>
        </w:rPr>
        <w:t xml:space="preserve"> (</w:t>
      </w:r>
      <w:r w:rsidR="00627010" w:rsidRPr="00627010">
        <w:rPr>
          <w:rFonts w:eastAsiaTheme="minorEastAsia"/>
        </w:rPr>
        <w:t>-4891.95</w:t>
      </w:r>
      <w:r>
        <w:rPr>
          <w:rFonts w:eastAsiaTheme="minorEastAsia"/>
        </w:rPr>
        <w:t>); 2) EWLR model (with 12</w:t>
      </w:r>
      <w:r w:rsidRPr="008113A5">
        <w:rPr>
          <w:rFonts w:eastAsiaTheme="minorEastAsia"/>
        </w:rPr>
        <w:t xml:space="preserve"> </w:t>
      </w:r>
      <w:r>
        <w:rPr>
          <w:rFonts w:eastAsiaTheme="minorEastAsia"/>
        </w:rPr>
        <w:t>parameters)</w:t>
      </w:r>
      <w:r w:rsidRPr="008113A5">
        <w:rPr>
          <w:rFonts w:eastAsiaTheme="minorEastAsia"/>
        </w:rPr>
        <w:t xml:space="preserve"> </w:t>
      </w:r>
      <w:r>
        <w:rPr>
          <w:rFonts w:eastAsiaTheme="minorEastAsia"/>
        </w:rPr>
        <w:t xml:space="preserve">– </w:t>
      </w:r>
      <w:r w:rsidR="003E58FE">
        <w:rPr>
          <w:rFonts w:eastAsiaTheme="minorEastAsia"/>
        </w:rPr>
        <w:t>9,685</w:t>
      </w:r>
      <w:r>
        <w:rPr>
          <w:rFonts w:eastAsiaTheme="minorEastAsia"/>
        </w:rPr>
        <w:t>.</w:t>
      </w:r>
      <w:r w:rsidR="003E58FE">
        <w:rPr>
          <w:rFonts w:eastAsiaTheme="minorEastAsia"/>
        </w:rPr>
        <w:t>34</w:t>
      </w:r>
      <w:r>
        <w:rPr>
          <w:rFonts w:eastAsiaTheme="minorEastAsia"/>
        </w:rPr>
        <w:t xml:space="preserve"> (-</w:t>
      </w:r>
      <w:r w:rsidR="003C7403">
        <w:rPr>
          <w:rFonts w:eastAsiaTheme="minorEastAsia"/>
        </w:rPr>
        <w:t>4,776</w:t>
      </w:r>
      <w:r>
        <w:rPr>
          <w:rFonts w:eastAsiaTheme="minorEastAsia"/>
        </w:rPr>
        <w:t xml:space="preserve">.60); and 3) LWLR model (with 14 parameters) – </w:t>
      </w:r>
      <w:r w:rsidR="00AC57CE">
        <w:rPr>
          <w:rFonts w:eastAsiaTheme="minorEastAsia"/>
        </w:rPr>
        <w:t>9,635.35</w:t>
      </w:r>
      <w:r>
        <w:rPr>
          <w:rFonts w:eastAsiaTheme="minorEastAsia"/>
        </w:rPr>
        <w:t xml:space="preserve"> (</w:t>
      </w:r>
      <w:r w:rsidR="00CB101D" w:rsidRPr="00CB101D">
        <w:rPr>
          <w:rFonts w:eastAsiaTheme="minorEastAsia"/>
        </w:rPr>
        <w:t>-4740.66</w:t>
      </w:r>
      <w:r>
        <w:rPr>
          <w:rFonts w:eastAsiaTheme="minorEastAsia"/>
        </w:rPr>
        <w:t xml:space="preserve">). Two important observations can be made from the model fit measures. </w:t>
      </w:r>
      <w:r w:rsidRPr="008113A5">
        <w:rPr>
          <w:rFonts w:eastAsiaTheme="minorEastAsia"/>
          <w:u w:val="single"/>
        </w:rPr>
        <w:t>First</w:t>
      </w:r>
      <w:r>
        <w:rPr>
          <w:rFonts w:eastAsiaTheme="minorEastAsia"/>
        </w:rPr>
        <w:t>, model</w:t>
      </w:r>
      <w:r w:rsidR="00A84028">
        <w:rPr>
          <w:rFonts w:eastAsiaTheme="minorEastAsia"/>
        </w:rPr>
        <w:t>s</w:t>
      </w:r>
      <w:r>
        <w:rPr>
          <w:rFonts w:eastAsiaTheme="minorEastAsia"/>
        </w:rPr>
        <w:t xml:space="preserve"> incorporating additional variable information from the NHTS dataset always provide improved performance irrespective of the dependent variable (electricity and natural gas usage). </w:t>
      </w:r>
      <w:r>
        <w:rPr>
          <w:rFonts w:eastAsiaTheme="minorEastAsia"/>
          <w:u w:val="single"/>
        </w:rPr>
        <w:t>Second</w:t>
      </w:r>
      <w:r>
        <w:rPr>
          <w:rFonts w:eastAsiaTheme="minorEastAsia"/>
        </w:rPr>
        <w:t xml:space="preserve">, within the models using fused dataset, the LWLR model outperforms the EWLR model as indicated by the lower BIC value associated with the LWLR model. </w:t>
      </w:r>
      <w:bookmarkStart w:id="24" w:name="_Hlk78658553"/>
      <w:r>
        <w:rPr>
          <w:rFonts w:eastAsiaTheme="minorEastAsia"/>
        </w:rPr>
        <w:t xml:space="preserve">This result clearly supports our </w:t>
      </w:r>
      <w:r w:rsidR="00275D95">
        <w:rPr>
          <w:rFonts w:eastAsiaTheme="minorEastAsia"/>
        </w:rPr>
        <w:t xml:space="preserve">proposed approach </w:t>
      </w:r>
      <w:r w:rsidR="003D644B">
        <w:rPr>
          <w:rFonts w:eastAsiaTheme="minorEastAsia"/>
        </w:rPr>
        <w:t xml:space="preserve">that </w:t>
      </w:r>
      <w:r w:rsidR="00275D95">
        <w:rPr>
          <w:rFonts w:eastAsiaTheme="minorEastAsia"/>
        </w:rPr>
        <w:t xml:space="preserve">a donor record’s contribution can be optimized using the weight function </w:t>
      </w:r>
      <w:r>
        <w:rPr>
          <w:rFonts w:eastAsiaTheme="minorEastAsia"/>
        </w:rPr>
        <w:t>based on the similarity/dissimilarity of the common attributes</w:t>
      </w:r>
      <w:r>
        <w:rPr>
          <w:rFonts w:cs="Times New Roman"/>
          <w:lang w:val="en-US"/>
        </w:rPr>
        <w:t>.</w:t>
      </w:r>
      <w:r w:rsidR="004E1336">
        <w:rPr>
          <w:rFonts w:cs="Times New Roman"/>
          <w:lang w:val="en-US"/>
        </w:rPr>
        <w:t xml:space="preserve"> Overall, </w:t>
      </w:r>
      <w:bookmarkStart w:id="25" w:name="_Hlk78653439"/>
      <w:r w:rsidR="004E1336">
        <w:rPr>
          <w:rFonts w:cs="Times New Roman"/>
          <w:lang w:val="en-US"/>
        </w:rPr>
        <w:t>the model fit measures provide strong evidence for model improvement via fusion as well as weighted contribution estimation</w:t>
      </w:r>
      <w:bookmarkEnd w:id="25"/>
      <w:r w:rsidR="004E1336">
        <w:rPr>
          <w:rFonts w:cs="Times New Roman"/>
          <w:lang w:val="en-US"/>
        </w:rPr>
        <w:t xml:space="preserve">. </w:t>
      </w:r>
      <w:r>
        <w:rPr>
          <w:rFonts w:cs="Times New Roman"/>
          <w:lang w:val="en-US"/>
        </w:rPr>
        <w:t xml:space="preserve"> </w:t>
      </w:r>
    </w:p>
    <w:p w14:paraId="558257F1" w14:textId="77777777" w:rsidR="00FB172E" w:rsidRDefault="00FB172E" w:rsidP="00221DFD">
      <w:pPr>
        <w:ind w:firstLine="720"/>
        <w:rPr>
          <w:rFonts w:cs="Times New Roman"/>
          <w:lang w:val="en-US"/>
        </w:rPr>
      </w:pPr>
    </w:p>
    <w:bookmarkEnd w:id="24"/>
    <w:p w14:paraId="78830C77" w14:textId="7AFD85F6" w:rsidR="00221DFD" w:rsidRDefault="00ED2BCB" w:rsidP="000B26F3">
      <w:pPr>
        <w:pStyle w:val="Heading2"/>
      </w:pPr>
      <w:r>
        <w:lastRenderedPageBreak/>
        <w:t xml:space="preserve">6.2 </w:t>
      </w:r>
      <w:r w:rsidR="00221DFD">
        <w:t>Estimation Results</w:t>
      </w:r>
    </w:p>
    <w:p w14:paraId="5A33D224" w14:textId="0479ACA0" w:rsidR="00221DFD" w:rsidRDefault="00221DFD" w:rsidP="00221DFD">
      <w:r>
        <w:t xml:space="preserve">This section offers a discussion of the exogenous variable effects on energy usage for electricity and natural gas. Results obtained from the final model </w:t>
      </w:r>
      <w:r w:rsidR="0013493A">
        <w:t xml:space="preserve">are </w:t>
      </w:r>
      <w:r>
        <w:t xml:space="preserve">presented in Table </w:t>
      </w:r>
      <w:r w:rsidR="00DC6E3B">
        <w:t>2</w:t>
      </w:r>
      <w:r>
        <w:t xml:space="preserve">. It should be noted that the final specification of the model development was based on removing the statistically insignificant (90% significance level) variables from the model. A positive (negative) sign in the </w:t>
      </w:r>
      <w:r w:rsidR="003050E0">
        <w:t>T</w:t>
      </w:r>
      <w:r>
        <w:t>able (</w:t>
      </w:r>
      <w:r w:rsidR="00DC6E3B">
        <w:t>2</w:t>
      </w:r>
      <w:r>
        <w:t xml:space="preserve">) indicates the increased (decreased) energy usage for the corresponding source (electricity/natural gas). </w:t>
      </w:r>
      <w:r w:rsidR="004E1336">
        <w:t xml:space="preserve">The results are </w:t>
      </w:r>
      <w:r w:rsidR="00CF4CFB">
        <w:t>presented by</w:t>
      </w:r>
      <w:r>
        <w:t xml:space="preserve"> variable groups. </w:t>
      </w:r>
    </w:p>
    <w:p w14:paraId="6AC0F9E4" w14:textId="7E678C23" w:rsidR="00221DFD" w:rsidRPr="00C441B1" w:rsidRDefault="00221DFD" w:rsidP="00221DFD">
      <w:pPr>
        <w:rPr>
          <w:b/>
          <w:bCs/>
        </w:rPr>
      </w:pPr>
      <w:r w:rsidRPr="00C441B1">
        <w:rPr>
          <w:b/>
          <w:bCs/>
        </w:rPr>
        <w:t xml:space="preserve">Table </w:t>
      </w:r>
      <w:r w:rsidR="00DC6E3B" w:rsidRPr="00C441B1">
        <w:rPr>
          <w:b/>
          <w:bCs/>
        </w:rPr>
        <w:t>2</w:t>
      </w:r>
      <w:r w:rsidRPr="00C441B1">
        <w:rPr>
          <w:b/>
          <w:bCs/>
        </w:rPr>
        <w:t>: Latent Weight Linear Regression</w:t>
      </w:r>
      <w:r w:rsidR="004E1336" w:rsidRPr="00C441B1">
        <w:rPr>
          <w:b/>
          <w:bCs/>
        </w:rPr>
        <w:t xml:space="preserve"> (LWLR) Model</w:t>
      </w:r>
      <w:r w:rsidRPr="00C441B1">
        <w:rPr>
          <w:b/>
          <w:bCs/>
        </w:rPr>
        <w:t xml:space="preserve"> Estimation Results</w:t>
      </w:r>
    </w:p>
    <w:tbl>
      <w:tblPr>
        <w:tblW w:w="916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765"/>
        <w:gridCol w:w="1150"/>
        <w:gridCol w:w="1460"/>
        <w:gridCol w:w="1355"/>
        <w:gridCol w:w="1435"/>
      </w:tblGrid>
      <w:tr w:rsidR="00221DFD" w:rsidRPr="00EF03BC" w14:paraId="655F12D0" w14:textId="77777777" w:rsidTr="00FF2B31">
        <w:trPr>
          <w:trHeight w:val="300"/>
        </w:trPr>
        <w:tc>
          <w:tcPr>
            <w:tcW w:w="3765" w:type="dxa"/>
            <w:vMerge w:val="restart"/>
            <w:shd w:val="clear" w:color="auto" w:fill="auto"/>
            <w:noWrap/>
            <w:vAlign w:val="center"/>
          </w:tcPr>
          <w:p w14:paraId="083F96D1" w14:textId="77777777" w:rsidR="00221DFD" w:rsidRPr="00EF03BC" w:rsidRDefault="00221DFD" w:rsidP="00C37652">
            <w:pPr>
              <w:spacing w:line="240" w:lineRule="auto"/>
              <w:jc w:val="left"/>
              <w:rPr>
                <w:rFonts w:cs="Times New Roman"/>
                <w:szCs w:val="24"/>
              </w:rPr>
            </w:pPr>
            <w:r w:rsidRPr="00EF03BC">
              <w:rPr>
                <w:rFonts w:cs="Times New Roman"/>
                <w:szCs w:val="24"/>
              </w:rPr>
              <w:t>Variable</w:t>
            </w:r>
          </w:p>
        </w:tc>
        <w:tc>
          <w:tcPr>
            <w:tcW w:w="2610" w:type="dxa"/>
            <w:gridSpan w:val="2"/>
            <w:shd w:val="clear" w:color="auto" w:fill="auto"/>
            <w:noWrap/>
            <w:vAlign w:val="center"/>
          </w:tcPr>
          <w:p w14:paraId="0A89947D" w14:textId="77777777" w:rsidR="00221DFD" w:rsidRPr="00B01CF7" w:rsidRDefault="00221DFD" w:rsidP="00C37652">
            <w:pPr>
              <w:spacing w:line="240" w:lineRule="auto"/>
              <w:jc w:val="center"/>
              <w:rPr>
                <w:rFonts w:cs="Times New Roman"/>
                <w:b/>
                <w:bCs/>
                <w:szCs w:val="24"/>
              </w:rPr>
            </w:pPr>
            <w:r w:rsidRPr="00B01CF7">
              <w:rPr>
                <w:rFonts w:cs="Times New Roman"/>
                <w:b/>
                <w:bCs/>
                <w:szCs w:val="24"/>
              </w:rPr>
              <w:t>Electricity Consumption</w:t>
            </w:r>
          </w:p>
        </w:tc>
        <w:tc>
          <w:tcPr>
            <w:tcW w:w="2790" w:type="dxa"/>
            <w:gridSpan w:val="2"/>
            <w:vAlign w:val="center"/>
          </w:tcPr>
          <w:p w14:paraId="5B123A9A" w14:textId="77777777" w:rsidR="00221DFD" w:rsidRPr="00B01CF7" w:rsidRDefault="00221DFD" w:rsidP="00C37652">
            <w:pPr>
              <w:spacing w:line="240" w:lineRule="auto"/>
              <w:jc w:val="center"/>
              <w:rPr>
                <w:rFonts w:cs="Times New Roman"/>
                <w:b/>
                <w:bCs/>
                <w:szCs w:val="24"/>
              </w:rPr>
            </w:pPr>
            <w:r w:rsidRPr="00B01CF7">
              <w:rPr>
                <w:rFonts w:cs="Times New Roman"/>
                <w:b/>
                <w:bCs/>
                <w:szCs w:val="24"/>
              </w:rPr>
              <w:t>Natural Gas Consumption</w:t>
            </w:r>
          </w:p>
        </w:tc>
      </w:tr>
      <w:tr w:rsidR="00221DFD" w:rsidRPr="00EF03BC" w14:paraId="6FF0FA1B" w14:textId="77777777" w:rsidTr="00FF2B31">
        <w:trPr>
          <w:trHeight w:val="300"/>
        </w:trPr>
        <w:tc>
          <w:tcPr>
            <w:tcW w:w="3765" w:type="dxa"/>
            <w:vMerge/>
            <w:shd w:val="clear" w:color="auto" w:fill="auto"/>
            <w:noWrap/>
            <w:vAlign w:val="bottom"/>
          </w:tcPr>
          <w:p w14:paraId="0B61B2D9" w14:textId="77777777" w:rsidR="00221DFD" w:rsidRPr="00EF03BC" w:rsidRDefault="00221DFD" w:rsidP="00C37652">
            <w:pPr>
              <w:spacing w:line="240" w:lineRule="auto"/>
              <w:jc w:val="left"/>
              <w:rPr>
                <w:rFonts w:cs="Times New Roman"/>
                <w:szCs w:val="24"/>
              </w:rPr>
            </w:pPr>
          </w:p>
        </w:tc>
        <w:tc>
          <w:tcPr>
            <w:tcW w:w="1150" w:type="dxa"/>
            <w:shd w:val="clear" w:color="auto" w:fill="auto"/>
            <w:noWrap/>
            <w:vAlign w:val="center"/>
          </w:tcPr>
          <w:p w14:paraId="3E16D6EB" w14:textId="77777777" w:rsidR="00221DFD" w:rsidRPr="00B01CF7" w:rsidRDefault="00221DFD" w:rsidP="00C37652">
            <w:pPr>
              <w:spacing w:line="240" w:lineRule="auto"/>
              <w:jc w:val="center"/>
              <w:rPr>
                <w:rFonts w:cs="Times New Roman"/>
                <w:i/>
                <w:iCs/>
                <w:szCs w:val="24"/>
              </w:rPr>
            </w:pPr>
            <w:r w:rsidRPr="00B01CF7">
              <w:rPr>
                <w:rFonts w:cs="Times New Roman"/>
                <w:i/>
                <w:iCs/>
                <w:szCs w:val="24"/>
              </w:rPr>
              <w:t>Estimates</w:t>
            </w:r>
          </w:p>
        </w:tc>
        <w:tc>
          <w:tcPr>
            <w:tcW w:w="1460" w:type="dxa"/>
            <w:shd w:val="clear" w:color="auto" w:fill="auto"/>
            <w:noWrap/>
            <w:vAlign w:val="center"/>
          </w:tcPr>
          <w:p w14:paraId="0D3FD608" w14:textId="77777777" w:rsidR="00221DFD" w:rsidRPr="00B01CF7" w:rsidRDefault="00221DFD" w:rsidP="00C37652">
            <w:pPr>
              <w:spacing w:line="240" w:lineRule="auto"/>
              <w:jc w:val="center"/>
              <w:rPr>
                <w:rFonts w:cs="Times New Roman"/>
                <w:i/>
                <w:iCs/>
                <w:szCs w:val="24"/>
              </w:rPr>
            </w:pPr>
            <w:r w:rsidRPr="00B01CF7">
              <w:rPr>
                <w:rFonts w:cs="Times New Roman"/>
                <w:i/>
                <w:iCs/>
                <w:szCs w:val="24"/>
              </w:rPr>
              <w:t>t-statistics</w:t>
            </w:r>
          </w:p>
        </w:tc>
        <w:tc>
          <w:tcPr>
            <w:tcW w:w="1355" w:type="dxa"/>
            <w:vAlign w:val="center"/>
          </w:tcPr>
          <w:p w14:paraId="6502B085" w14:textId="77777777" w:rsidR="00221DFD" w:rsidRPr="00B01CF7" w:rsidRDefault="00221DFD" w:rsidP="00C37652">
            <w:pPr>
              <w:spacing w:line="240" w:lineRule="auto"/>
              <w:jc w:val="center"/>
              <w:rPr>
                <w:rFonts w:cs="Times New Roman"/>
                <w:i/>
                <w:iCs/>
                <w:szCs w:val="24"/>
              </w:rPr>
            </w:pPr>
            <w:r w:rsidRPr="00B01CF7">
              <w:rPr>
                <w:rFonts w:cs="Times New Roman"/>
                <w:i/>
                <w:iCs/>
                <w:szCs w:val="24"/>
              </w:rPr>
              <w:t>Estimates</w:t>
            </w:r>
          </w:p>
        </w:tc>
        <w:tc>
          <w:tcPr>
            <w:tcW w:w="1435" w:type="dxa"/>
            <w:vAlign w:val="center"/>
          </w:tcPr>
          <w:p w14:paraId="333AC053" w14:textId="77777777" w:rsidR="00221DFD" w:rsidRPr="00B01CF7" w:rsidRDefault="00221DFD" w:rsidP="00C37652">
            <w:pPr>
              <w:spacing w:line="240" w:lineRule="auto"/>
              <w:jc w:val="center"/>
              <w:rPr>
                <w:rFonts w:cs="Times New Roman"/>
                <w:i/>
                <w:iCs/>
                <w:szCs w:val="24"/>
              </w:rPr>
            </w:pPr>
            <w:r w:rsidRPr="00B01CF7">
              <w:rPr>
                <w:rFonts w:cs="Times New Roman"/>
                <w:i/>
                <w:iCs/>
                <w:szCs w:val="24"/>
              </w:rPr>
              <w:t>t-statistics</w:t>
            </w:r>
          </w:p>
        </w:tc>
      </w:tr>
      <w:tr w:rsidR="00221DFD" w:rsidRPr="00EF03BC" w14:paraId="46A83AA2" w14:textId="77777777" w:rsidTr="00A67542">
        <w:trPr>
          <w:trHeight w:val="300"/>
        </w:trPr>
        <w:tc>
          <w:tcPr>
            <w:tcW w:w="9165" w:type="dxa"/>
            <w:gridSpan w:val="5"/>
            <w:shd w:val="clear" w:color="auto" w:fill="auto"/>
            <w:noWrap/>
            <w:vAlign w:val="bottom"/>
          </w:tcPr>
          <w:p w14:paraId="0AB7C25E" w14:textId="77777777" w:rsidR="00221DFD" w:rsidRPr="00EF03BC" w:rsidRDefault="00221DFD" w:rsidP="00C37652">
            <w:pPr>
              <w:spacing w:line="240" w:lineRule="auto"/>
              <w:jc w:val="left"/>
              <w:rPr>
                <w:rFonts w:cs="Times New Roman"/>
                <w:szCs w:val="24"/>
              </w:rPr>
            </w:pPr>
            <w:r w:rsidRPr="00EF03BC">
              <w:rPr>
                <w:rFonts w:cs="Times New Roman"/>
                <w:b/>
                <w:bCs/>
                <w:szCs w:val="24"/>
              </w:rPr>
              <w:t>RECS Data</w:t>
            </w:r>
          </w:p>
        </w:tc>
      </w:tr>
      <w:tr w:rsidR="00221DFD" w:rsidRPr="00EF03BC" w14:paraId="39999056" w14:textId="77777777" w:rsidTr="00FF2B31">
        <w:trPr>
          <w:trHeight w:val="300"/>
        </w:trPr>
        <w:tc>
          <w:tcPr>
            <w:tcW w:w="3765" w:type="dxa"/>
            <w:shd w:val="clear" w:color="auto" w:fill="auto"/>
            <w:noWrap/>
            <w:vAlign w:val="bottom"/>
          </w:tcPr>
          <w:p w14:paraId="3EDE3251"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Constant</w:t>
            </w:r>
          </w:p>
        </w:tc>
        <w:tc>
          <w:tcPr>
            <w:tcW w:w="1150" w:type="dxa"/>
            <w:shd w:val="clear" w:color="auto" w:fill="auto"/>
            <w:noWrap/>
            <w:vAlign w:val="center"/>
          </w:tcPr>
          <w:p w14:paraId="6D3D229E" w14:textId="77777777" w:rsidR="00221DFD" w:rsidRPr="00EF03BC" w:rsidRDefault="00221DFD" w:rsidP="00C37652">
            <w:pPr>
              <w:spacing w:line="240" w:lineRule="auto"/>
              <w:jc w:val="center"/>
              <w:rPr>
                <w:rFonts w:cs="Times New Roman"/>
                <w:szCs w:val="24"/>
              </w:rPr>
            </w:pPr>
            <w:r w:rsidRPr="00396C60">
              <w:rPr>
                <w:rFonts w:cs="Times New Roman"/>
                <w:szCs w:val="24"/>
              </w:rPr>
              <w:t>0.642</w:t>
            </w:r>
          </w:p>
        </w:tc>
        <w:tc>
          <w:tcPr>
            <w:tcW w:w="1460" w:type="dxa"/>
            <w:shd w:val="clear" w:color="auto" w:fill="auto"/>
            <w:noWrap/>
            <w:vAlign w:val="center"/>
          </w:tcPr>
          <w:p w14:paraId="5D65F564" w14:textId="77777777" w:rsidR="00221DFD" w:rsidRPr="00EF03BC" w:rsidRDefault="00221DFD" w:rsidP="00C37652">
            <w:pPr>
              <w:spacing w:line="240" w:lineRule="auto"/>
              <w:jc w:val="center"/>
              <w:rPr>
                <w:rFonts w:cs="Times New Roman"/>
                <w:szCs w:val="24"/>
              </w:rPr>
            </w:pPr>
            <w:r w:rsidRPr="00396C60">
              <w:rPr>
                <w:rFonts w:cs="Times New Roman"/>
                <w:szCs w:val="24"/>
              </w:rPr>
              <w:t>3.564</w:t>
            </w:r>
          </w:p>
        </w:tc>
        <w:tc>
          <w:tcPr>
            <w:tcW w:w="1355" w:type="dxa"/>
            <w:vAlign w:val="center"/>
          </w:tcPr>
          <w:p w14:paraId="2B83F00B" w14:textId="77777777" w:rsidR="00221DFD" w:rsidRPr="00EF03BC" w:rsidRDefault="00221DFD" w:rsidP="00C37652">
            <w:pPr>
              <w:spacing w:line="240" w:lineRule="auto"/>
              <w:jc w:val="center"/>
              <w:rPr>
                <w:rFonts w:cs="Times New Roman"/>
                <w:szCs w:val="24"/>
              </w:rPr>
            </w:pPr>
            <w:r w:rsidRPr="00AC53C3">
              <w:rPr>
                <w:rFonts w:cs="Times New Roman"/>
                <w:szCs w:val="24"/>
              </w:rPr>
              <w:t>-5.109</w:t>
            </w:r>
          </w:p>
        </w:tc>
        <w:tc>
          <w:tcPr>
            <w:tcW w:w="1435" w:type="dxa"/>
            <w:vAlign w:val="center"/>
          </w:tcPr>
          <w:p w14:paraId="7F9CB35A" w14:textId="77777777" w:rsidR="00221DFD" w:rsidRPr="00EF03BC" w:rsidRDefault="00221DFD" w:rsidP="00C37652">
            <w:pPr>
              <w:spacing w:line="240" w:lineRule="auto"/>
              <w:jc w:val="center"/>
              <w:rPr>
                <w:rFonts w:cs="Times New Roman"/>
                <w:szCs w:val="24"/>
              </w:rPr>
            </w:pPr>
            <w:r w:rsidRPr="00AC53C3">
              <w:rPr>
                <w:rFonts w:cs="Times New Roman"/>
                <w:szCs w:val="24"/>
              </w:rPr>
              <w:t>-22.914</w:t>
            </w:r>
          </w:p>
        </w:tc>
      </w:tr>
      <w:tr w:rsidR="00221DFD" w:rsidRPr="00EF03BC" w14:paraId="4E03742E" w14:textId="77777777" w:rsidTr="00A67542">
        <w:trPr>
          <w:trHeight w:val="300"/>
        </w:trPr>
        <w:tc>
          <w:tcPr>
            <w:tcW w:w="9165" w:type="dxa"/>
            <w:gridSpan w:val="5"/>
            <w:shd w:val="clear" w:color="auto" w:fill="auto"/>
            <w:noWrap/>
            <w:vAlign w:val="bottom"/>
          </w:tcPr>
          <w:p w14:paraId="53430AD5" w14:textId="77777777" w:rsidR="00221DFD" w:rsidRPr="00A729B9" w:rsidRDefault="00221DFD" w:rsidP="00C37652">
            <w:pPr>
              <w:spacing w:line="240" w:lineRule="auto"/>
              <w:jc w:val="left"/>
              <w:rPr>
                <w:rFonts w:cs="Times New Roman"/>
                <w:i/>
                <w:iCs/>
                <w:szCs w:val="24"/>
              </w:rPr>
            </w:pPr>
            <w:r w:rsidRPr="00A729B9">
              <w:rPr>
                <w:rFonts w:cs="Times New Roman"/>
                <w:i/>
                <w:iCs/>
                <w:szCs w:val="24"/>
              </w:rPr>
              <w:t>HH Characteristics</w:t>
            </w:r>
          </w:p>
        </w:tc>
      </w:tr>
      <w:tr w:rsidR="00221DFD" w:rsidRPr="00EF03BC" w14:paraId="01C1D7A9" w14:textId="77777777" w:rsidTr="00FF2B31">
        <w:trPr>
          <w:trHeight w:val="300"/>
        </w:trPr>
        <w:tc>
          <w:tcPr>
            <w:tcW w:w="3765" w:type="dxa"/>
            <w:shd w:val="clear" w:color="auto" w:fill="auto"/>
            <w:noWrap/>
            <w:vAlign w:val="bottom"/>
          </w:tcPr>
          <w:p w14:paraId="758CEAA4" w14:textId="77777777" w:rsidR="00221DFD" w:rsidRPr="00EF03BC" w:rsidRDefault="00221DFD" w:rsidP="00C37652">
            <w:pPr>
              <w:spacing w:line="240" w:lineRule="auto"/>
              <w:ind w:left="240"/>
              <w:jc w:val="left"/>
              <w:rPr>
                <w:rFonts w:cs="Times New Roman"/>
                <w:color w:val="000000"/>
                <w:szCs w:val="24"/>
              </w:rPr>
            </w:pPr>
            <w:r>
              <w:rPr>
                <w:rFonts w:cs="Times New Roman"/>
                <w:color w:val="000000"/>
                <w:szCs w:val="24"/>
              </w:rPr>
              <w:t>Ln (</w:t>
            </w:r>
            <w:r w:rsidRPr="00EF03BC">
              <w:rPr>
                <w:rFonts w:cs="Times New Roman"/>
                <w:color w:val="000000"/>
                <w:szCs w:val="24"/>
              </w:rPr>
              <w:t>Total square footage</w:t>
            </w:r>
            <w:r>
              <w:rPr>
                <w:rFonts w:cs="Times New Roman"/>
                <w:color w:val="000000"/>
                <w:szCs w:val="24"/>
              </w:rPr>
              <w:t>)</w:t>
            </w:r>
          </w:p>
        </w:tc>
        <w:tc>
          <w:tcPr>
            <w:tcW w:w="1150" w:type="dxa"/>
            <w:shd w:val="clear" w:color="auto" w:fill="auto"/>
            <w:noWrap/>
            <w:vAlign w:val="center"/>
          </w:tcPr>
          <w:p w14:paraId="3A127EEE" w14:textId="77777777" w:rsidR="00221DFD" w:rsidRPr="00EF03BC" w:rsidRDefault="00221DFD" w:rsidP="00C37652">
            <w:pPr>
              <w:spacing w:line="240" w:lineRule="auto"/>
              <w:jc w:val="center"/>
              <w:rPr>
                <w:rFonts w:cs="Times New Roman"/>
                <w:szCs w:val="24"/>
              </w:rPr>
            </w:pPr>
            <w:r w:rsidRPr="00396C60">
              <w:rPr>
                <w:rFonts w:cs="Times New Roman"/>
                <w:szCs w:val="24"/>
              </w:rPr>
              <w:t>0.336</w:t>
            </w:r>
          </w:p>
        </w:tc>
        <w:tc>
          <w:tcPr>
            <w:tcW w:w="1460" w:type="dxa"/>
            <w:shd w:val="clear" w:color="auto" w:fill="auto"/>
            <w:noWrap/>
            <w:vAlign w:val="center"/>
          </w:tcPr>
          <w:p w14:paraId="729C32EB" w14:textId="77777777" w:rsidR="00221DFD" w:rsidRPr="00EF03BC" w:rsidRDefault="00221DFD" w:rsidP="00C37652">
            <w:pPr>
              <w:spacing w:line="240" w:lineRule="auto"/>
              <w:jc w:val="center"/>
              <w:rPr>
                <w:rFonts w:cs="Times New Roman"/>
                <w:szCs w:val="24"/>
              </w:rPr>
            </w:pPr>
            <w:r w:rsidRPr="00396C60">
              <w:rPr>
                <w:rFonts w:cs="Times New Roman"/>
                <w:szCs w:val="24"/>
              </w:rPr>
              <w:t>7.269</w:t>
            </w:r>
          </w:p>
        </w:tc>
        <w:tc>
          <w:tcPr>
            <w:tcW w:w="1355" w:type="dxa"/>
            <w:vAlign w:val="center"/>
          </w:tcPr>
          <w:p w14:paraId="6D5A65FE" w14:textId="77777777" w:rsidR="00221DFD" w:rsidRPr="00EF03BC" w:rsidRDefault="00221DFD" w:rsidP="00C37652">
            <w:pPr>
              <w:spacing w:line="240" w:lineRule="auto"/>
              <w:jc w:val="center"/>
              <w:rPr>
                <w:rFonts w:cs="Times New Roman"/>
                <w:szCs w:val="24"/>
              </w:rPr>
            </w:pPr>
            <w:r w:rsidRPr="00AC53C3">
              <w:rPr>
                <w:rFonts w:cs="Times New Roman"/>
                <w:szCs w:val="24"/>
              </w:rPr>
              <w:t>0.638</w:t>
            </w:r>
          </w:p>
        </w:tc>
        <w:tc>
          <w:tcPr>
            <w:tcW w:w="1435" w:type="dxa"/>
            <w:vAlign w:val="center"/>
          </w:tcPr>
          <w:p w14:paraId="4007AE98" w14:textId="77777777" w:rsidR="00221DFD" w:rsidRPr="00EF03BC" w:rsidRDefault="00221DFD" w:rsidP="00C37652">
            <w:pPr>
              <w:spacing w:line="240" w:lineRule="auto"/>
              <w:jc w:val="center"/>
              <w:rPr>
                <w:rFonts w:cs="Times New Roman"/>
                <w:szCs w:val="24"/>
              </w:rPr>
            </w:pPr>
            <w:r w:rsidRPr="00AC53C3">
              <w:rPr>
                <w:rFonts w:cs="Times New Roman"/>
                <w:szCs w:val="24"/>
              </w:rPr>
              <w:t>9.309</w:t>
            </w:r>
          </w:p>
        </w:tc>
      </w:tr>
      <w:tr w:rsidR="00221DFD" w:rsidRPr="00EF03BC" w14:paraId="02093A28" w14:textId="77777777" w:rsidTr="00FF2B31">
        <w:trPr>
          <w:trHeight w:val="300"/>
        </w:trPr>
        <w:tc>
          <w:tcPr>
            <w:tcW w:w="3765" w:type="dxa"/>
            <w:shd w:val="clear" w:color="auto" w:fill="auto"/>
            <w:noWrap/>
            <w:vAlign w:val="bottom"/>
            <w:hideMark/>
          </w:tcPr>
          <w:p w14:paraId="047B2B17"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Number of bedrooms</w:t>
            </w:r>
          </w:p>
        </w:tc>
        <w:tc>
          <w:tcPr>
            <w:tcW w:w="1150" w:type="dxa"/>
            <w:shd w:val="clear" w:color="auto" w:fill="auto"/>
            <w:noWrap/>
            <w:vAlign w:val="center"/>
          </w:tcPr>
          <w:p w14:paraId="0430C9C8" w14:textId="77777777" w:rsidR="00221DFD" w:rsidRPr="00EF03BC" w:rsidRDefault="00221DFD" w:rsidP="00C37652">
            <w:pPr>
              <w:spacing w:line="240" w:lineRule="auto"/>
              <w:jc w:val="center"/>
              <w:rPr>
                <w:rFonts w:cs="Times New Roman"/>
                <w:szCs w:val="24"/>
              </w:rPr>
            </w:pPr>
            <w:r w:rsidRPr="00396C60">
              <w:rPr>
                <w:rFonts w:cs="Times New Roman"/>
                <w:szCs w:val="24"/>
              </w:rPr>
              <w:t>0.060</w:t>
            </w:r>
          </w:p>
        </w:tc>
        <w:tc>
          <w:tcPr>
            <w:tcW w:w="1460" w:type="dxa"/>
            <w:shd w:val="clear" w:color="auto" w:fill="auto"/>
            <w:noWrap/>
            <w:vAlign w:val="center"/>
          </w:tcPr>
          <w:p w14:paraId="5EB9BF82" w14:textId="77777777" w:rsidR="00221DFD" w:rsidRPr="00EF03BC" w:rsidRDefault="00221DFD" w:rsidP="00C37652">
            <w:pPr>
              <w:spacing w:line="240" w:lineRule="auto"/>
              <w:jc w:val="center"/>
              <w:rPr>
                <w:rFonts w:cs="Times New Roman"/>
                <w:szCs w:val="24"/>
              </w:rPr>
            </w:pPr>
            <w:r w:rsidRPr="00396C60">
              <w:rPr>
                <w:rFonts w:cs="Times New Roman"/>
                <w:szCs w:val="24"/>
              </w:rPr>
              <w:t>4.794</w:t>
            </w:r>
          </w:p>
        </w:tc>
        <w:tc>
          <w:tcPr>
            <w:tcW w:w="1355" w:type="dxa"/>
            <w:vAlign w:val="center"/>
          </w:tcPr>
          <w:p w14:paraId="16F4C236" w14:textId="77777777" w:rsidR="00221DFD" w:rsidRPr="00EF03BC" w:rsidRDefault="00221DFD" w:rsidP="00C37652">
            <w:pPr>
              <w:spacing w:line="240" w:lineRule="auto"/>
              <w:jc w:val="center"/>
              <w:rPr>
                <w:rFonts w:cs="Times New Roman"/>
                <w:szCs w:val="24"/>
              </w:rPr>
            </w:pPr>
            <w:r w:rsidRPr="00AC53C3">
              <w:rPr>
                <w:rFonts w:cs="Times New Roman"/>
                <w:szCs w:val="24"/>
              </w:rPr>
              <w:t>0.081</w:t>
            </w:r>
          </w:p>
        </w:tc>
        <w:tc>
          <w:tcPr>
            <w:tcW w:w="1435" w:type="dxa"/>
            <w:vAlign w:val="center"/>
          </w:tcPr>
          <w:p w14:paraId="46CB5859" w14:textId="77777777" w:rsidR="00221DFD" w:rsidRPr="00EF03BC" w:rsidRDefault="00221DFD" w:rsidP="00C37652">
            <w:pPr>
              <w:spacing w:line="240" w:lineRule="auto"/>
              <w:jc w:val="center"/>
              <w:rPr>
                <w:rFonts w:cs="Times New Roman"/>
                <w:szCs w:val="24"/>
              </w:rPr>
            </w:pPr>
            <w:r w:rsidRPr="00AC53C3">
              <w:rPr>
                <w:rFonts w:cs="Times New Roman"/>
                <w:szCs w:val="24"/>
              </w:rPr>
              <w:t>5.133</w:t>
            </w:r>
          </w:p>
        </w:tc>
      </w:tr>
      <w:tr w:rsidR="00221DFD" w:rsidRPr="00EF03BC" w14:paraId="163007F0" w14:textId="77777777" w:rsidTr="00FF2B31">
        <w:trPr>
          <w:trHeight w:val="300"/>
        </w:trPr>
        <w:tc>
          <w:tcPr>
            <w:tcW w:w="3765" w:type="dxa"/>
            <w:shd w:val="clear" w:color="auto" w:fill="auto"/>
            <w:noWrap/>
            <w:vAlign w:val="bottom"/>
            <w:hideMark/>
          </w:tcPr>
          <w:p w14:paraId="3708D29E"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Total number of rooms</w:t>
            </w:r>
          </w:p>
        </w:tc>
        <w:tc>
          <w:tcPr>
            <w:tcW w:w="1150" w:type="dxa"/>
            <w:shd w:val="clear" w:color="auto" w:fill="auto"/>
            <w:noWrap/>
            <w:vAlign w:val="center"/>
          </w:tcPr>
          <w:p w14:paraId="6884D92E" w14:textId="77777777" w:rsidR="00221DFD" w:rsidRPr="00EF03BC" w:rsidRDefault="00221DFD" w:rsidP="00C37652">
            <w:pPr>
              <w:spacing w:line="240" w:lineRule="auto"/>
              <w:jc w:val="center"/>
              <w:rPr>
                <w:rFonts w:cs="Times New Roman"/>
                <w:szCs w:val="24"/>
              </w:rPr>
            </w:pPr>
            <w:r w:rsidRPr="00396C60">
              <w:rPr>
                <w:rFonts w:cs="Times New Roman"/>
                <w:szCs w:val="24"/>
              </w:rPr>
              <w:t>0.028</w:t>
            </w:r>
          </w:p>
        </w:tc>
        <w:tc>
          <w:tcPr>
            <w:tcW w:w="1460" w:type="dxa"/>
            <w:shd w:val="clear" w:color="auto" w:fill="auto"/>
            <w:noWrap/>
            <w:vAlign w:val="center"/>
          </w:tcPr>
          <w:p w14:paraId="4B8CAC20" w14:textId="77777777" w:rsidR="00221DFD" w:rsidRPr="00EF03BC" w:rsidRDefault="00221DFD" w:rsidP="00C37652">
            <w:pPr>
              <w:spacing w:line="240" w:lineRule="auto"/>
              <w:jc w:val="center"/>
              <w:rPr>
                <w:rFonts w:cs="Times New Roman"/>
                <w:szCs w:val="24"/>
              </w:rPr>
            </w:pPr>
            <w:r w:rsidRPr="00396C60">
              <w:rPr>
                <w:rFonts w:cs="Times New Roman"/>
                <w:szCs w:val="24"/>
              </w:rPr>
              <w:t>4.481</w:t>
            </w:r>
          </w:p>
        </w:tc>
        <w:tc>
          <w:tcPr>
            <w:tcW w:w="1355" w:type="dxa"/>
            <w:vAlign w:val="center"/>
          </w:tcPr>
          <w:p w14:paraId="6EB42F79" w14:textId="77777777" w:rsidR="00221DFD" w:rsidRPr="00EF03BC" w:rsidRDefault="00221DFD" w:rsidP="00C37652">
            <w:pPr>
              <w:spacing w:line="240" w:lineRule="auto"/>
              <w:jc w:val="center"/>
              <w:rPr>
                <w:rFonts w:cs="Times New Roman"/>
                <w:szCs w:val="24"/>
              </w:rPr>
            </w:pPr>
            <w:r w:rsidRPr="003E1313">
              <w:rPr>
                <w:rFonts w:cs="Times New Roman"/>
                <w:szCs w:val="24"/>
              </w:rPr>
              <w:t>--</w:t>
            </w:r>
          </w:p>
        </w:tc>
        <w:tc>
          <w:tcPr>
            <w:tcW w:w="1435" w:type="dxa"/>
            <w:vAlign w:val="center"/>
          </w:tcPr>
          <w:p w14:paraId="118E2BB9" w14:textId="77777777" w:rsidR="00221DFD" w:rsidRPr="00EF03BC" w:rsidRDefault="00221DFD" w:rsidP="00C37652">
            <w:pPr>
              <w:spacing w:line="240" w:lineRule="auto"/>
              <w:jc w:val="center"/>
              <w:rPr>
                <w:rFonts w:cs="Times New Roman"/>
                <w:szCs w:val="24"/>
              </w:rPr>
            </w:pPr>
            <w:r w:rsidRPr="003E1313">
              <w:rPr>
                <w:rFonts w:cs="Times New Roman"/>
                <w:szCs w:val="24"/>
              </w:rPr>
              <w:t>--</w:t>
            </w:r>
          </w:p>
        </w:tc>
      </w:tr>
      <w:tr w:rsidR="00221DFD" w:rsidRPr="00EF03BC" w14:paraId="5BE2B48F" w14:textId="77777777" w:rsidTr="00FF2B31">
        <w:trPr>
          <w:trHeight w:val="300"/>
        </w:trPr>
        <w:tc>
          <w:tcPr>
            <w:tcW w:w="3765" w:type="dxa"/>
            <w:shd w:val="clear" w:color="auto" w:fill="auto"/>
            <w:noWrap/>
            <w:vAlign w:val="bottom"/>
          </w:tcPr>
          <w:p w14:paraId="4BAD50B6"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Housing type - Mobile home</w:t>
            </w:r>
          </w:p>
        </w:tc>
        <w:tc>
          <w:tcPr>
            <w:tcW w:w="1150" w:type="dxa"/>
            <w:shd w:val="clear" w:color="auto" w:fill="auto"/>
            <w:noWrap/>
            <w:vAlign w:val="center"/>
          </w:tcPr>
          <w:p w14:paraId="52FE3DBE" w14:textId="77777777" w:rsidR="00221DFD" w:rsidRPr="00EF03BC" w:rsidRDefault="00221DFD" w:rsidP="00C37652">
            <w:pPr>
              <w:spacing w:line="240" w:lineRule="auto"/>
              <w:jc w:val="center"/>
              <w:rPr>
                <w:rFonts w:cs="Times New Roman"/>
                <w:szCs w:val="24"/>
              </w:rPr>
            </w:pPr>
            <w:r w:rsidRPr="00396C60">
              <w:rPr>
                <w:rFonts w:cs="Times New Roman"/>
                <w:szCs w:val="24"/>
              </w:rPr>
              <w:t>0.217</w:t>
            </w:r>
          </w:p>
        </w:tc>
        <w:tc>
          <w:tcPr>
            <w:tcW w:w="1460" w:type="dxa"/>
            <w:shd w:val="clear" w:color="auto" w:fill="auto"/>
            <w:noWrap/>
            <w:vAlign w:val="center"/>
          </w:tcPr>
          <w:p w14:paraId="7E9383E0" w14:textId="77777777" w:rsidR="00221DFD" w:rsidRPr="00EF03BC" w:rsidRDefault="00221DFD" w:rsidP="00C37652">
            <w:pPr>
              <w:spacing w:line="240" w:lineRule="auto"/>
              <w:jc w:val="center"/>
              <w:rPr>
                <w:rFonts w:cs="Times New Roman"/>
                <w:szCs w:val="24"/>
              </w:rPr>
            </w:pPr>
            <w:r w:rsidRPr="00396C60">
              <w:rPr>
                <w:rFonts w:cs="Times New Roman"/>
                <w:szCs w:val="24"/>
              </w:rPr>
              <w:t>6.065</w:t>
            </w:r>
          </w:p>
        </w:tc>
        <w:tc>
          <w:tcPr>
            <w:tcW w:w="1355" w:type="dxa"/>
            <w:vAlign w:val="center"/>
          </w:tcPr>
          <w:p w14:paraId="7C37311E" w14:textId="77777777" w:rsidR="00221DFD" w:rsidRPr="00EF03BC" w:rsidRDefault="00221DFD" w:rsidP="00C37652">
            <w:pPr>
              <w:spacing w:line="240" w:lineRule="auto"/>
              <w:jc w:val="center"/>
              <w:rPr>
                <w:rFonts w:cs="Times New Roman"/>
                <w:szCs w:val="24"/>
              </w:rPr>
            </w:pPr>
            <w:r w:rsidRPr="003E1313">
              <w:rPr>
                <w:rFonts w:cs="Times New Roman"/>
                <w:szCs w:val="24"/>
              </w:rPr>
              <w:t>--</w:t>
            </w:r>
          </w:p>
        </w:tc>
        <w:tc>
          <w:tcPr>
            <w:tcW w:w="1435" w:type="dxa"/>
            <w:vAlign w:val="center"/>
          </w:tcPr>
          <w:p w14:paraId="6C6438C4" w14:textId="77777777" w:rsidR="00221DFD" w:rsidRPr="00EF03BC" w:rsidRDefault="00221DFD" w:rsidP="00C37652">
            <w:pPr>
              <w:spacing w:line="240" w:lineRule="auto"/>
              <w:jc w:val="center"/>
              <w:rPr>
                <w:rFonts w:cs="Times New Roman"/>
                <w:szCs w:val="24"/>
              </w:rPr>
            </w:pPr>
            <w:r w:rsidRPr="003E1313">
              <w:rPr>
                <w:rFonts w:cs="Times New Roman"/>
                <w:szCs w:val="24"/>
              </w:rPr>
              <w:t>--</w:t>
            </w:r>
          </w:p>
        </w:tc>
      </w:tr>
      <w:tr w:rsidR="00221DFD" w:rsidRPr="00EF03BC" w14:paraId="06552E71" w14:textId="77777777" w:rsidTr="00FF2B31">
        <w:trPr>
          <w:trHeight w:val="300"/>
        </w:trPr>
        <w:tc>
          <w:tcPr>
            <w:tcW w:w="3765" w:type="dxa"/>
            <w:shd w:val="clear" w:color="auto" w:fill="auto"/>
            <w:noWrap/>
            <w:vAlign w:val="bottom"/>
          </w:tcPr>
          <w:p w14:paraId="2335A772"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 xml:space="preserve">Housing type - </w:t>
            </w:r>
            <w:r>
              <w:rPr>
                <w:rFonts w:cs="Times New Roman"/>
                <w:color w:val="000000"/>
                <w:szCs w:val="24"/>
              </w:rPr>
              <w:t>Apartment</w:t>
            </w:r>
          </w:p>
        </w:tc>
        <w:tc>
          <w:tcPr>
            <w:tcW w:w="1150" w:type="dxa"/>
            <w:shd w:val="clear" w:color="auto" w:fill="auto"/>
            <w:noWrap/>
            <w:vAlign w:val="center"/>
          </w:tcPr>
          <w:p w14:paraId="5C657D8E" w14:textId="77777777" w:rsidR="00221DFD" w:rsidRPr="00396C60" w:rsidRDefault="00221DFD" w:rsidP="00C37652">
            <w:pPr>
              <w:spacing w:line="240" w:lineRule="auto"/>
              <w:jc w:val="center"/>
              <w:rPr>
                <w:rFonts w:cs="Times New Roman"/>
                <w:szCs w:val="24"/>
              </w:rPr>
            </w:pPr>
            <w:r w:rsidRPr="00DF6D1E">
              <w:rPr>
                <w:rFonts w:cs="Times New Roman"/>
                <w:szCs w:val="24"/>
              </w:rPr>
              <w:t>--</w:t>
            </w:r>
          </w:p>
        </w:tc>
        <w:tc>
          <w:tcPr>
            <w:tcW w:w="1460" w:type="dxa"/>
            <w:shd w:val="clear" w:color="auto" w:fill="auto"/>
            <w:noWrap/>
            <w:vAlign w:val="center"/>
          </w:tcPr>
          <w:p w14:paraId="3C8E92D1" w14:textId="77777777" w:rsidR="00221DFD" w:rsidRPr="00396C60" w:rsidRDefault="00221DFD" w:rsidP="00C37652">
            <w:pPr>
              <w:spacing w:line="240" w:lineRule="auto"/>
              <w:jc w:val="center"/>
              <w:rPr>
                <w:rFonts w:cs="Times New Roman"/>
                <w:szCs w:val="24"/>
              </w:rPr>
            </w:pPr>
            <w:r w:rsidRPr="00DF6D1E">
              <w:rPr>
                <w:rFonts w:cs="Times New Roman"/>
                <w:szCs w:val="24"/>
              </w:rPr>
              <w:t>--</w:t>
            </w:r>
          </w:p>
        </w:tc>
        <w:tc>
          <w:tcPr>
            <w:tcW w:w="1355" w:type="dxa"/>
            <w:vAlign w:val="center"/>
          </w:tcPr>
          <w:p w14:paraId="44A33AC9" w14:textId="77777777" w:rsidR="00221DFD" w:rsidRPr="00EF03BC" w:rsidRDefault="00221DFD" w:rsidP="00C37652">
            <w:pPr>
              <w:spacing w:line="240" w:lineRule="auto"/>
              <w:jc w:val="center"/>
              <w:rPr>
                <w:rFonts w:cs="Times New Roman"/>
                <w:szCs w:val="24"/>
              </w:rPr>
            </w:pPr>
            <w:r w:rsidRPr="00AC53C3">
              <w:rPr>
                <w:rFonts w:cs="Times New Roman"/>
                <w:szCs w:val="24"/>
              </w:rPr>
              <w:t>-0.372</w:t>
            </w:r>
          </w:p>
        </w:tc>
        <w:tc>
          <w:tcPr>
            <w:tcW w:w="1435" w:type="dxa"/>
            <w:vAlign w:val="center"/>
          </w:tcPr>
          <w:p w14:paraId="45130936" w14:textId="77777777" w:rsidR="00221DFD" w:rsidRPr="00EF03BC" w:rsidRDefault="00221DFD" w:rsidP="00C37652">
            <w:pPr>
              <w:spacing w:line="240" w:lineRule="auto"/>
              <w:jc w:val="center"/>
              <w:rPr>
                <w:rFonts w:cs="Times New Roman"/>
                <w:szCs w:val="24"/>
              </w:rPr>
            </w:pPr>
            <w:r w:rsidRPr="00AC53C3">
              <w:rPr>
                <w:rFonts w:cs="Times New Roman"/>
                <w:szCs w:val="24"/>
              </w:rPr>
              <w:t>-8.582</w:t>
            </w:r>
          </w:p>
        </w:tc>
      </w:tr>
      <w:tr w:rsidR="00221DFD" w:rsidRPr="00EF03BC" w14:paraId="1B811926" w14:textId="77777777" w:rsidTr="00FF2B31">
        <w:trPr>
          <w:trHeight w:val="300"/>
        </w:trPr>
        <w:tc>
          <w:tcPr>
            <w:tcW w:w="3765" w:type="dxa"/>
            <w:shd w:val="clear" w:color="auto" w:fill="auto"/>
            <w:noWrap/>
            <w:vAlign w:val="bottom"/>
          </w:tcPr>
          <w:p w14:paraId="0CE36604" w14:textId="77777777" w:rsidR="00221DFD" w:rsidRDefault="00221DFD" w:rsidP="00C37652">
            <w:pPr>
              <w:spacing w:line="240" w:lineRule="auto"/>
              <w:ind w:left="240"/>
              <w:jc w:val="left"/>
              <w:rPr>
                <w:rFonts w:cs="Times New Roman"/>
                <w:color w:val="000000"/>
                <w:szCs w:val="24"/>
              </w:rPr>
            </w:pPr>
            <w:r w:rsidRPr="00EF03BC">
              <w:rPr>
                <w:rFonts w:cs="Times New Roman"/>
                <w:color w:val="000000"/>
                <w:szCs w:val="24"/>
              </w:rPr>
              <w:t>Construction year 1981 - 2000</w:t>
            </w:r>
          </w:p>
        </w:tc>
        <w:tc>
          <w:tcPr>
            <w:tcW w:w="1150" w:type="dxa"/>
            <w:shd w:val="clear" w:color="auto" w:fill="auto"/>
            <w:noWrap/>
            <w:vAlign w:val="center"/>
          </w:tcPr>
          <w:p w14:paraId="0ACD6D71" w14:textId="77777777" w:rsidR="00221DFD" w:rsidRPr="00DF6D1E" w:rsidRDefault="00221DFD" w:rsidP="00C37652">
            <w:pPr>
              <w:spacing w:line="240" w:lineRule="auto"/>
              <w:jc w:val="center"/>
              <w:rPr>
                <w:rFonts w:cs="Times New Roman"/>
                <w:szCs w:val="24"/>
              </w:rPr>
            </w:pPr>
            <w:r w:rsidRPr="00396C60">
              <w:rPr>
                <w:rFonts w:cs="Times New Roman"/>
                <w:szCs w:val="24"/>
              </w:rPr>
              <w:t>0.040</w:t>
            </w:r>
          </w:p>
        </w:tc>
        <w:tc>
          <w:tcPr>
            <w:tcW w:w="1460" w:type="dxa"/>
            <w:shd w:val="clear" w:color="auto" w:fill="auto"/>
            <w:noWrap/>
            <w:vAlign w:val="center"/>
          </w:tcPr>
          <w:p w14:paraId="05EC2E31" w14:textId="77777777" w:rsidR="00221DFD" w:rsidRPr="00DF6D1E" w:rsidRDefault="00221DFD" w:rsidP="00C37652">
            <w:pPr>
              <w:spacing w:line="240" w:lineRule="auto"/>
              <w:jc w:val="center"/>
              <w:rPr>
                <w:rFonts w:cs="Times New Roman"/>
                <w:szCs w:val="24"/>
              </w:rPr>
            </w:pPr>
            <w:r w:rsidRPr="00396C60">
              <w:rPr>
                <w:rFonts w:cs="Times New Roman"/>
                <w:szCs w:val="24"/>
              </w:rPr>
              <w:t>1.793</w:t>
            </w:r>
          </w:p>
        </w:tc>
        <w:tc>
          <w:tcPr>
            <w:tcW w:w="1355" w:type="dxa"/>
            <w:vAlign w:val="center"/>
          </w:tcPr>
          <w:p w14:paraId="50B4D2BC" w14:textId="77777777" w:rsidR="00221DFD" w:rsidRPr="00310057" w:rsidRDefault="00221DFD" w:rsidP="00C37652">
            <w:pPr>
              <w:spacing w:line="240" w:lineRule="auto"/>
              <w:jc w:val="center"/>
              <w:rPr>
                <w:rFonts w:cs="Times New Roman"/>
                <w:szCs w:val="24"/>
              </w:rPr>
            </w:pPr>
            <w:r w:rsidRPr="001E4141">
              <w:rPr>
                <w:rFonts w:cs="Times New Roman"/>
                <w:szCs w:val="24"/>
              </w:rPr>
              <w:t>--</w:t>
            </w:r>
          </w:p>
        </w:tc>
        <w:tc>
          <w:tcPr>
            <w:tcW w:w="1435" w:type="dxa"/>
            <w:vAlign w:val="center"/>
          </w:tcPr>
          <w:p w14:paraId="44055455" w14:textId="77777777" w:rsidR="00221DFD" w:rsidRPr="00310057" w:rsidRDefault="00221DFD" w:rsidP="00C37652">
            <w:pPr>
              <w:spacing w:line="240" w:lineRule="auto"/>
              <w:jc w:val="center"/>
              <w:rPr>
                <w:rFonts w:cs="Times New Roman"/>
                <w:szCs w:val="24"/>
              </w:rPr>
            </w:pPr>
            <w:r w:rsidRPr="001E4141">
              <w:rPr>
                <w:rFonts w:cs="Times New Roman"/>
                <w:szCs w:val="24"/>
              </w:rPr>
              <w:t>--</w:t>
            </w:r>
          </w:p>
        </w:tc>
      </w:tr>
      <w:tr w:rsidR="00221DFD" w:rsidRPr="00EF03BC" w14:paraId="2A08610C" w14:textId="77777777" w:rsidTr="00FF2B31">
        <w:trPr>
          <w:trHeight w:val="300"/>
        </w:trPr>
        <w:tc>
          <w:tcPr>
            <w:tcW w:w="3765" w:type="dxa"/>
            <w:shd w:val="clear" w:color="auto" w:fill="auto"/>
            <w:noWrap/>
            <w:vAlign w:val="bottom"/>
          </w:tcPr>
          <w:p w14:paraId="42AE793B" w14:textId="77777777" w:rsidR="00221DFD" w:rsidRDefault="00221DFD" w:rsidP="00C37652">
            <w:pPr>
              <w:spacing w:line="240" w:lineRule="auto"/>
              <w:ind w:left="240"/>
              <w:jc w:val="left"/>
              <w:rPr>
                <w:rFonts w:cs="Times New Roman"/>
                <w:color w:val="000000"/>
                <w:szCs w:val="24"/>
              </w:rPr>
            </w:pPr>
            <w:r w:rsidRPr="00EF03BC">
              <w:rPr>
                <w:rFonts w:cs="Times New Roman"/>
                <w:color w:val="000000"/>
                <w:szCs w:val="24"/>
              </w:rPr>
              <w:t>Construction year 2001 - 2010</w:t>
            </w:r>
          </w:p>
        </w:tc>
        <w:tc>
          <w:tcPr>
            <w:tcW w:w="1150" w:type="dxa"/>
            <w:shd w:val="clear" w:color="auto" w:fill="auto"/>
            <w:noWrap/>
            <w:vAlign w:val="center"/>
          </w:tcPr>
          <w:p w14:paraId="3A6DAFA4" w14:textId="77777777" w:rsidR="00221DFD" w:rsidRPr="00DF6D1E" w:rsidRDefault="00221DFD" w:rsidP="00C37652">
            <w:pPr>
              <w:spacing w:line="240" w:lineRule="auto"/>
              <w:jc w:val="center"/>
              <w:rPr>
                <w:rFonts w:cs="Times New Roman"/>
                <w:szCs w:val="24"/>
              </w:rPr>
            </w:pPr>
            <w:r w:rsidRPr="00396C60">
              <w:rPr>
                <w:rFonts w:cs="Times New Roman"/>
                <w:szCs w:val="24"/>
              </w:rPr>
              <w:t>0.049</w:t>
            </w:r>
          </w:p>
        </w:tc>
        <w:tc>
          <w:tcPr>
            <w:tcW w:w="1460" w:type="dxa"/>
            <w:shd w:val="clear" w:color="auto" w:fill="auto"/>
            <w:noWrap/>
            <w:vAlign w:val="center"/>
          </w:tcPr>
          <w:p w14:paraId="1CF7ECF0" w14:textId="77777777" w:rsidR="00221DFD" w:rsidRPr="00DF6D1E" w:rsidRDefault="00221DFD" w:rsidP="00C37652">
            <w:pPr>
              <w:spacing w:line="240" w:lineRule="auto"/>
              <w:jc w:val="center"/>
              <w:rPr>
                <w:rFonts w:cs="Times New Roman"/>
                <w:szCs w:val="24"/>
              </w:rPr>
            </w:pPr>
            <w:r w:rsidRPr="00396C60">
              <w:rPr>
                <w:rFonts w:cs="Times New Roman"/>
                <w:szCs w:val="24"/>
              </w:rPr>
              <w:t>2.232</w:t>
            </w:r>
          </w:p>
        </w:tc>
        <w:tc>
          <w:tcPr>
            <w:tcW w:w="1355" w:type="dxa"/>
            <w:vAlign w:val="center"/>
          </w:tcPr>
          <w:p w14:paraId="6E497C2A" w14:textId="77777777" w:rsidR="00221DFD" w:rsidRPr="00310057" w:rsidRDefault="00221DFD" w:rsidP="00C37652">
            <w:pPr>
              <w:spacing w:line="240" w:lineRule="auto"/>
              <w:jc w:val="center"/>
              <w:rPr>
                <w:rFonts w:cs="Times New Roman"/>
                <w:szCs w:val="24"/>
              </w:rPr>
            </w:pPr>
            <w:r w:rsidRPr="00AC53C3">
              <w:rPr>
                <w:rFonts w:cs="Times New Roman"/>
                <w:szCs w:val="24"/>
              </w:rPr>
              <w:t>-0.097</w:t>
            </w:r>
          </w:p>
        </w:tc>
        <w:tc>
          <w:tcPr>
            <w:tcW w:w="1435" w:type="dxa"/>
            <w:vAlign w:val="center"/>
          </w:tcPr>
          <w:p w14:paraId="142D5451" w14:textId="77777777" w:rsidR="00221DFD" w:rsidRPr="00310057" w:rsidRDefault="00221DFD" w:rsidP="00C37652">
            <w:pPr>
              <w:spacing w:line="240" w:lineRule="auto"/>
              <w:jc w:val="center"/>
              <w:rPr>
                <w:rFonts w:cs="Times New Roman"/>
                <w:szCs w:val="24"/>
              </w:rPr>
            </w:pPr>
            <w:r w:rsidRPr="00AC53C3">
              <w:rPr>
                <w:rFonts w:cs="Times New Roman"/>
                <w:szCs w:val="24"/>
              </w:rPr>
              <w:t>-2.684</w:t>
            </w:r>
          </w:p>
        </w:tc>
      </w:tr>
      <w:tr w:rsidR="00221DFD" w:rsidRPr="00EF03BC" w14:paraId="4B2B0557" w14:textId="77777777" w:rsidTr="00FF2B31">
        <w:trPr>
          <w:trHeight w:val="300"/>
        </w:trPr>
        <w:tc>
          <w:tcPr>
            <w:tcW w:w="3765" w:type="dxa"/>
            <w:shd w:val="clear" w:color="auto" w:fill="auto"/>
            <w:noWrap/>
            <w:vAlign w:val="bottom"/>
          </w:tcPr>
          <w:p w14:paraId="1E7FD6FD" w14:textId="77777777" w:rsidR="00221DFD" w:rsidRDefault="00221DFD" w:rsidP="00C37652">
            <w:pPr>
              <w:spacing w:line="240" w:lineRule="auto"/>
              <w:ind w:left="240"/>
              <w:jc w:val="left"/>
              <w:rPr>
                <w:rFonts w:cs="Times New Roman"/>
                <w:color w:val="000000"/>
                <w:szCs w:val="24"/>
              </w:rPr>
            </w:pPr>
            <w:r w:rsidRPr="00EF03BC">
              <w:rPr>
                <w:rFonts w:cs="Times New Roman"/>
                <w:color w:val="000000"/>
                <w:szCs w:val="24"/>
              </w:rPr>
              <w:t>Construction year after 2010</w:t>
            </w:r>
          </w:p>
        </w:tc>
        <w:tc>
          <w:tcPr>
            <w:tcW w:w="1150" w:type="dxa"/>
            <w:shd w:val="clear" w:color="auto" w:fill="auto"/>
            <w:noWrap/>
            <w:vAlign w:val="center"/>
          </w:tcPr>
          <w:p w14:paraId="29676248" w14:textId="77777777" w:rsidR="00221DFD" w:rsidRPr="00DF6D1E" w:rsidRDefault="00221DFD" w:rsidP="00C37652">
            <w:pPr>
              <w:spacing w:line="240" w:lineRule="auto"/>
              <w:jc w:val="center"/>
              <w:rPr>
                <w:rFonts w:cs="Times New Roman"/>
                <w:szCs w:val="24"/>
              </w:rPr>
            </w:pPr>
            <w:r w:rsidRPr="00396C60">
              <w:rPr>
                <w:rFonts w:cs="Times New Roman"/>
                <w:szCs w:val="24"/>
              </w:rPr>
              <w:t>0.012</w:t>
            </w:r>
          </w:p>
        </w:tc>
        <w:tc>
          <w:tcPr>
            <w:tcW w:w="1460" w:type="dxa"/>
            <w:shd w:val="clear" w:color="auto" w:fill="auto"/>
            <w:noWrap/>
            <w:vAlign w:val="center"/>
          </w:tcPr>
          <w:p w14:paraId="7E322ABC" w14:textId="77777777" w:rsidR="00221DFD" w:rsidRPr="00DF6D1E" w:rsidRDefault="00221DFD" w:rsidP="00C37652">
            <w:pPr>
              <w:spacing w:line="240" w:lineRule="auto"/>
              <w:jc w:val="center"/>
              <w:rPr>
                <w:rFonts w:cs="Times New Roman"/>
                <w:szCs w:val="24"/>
              </w:rPr>
            </w:pPr>
            <w:r>
              <w:rPr>
                <w:rFonts w:cs="Times New Roman"/>
                <w:szCs w:val="24"/>
              </w:rPr>
              <w:t>2</w:t>
            </w:r>
            <w:r w:rsidRPr="00396C60">
              <w:rPr>
                <w:rFonts w:cs="Times New Roman"/>
                <w:szCs w:val="24"/>
              </w:rPr>
              <w:t>.297</w:t>
            </w:r>
          </w:p>
        </w:tc>
        <w:tc>
          <w:tcPr>
            <w:tcW w:w="1355" w:type="dxa"/>
            <w:vAlign w:val="center"/>
          </w:tcPr>
          <w:p w14:paraId="659E728B" w14:textId="77777777" w:rsidR="00221DFD" w:rsidRPr="00310057" w:rsidRDefault="00221DFD" w:rsidP="00C37652">
            <w:pPr>
              <w:spacing w:line="240" w:lineRule="auto"/>
              <w:jc w:val="center"/>
              <w:rPr>
                <w:rFonts w:cs="Times New Roman"/>
                <w:szCs w:val="24"/>
              </w:rPr>
            </w:pPr>
            <w:r w:rsidRPr="00AC53C3">
              <w:rPr>
                <w:rFonts w:cs="Times New Roman"/>
                <w:szCs w:val="24"/>
              </w:rPr>
              <w:t>-0.392</w:t>
            </w:r>
          </w:p>
        </w:tc>
        <w:tc>
          <w:tcPr>
            <w:tcW w:w="1435" w:type="dxa"/>
            <w:vAlign w:val="center"/>
          </w:tcPr>
          <w:p w14:paraId="0A9D2F44" w14:textId="77777777" w:rsidR="00221DFD" w:rsidRPr="00310057" w:rsidRDefault="00221DFD" w:rsidP="00C37652">
            <w:pPr>
              <w:spacing w:line="240" w:lineRule="auto"/>
              <w:jc w:val="center"/>
              <w:rPr>
                <w:rFonts w:cs="Times New Roman"/>
                <w:szCs w:val="24"/>
              </w:rPr>
            </w:pPr>
            <w:r w:rsidRPr="00AC53C3">
              <w:rPr>
                <w:rFonts w:cs="Times New Roman"/>
                <w:szCs w:val="24"/>
              </w:rPr>
              <w:t>-5.652</w:t>
            </w:r>
          </w:p>
        </w:tc>
      </w:tr>
      <w:tr w:rsidR="00221DFD" w:rsidRPr="00EF03BC" w14:paraId="5D126901" w14:textId="77777777" w:rsidTr="00FF2B31">
        <w:trPr>
          <w:trHeight w:val="300"/>
        </w:trPr>
        <w:tc>
          <w:tcPr>
            <w:tcW w:w="3765" w:type="dxa"/>
            <w:shd w:val="clear" w:color="auto" w:fill="auto"/>
            <w:noWrap/>
            <w:vAlign w:val="bottom"/>
          </w:tcPr>
          <w:p w14:paraId="4C78B8F1" w14:textId="77777777" w:rsidR="00221DFD" w:rsidRPr="00EF03BC" w:rsidRDefault="00221DFD" w:rsidP="00C37652">
            <w:pPr>
              <w:spacing w:line="240" w:lineRule="auto"/>
              <w:ind w:left="240"/>
              <w:jc w:val="left"/>
              <w:rPr>
                <w:rFonts w:cs="Times New Roman"/>
                <w:color w:val="000000"/>
                <w:szCs w:val="24"/>
              </w:rPr>
            </w:pPr>
            <w:r>
              <w:rPr>
                <w:rFonts w:cs="Times New Roman"/>
                <w:color w:val="000000"/>
                <w:szCs w:val="24"/>
              </w:rPr>
              <w:t>High income HH (&gt;120k)</w:t>
            </w:r>
          </w:p>
        </w:tc>
        <w:tc>
          <w:tcPr>
            <w:tcW w:w="1150" w:type="dxa"/>
            <w:shd w:val="clear" w:color="auto" w:fill="auto"/>
            <w:noWrap/>
            <w:vAlign w:val="center"/>
          </w:tcPr>
          <w:p w14:paraId="4E5BC353" w14:textId="77777777" w:rsidR="00221DFD" w:rsidRPr="00396C60" w:rsidRDefault="00221DFD" w:rsidP="00C37652">
            <w:pPr>
              <w:spacing w:line="240" w:lineRule="auto"/>
              <w:jc w:val="center"/>
              <w:rPr>
                <w:rFonts w:cs="Times New Roman"/>
                <w:szCs w:val="24"/>
              </w:rPr>
            </w:pPr>
            <w:r w:rsidRPr="00DF6D1E">
              <w:rPr>
                <w:rFonts w:cs="Times New Roman"/>
                <w:szCs w:val="24"/>
              </w:rPr>
              <w:t>--</w:t>
            </w:r>
          </w:p>
        </w:tc>
        <w:tc>
          <w:tcPr>
            <w:tcW w:w="1460" w:type="dxa"/>
            <w:shd w:val="clear" w:color="auto" w:fill="auto"/>
            <w:noWrap/>
            <w:vAlign w:val="center"/>
          </w:tcPr>
          <w:p w14:paraId="316135D3" w14:textId="77777777" w:rsidR="00221DFD" w:rsidRDefault="00221DFD" w:rsidP="00C37652">
            <w:pPr>
              <w:spacing w:line="240" w:lineRule="auto"/>
              <w:jc w:val="center"/>
              <w:rPr>
                <w:rFonts w:cs="Times New Roman"/>
                <w:szCs w:val="24"/>
              </w:rPr>
            </w:pPr>
            <w:r w:rsidRPr="00DF6D1E">
              <w:rPr>
                <w:rFonts w:cs="Times New Roman"/>
                <w:szCs w:val="24"/>
              </w:rPr>
              <w:t>--</w:t>
            </w:r>
          </w:p>
        </w:tc>
        <w:tc>
          <w:tcPr>
            <w:tcW w:w="1355" w:type="dxa"/>
            <w:vAlign w:val="center"/>
          </w:tcPr>
          <w:p w14:paraId="795A9DFD" w14:textId="77777777" w:rsidR="00221DFD" w:rsidRPr="00310057" w:rsidRDefault="00221DFD" w:rsidP="00C37652">
            <w:pPr>
              <w:spacing w:line="240" w:lineRule="auto"/>
              <w:jc w:val="center"/>
              <w:rPr>
                <w:rFonts w:cs="Times New Roman"/>
                <w:szCs w:val="24"/>
              </w:rPr>
            </w:pPr>
            <w:r w:rsidRPr="00AC53C3">
              <w:rPr>
                <w:rFonts w:cs="Times New Roman"/>
                <w:szCs w:val="24"/>
              </w:rPr>
              <w:t>0.177</w:t>
            </w:r>
          </w:p>
        </w:tc>
        <w:tc>
          <w:tcPr>
            <w:tcW w:w="1435" w:type="dxa"/>
            <w:vAlign w:val="center"/>
          </w:tcPr>
          <w:p w14:paraId="246BF7E9" w14:textId="77777777" w:rsidR="00221DFD" w:rsidRPr="00310057" w:rsidRDefault="00221DFD" w:rsidP="00C37652">
            <w:pPr>
              <w:spacing w:line="240" w:lineRule="auto"/>
              <w:jc w:val="center"/>
              <w:rPr>
                <w:rFonts w:cs="Times New Roman"/>
                <w:szCs w:val="24"/>
              </w:rPr>
            </w:pPr>
            <w:r w:rsidRPr="00AC53C3">
              <w:rPr>
                <w:rFonts w:cs="Times New Roman"/>
                <w:szCs w:val="24"/>
              </w:rPr>
              <w:t>5.149</w:t>
            </w:r>
          </w:p>
        </w:tc>
      </w:tr>
      <w:tr w:rsidR="00221DFD" w:rsidRPr="00EF03BC" w14:paraId="60791A08" w14:textId="77777777" w:rsidTr="00A67542">
        <w:trPr>
          <w:trHeight w:val="300"/>
        </w:trPr>
        <w:tc>
          <w:tcPr>
            <w:tcW w:w="9165" w:type="dxa"/>
            <w:gridSpan w:val="5"/>
            <w:shd w:val="clear" w:color="auto" w:fill="auto"/>
            <w:noWrap/>
            <w:vAlign w:val="bottom"/>
          </w:tcPr>
          <w:p w14:paraId="26533085" w14:textId="77777777" w:rsidR="00221DFD" w:rsidRPr="00D64E1B" w:rsidRDefault="00221DFD" w:rsidP="00C37652">
            <w:pPr>
              <w:spacing w:line="240" w:lineRule="auto"/>
              <w:jc w:val="left"/>
              <w:rPr>
                <w:rFonts w:cs="Times New Roman"/>
                <w:b/>
                <w:bCs/>
                <w:szCs w:val="24"/>
              </w:rPr>
            </w:pPr>
            <w:r w:rsidRPr="00A729B9">
              <w:rPr>
                <w:rFonts w:cs="Times New Roman"/>
                <w:i/>
                <w:iCs/>
                <w:szCs w:val="24"/>
              </w:rPr>
              <w:t>Appliance Use</w:t>
            </w:r>
          </w:p>
        </w:tc>
      </w:tr>
      <w:tr w:rsidR="00221DFD" w:rsidRPr="00EF03BC" w14:paraId="5B7C460F" w14:textId="77777777" w:rsidTr="00FF2B31">
        <w:trPr>
          <w:trHeight w:val="300"/>
        </w:trPr>
        <w:tc>
          <w:tcPr>
            <w:tcW w:w="3765" w:type="dxa"/>
            <w:shd w:val="clear" w:color="auto" w:fill="auto"/>
            <w:noWrap/>
            <w:vAlign w:val="bottom"/>
            <w:hideMark/>
          </w:tcPr>
          <w:p w14:paraId="20E89C32"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AC Used</w:t>
            </w:r>
          </w:p>
        </w:tc>
        <w:tc>
          <w:tcPr>
            <w:tcW w:w="1150" w:type="dxa"/>
            <w:shd w:val="clear" w:color="auto" w:fill="auto"/>
            <w:noWrap/>
            <w:vAlign w:val="center"/>
          </w:tcPr>
          <w:p w14:paraId="16BCE43D" w14:textId="77777777" w:rsidR="00221DFD" w:rsidRPr="00EF03BC" w:rsidRDefault="00221DFD" w:rsidP="00C37652">
            <w:pPr>
              <w:spacing w:line="240" w:lineRule="auto"/>
              <w:jc w:val="center"/>
              <w:rPr>
                <w:rFonts w:cs="Times New Roman"/>
                <w:szCs w:val="24"/>
              </w:rPr>
            </w:pPr>
            <w:r w:rsidRPr="00396C60">
              <w:rPr>
                <w:rFonts w:cs="Times New Roman"/>
                <w:szCs w:val="24"/>
              </w:rPr>
              <w:t>0.249</w:t>
            </w:r>
          </w:p>
        </w:tc>
        <w:tc>
          <w:tcPr>
            <w:tcW w:w="1460" w:type="dxa"/>
            <w:shd w:val="clear" w:color="auto" w:fill="auto"/>
            <w:noWrap/>
            <w:vAlign w:val="center"/>
          </w:tcPr>
          <w:p w14:paraId="678CA2DE" w14:textId="77777777" w:rsidR="00221DFD" w:rsidRPr="00EF03BC" w:rsidRDefault="00221DFD" w:rsidP="00C37652">
            <w:pPr>
              <w:spacing w:line="240" w:lineRule="auto"/>
              <w:jc w:val="center"/>
              <w:rPr>
                <w:rFonts w:cs="Times New Roman"/>
                <w:szCs w:val="24"/>
              </w:rPr>
            </w:pPr>
            <w:r w:rsidRPr="00396C60">
              <w:rPr>
                <w:rFonts w:cs="Times New Roman"/>
                <w:szCs w:val="24"/>
              </w:rPr>
              <w:t>10.043</w:t>
            </w:r>
          </w:p>
        </w:tc>
        <w:tc>
          <w:tcPr>
            <w:tcW w:w="1355" w:type="dxa"/>
            <w:vAlign w:val="center"/>
          </w:tcPr>
          <w:p w14:paraId="19510D05" w14:textId="77777777" w:rsidR="00221DFD" w:rsidRPr="00EF03BC" w:rsidRDefault="00221DFD" w:rsidP="00C37652">
            <w:pPr>
              <w:spacing w:line="240" w:lineRule="auto"/>
              <w:jc w:val="center"/>
              <w:rPr>
                <w:rFonts w:cs="Times New Roman"/>
                <w:szCs w:val="24"/>
              </w:rPr>
            </w:pPr>
            <w:r w:rsidRPr="001E4141">
              <w:rPr>
                <w:rFonts w:cs="Times New Roman"/>
                <w:szCs w:val="24"/>
              </w:rPr>
              <w:t>--</w:t>
            </w:r>
          </w:p>
        </w:tc>
        <w:tc>
          <w:tcPr>
            <w:tcW w:w="1435" w:type="dxa"/>
            <w:vAlign w:val="center"/>
          </w:tcPr>
          <w:p w14:paraId="556D41A5" w14:textId="77777777" w:rsidR="00221DFD" w:rsidRPr="00EF03BC" w:rsidRDefault="00221DFD" w:rsidP="00C37652">
            <w:pPr>
              <w:spacing w:line="240" w:lineRule="auto"/>
              <w:jc w:val="center"/>
              <w:rPr>
                <w:rFonts w:cs="Times New Roman"/>
                <w:szCs w:val="24"/>
              </w:rPr>
            </w:pPr>
            <w:r w:rsidRPr="001E4141">
              <w:rPr>
                <w:rFonts w:cs="Times New Roman"/>
                <w:szCs w:val="24"/>
              </w:rPr>
              <w:t>--</w:t>
            </w:r>
          </w:p>
        </w:tc>
      </w:tr>
      <w:tr w:rsidR="00221DFD" w:rsidRPr="00EF03BC" w14:paraId="458377A5" w14:textId="77777777" w:rsidTr="00FF2B31">
        <w:trPr>
          <w:trHeight w:val="300"/>
        </w:trPr>
        <w:tc>
          <w:tcPr>
            <w:tcW w:w="3765" w:type="dxa"/>
            <w:shd w:val="clear" w:color="auto" w:fill="auto"/>
            <w:noWrap/>
            <w:vAlign w:val="bottom"/>
            <w:hideMark/>
          </w:tcPr>
          <w:p w14:paraId="49989599"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Number of refrigerators used</w:t>
            </w:r>
          </w:p>
        </w:tc>
        <w:tc>
          <w:tcPr>
            <w:tcW w:w="1150" w:type="dxa"/>
            <w:shd w:val="clear" w:color="auto" w:fill="auto"/>
            <w:noWrap/>
            <w:vAlign w:val="center"/>
          </w:tcPr>
          <w:p w14:paraId="7DAFFADA" w14:textId="77777777" w:rsidR="00221DFD" w:rsidRPr="00EF03BC" w:rsidRDefault="00221DFD" w:rsidP="00C37652">
            <w:pPr>
              <w:spacing w:line="240" w:lineRule="auto"/>
              <w:jc w:val="center"/>
              <w:rPr>
                <w:rFonts w:cs="Times New Roman"/>
                <w:szCs w:val="24"/>
              </w:rPr>
            </w:pPr>
            <w:r w:rsidRPr="00396C60">
              <w:rPr>
                <w:rFonts w:cs="Times New Roman"/>
                <w:szCs w:val="24"/>
              </w:rPr>
              <w:t>0.137</w:t>
            </w:r>
          </w:p>
        </w:tc>
        <w:tc>
          <w:tcPr>
            <w:tcW w:w="1460" w:type="dxa"/>
            <w:shd w:val="clear" w:color="auto" w:fill="auto"/>
            <w:noWrap/>
            <w:vAlign w:val="center"/>
          </w:tcPr>
          <w:p w14:paraId="63376917" w14:textId="77777777" w:rsidR="00221DFD" w:rsidRPr="00EF03BC" w:rsidRDefault="00221DFD" w:rsidP="00C37652">
            <w:pPr>
              <w:spacing w:line="240" w:lineRule="auto"/>
              <w:jc w:val="center"/>
              <w:rPr>
                <w:rFonts w:cs="Times New Roman"/>
                <w:szCs w:val="24"/>
              </w:rPr>
            </w:pPr>
            <w:r w:rsidRPr="00396C60">
              <w:rPr>
                <w:rFonts w:cs="Times New Roman"/>
                <w:szCs w:val="24"/>
              </w:rPr>
              <w:t>10.776</w:t>
            </w:r>
          </w:p>
        </w:tc>
        <w:tc>
          <w:tcPr>
            <w:tcW w:w="1355" w:type="dxa"/>
            <w:vAlign w:val="center"/>
          </w:tcPr>
          <w:p w14:paraId="5FC786C6" w14:textId="77777777" w:rsidR="00221DFD" w:rsidRPr="00EF03BC" w:rsidRDefault="00221DFD" w:rsidP="00C37652">
            <w:pPr>
              <w:spacing w:line="240" w:lineRule="auto"/>
              <w:jc w:val="center"/>
              <w:rPr>
                <w:rFonts w:cs="Times New Roman"/>
                <w:szCs w:val="24"/>
              </w:rPr>
            </w:pPr>
            <w:r w:rsidRPr="001E4141">
              <w:rPr>
                <w:rFonts w:cs="Times New Roman"/>
                <w:szCs w:val="24"/>
              </w:rPr>
              <w:t>--</w:t>
            </w:r>
          </w:p>
        </w:tc>
        <w:tc>
          <w:tcPr>
            <w:tcW w:w="1435" w:type="dxa"/>
            <w:vAlign w:val="center"/>
          </w:tcPr>
          <w:p w14:paraId="048A3798" w14:textId="77777777" w:rsidR="00221DFD" w:rsidRPr="00EF03BC" w:rsidRDefault="00221DFD" w:rsidP="00C37652">
            <w:pPr>
              <w:spacing w:line="240" w:lineRule="auto"/>
              <w:jc w:val="center"/>
              <w:rPr>
                <w:rFonts w:cs="Times New Roman"/>
                <w:szCs w:val="24"/>
              </w:rPr>
            </w:pPr>
            <w:r w:rsidRPr="001E4141">
              <w:rPr>
                <w:rFonts w:cs="Times New Roman"/>
                <w:szCs w:val="24"/>
              </w:rPr>
              <w:t>--</w:t>
            </w:r>
          </w:p>
        </w:tc>
      </w:tr>
      <w:tr w:rsidR="00221DFD" w:rsidRPr="00EF03BC" w14:paraId="1F6C7E6E" w14:textId="77777777" w:rsidTr="00FF2B31">
        <w:trPr>
          <w:trHeight w:val="300"/>
        </w:trPr>
        <w:tc>
          <w:tcPr>
            <w:tcW w:w="3765" w:type="dxa"/>
            <w:shd w:val="clear" w:color="auto" w:fill="auto"/>
            <w:noWrap/>
            <w:vAlign w:val="bottom"/>
            <w:hideMark/>
          </w:tcPr>
          <w:p w14:paraId="5F91BBF9"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Number of desktop computers</w:t>
            </w:r>
          </w:p>
        </w:tc>
        <w:tc>
          <w:tcPr>
            <w:tcW w:w="1150" w:type="dxa"/>
            <w:shd w:val="clear" w:color="auto" w:fill="auto"/>
            <w:noWrap/>
            <w:vAlign w:val="center"/>
          </w:tcPr>
          <w:p w14:paraId="74E520C9" w14:textId="77777777" w:rsidR="00221DFD" w:rsidRPr="00EF03BC" w:rsidRDefault="00221DFD" w:rsidP="00C37652">
            <w:pPr>
              <w:spacing w:line="240" w:lineRule="auto"/>
              <w:jc w:val="center"/>
              <w:rPr>
                <w:rFonts w:cs="Times New Roman"/>
                <w:szCs w:val="24"/>
              </w:rPr>
            </w:pPr>
            <w:r w:rsidRPr="00396C60">
              <w:rPr>
                <w:rFonts w:cs="Times New Roman"/>
                <w:szCs w:val="24"/>
              </w:rPr>
              <w:t>0.049</w:t>
            </w:r>
          </w:p>
        </w:tc>
        <w:tc>
          <w:tcPr>
            <w:tcW w:w="1460" w:type="dxa"/>
            <w:shd w:val="clear" w:color="auto" w:fill="auto"/>
            <w:noWrap/>
            <w:vAlign w:val="center"/>
          </w:tcPr>
          <w:p w14:paraId="1527BD5A" w14:textId="77777777" w:rsidR="00221DFD" w:rsidRPr="00EF03BC" w:rsidRDefault="00221DFD" w:rsidP="00C37652">
            <w:pPr>
              <w:spacing w:line="240" w:lineRule="auto"/>
              <w:jc w:val="center"/>
              <w:rPr>
                <w:rFonts w:cs="Times New Roman"/>
                <w:szCs w:val="24"/>
              </w:rPr>
            </w:pPr>
            <w:r w:rsidRPr="00396C60">
              <w:rPr>
                <w:rFonts w:cs="Times New Roman"/>
                <w:szCs w:val="24"/>
              </w:rPr>
              <w:t>4.228</w:t>
            </w:r>
          </w:p>
        </w:tc>
        <w:tc>
          <w:tcPr>
            <w:tcW w:w="1355" w:type="dxa"/>
            <w:vAlign w:val="center"/>
          </w:tcPr>
          <w:p w14:paraId="3097E2C3" w14:textId="77777777" w:rsidR="00221DFD" w:rsidRPr="00EF03BC" w:rsidRDefault="00221DFD" w:rsidP="00C37652">
            <w:pPr>
              <w:spacing w:line="240" w:lineRule="auto"/>
              <w:jc w:val="center"/>
              <w:rPr>
                <w:rFonts w:cs="Times New Roman"/>
                <w:szCs w:val="24"/>
              </w:rPr>
            </w:pPr>
            <w:r w:rsidRPr="001E4141">
              <w:rPr>
                <w:rFonts w:cs="Times New Roman"/>
                <w:szCs w:val="24"/>
              </w:rPr>
              <w:t>--</w:t>
            </w:r>
          </w:p>
        </w:tc>
        <w:tc>
          <w:tcPr>
            <w:tcW w:w="1435" w:type="dxa"/>
            <w:vAlign w:val="center"/>
          </w:tcPr>
          <w:p w14:paraId="4DE32E1A" w14:textId="77777777" w:rsidR="00221DFD" w:rsidRPr="00EF03BC" w:rsidRDefault="00221DFD" w:rsidP="00C37652">
            <w:pPr>
              <w:spacing w:line="240" w:lineRule="auto"/>
              <w:jc w:val="center"/>
              <w:rPr>
                <w:rFonts w:cs="Times New Roman"/>
                <w:szCs w:val="24"/>
              </w:rPr>
            </w:pPr>
            <w:r w:rsidRPr="001E4141">
              <w:rPr>
                <w:rFonts w:cs="Times New Roman"/>
                <w:szCs w:val="24"/>
              </w:rPr>
              <w:t>--</w:t>
            </w:r>
          </w:p>
        </w:tc>
      </w:tr>
      <w:tr w:rsidR="00221DFD" w:rsidRPr="00EF03BC" w14:paraId="1F865F38" w14:textId="77777777" w:rsidTr="00FF2B31">
        <w:trPr>
          <w:trHeight w:val="300"/>
        </w:trPr>
        <w:tc>
          <w:tcPr>
            <w:tcW w:w="3765" w:type="dxa"/>
            <w:shd w:val="clear" w:color="auto" w:fill="auto"/>
            <w:noWrap/>
            <w:vAlign w:val="bottom"/>
            <w:hideMark/>
          </w:tcPr>
          <w:p w14:paraId="203AF36A"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Space heating used</w:t>
            </w:r>
          </w:p>
        </w:tc>
        <w:tc>
          <w:tcPr>
            <w:tcW w:w="1150" w:type="dxa"/>
            <w:shd w:val="clear" w:color="auto" w:fill="auto"/>
            <w:noWrap/>
            <w:vAlign w:val="center"/>
          </w:tcPr>
          <w:p w14:paraId="1098FEDB" w14:textId="77777777" w:rsidR="00221DFD" w:rsidRPr="00EF03BC" w:rsidRDefault="00221DFD" w:rsidP="00C37652">
            <w:pPr>
              <w:spacing w:line="240" w:lineRule="auto"/>
              <w:jc w:val="center"/>
              <w:rPr>
                <w:rFonts w:cs="Times New Roman"/>
                <w:szCs w:val="24"/>
              </w:rPr>
            </w:pPr>
            <w:r w:rsidRPr="00396C60">
              <w:rPr>
                <w:rFonts w:cs="Times New Roman"/>
                <w:szCs w:val="24"/>
              </w:rPr>
              <w:t>0.158</w:t>
            </w:r>
          </w:p>
        </w:tc>
        <w:tc>
          <w:tcPr>
            <w:tcW w:w="1460" w:type="dxa"/>
            <w:shd w:val="clear" w:color="auto" w:fill="auto"/>
            <w:noWrap/>
            <w:vAlign w:val="center"/>
          </w:tcPr>
          <w:p w14:paraId="5875C6C3" w14:textId="77777777" w:rsidR="00221DFD" w:rsidRPr="00EF03BC" w:rsidRDefault="00221DFD" w:rsidP="00C37652">
            <w:pPr>
              <w:spacing w:line="240" w:lineRule="auto"/>
              <w:jc w:val="center"/>
              <w:rPr>
                <w:rFonts w:cs="Times New Roman"/>
                <w:szCs w:val="24"/>
              </w:rPr>
            </w:pPr>
            <w:r w:rsidRPr="00396C60">
              <w:rPr>
                <w:rFonts w:cs="Times New Roman"/>
                <w:szCs w:val="24"/>
              </w:rPr>
              <w:t>4.148</w:t>
            </w:r>
          </w:p>
        </w:tc>
        <w:tc>
          <w:tcPr>
            <w:tcW w:w="1355" w:type="dxa"/>
            <w:vAlign w:val="center"/>
          </w:tcPr>
          <w:p w14:paraId="39571150" w14:textId="77777777" w:rsidR="00221DFD" w:rsidRPr="00EF03BC" w:rsidRDefault="00221DFD" w:rsidP="00C37652">
            <w:pPr>
              <w:spacing w:line="240" w:lineRule="auto"/>
              <w:jc w:val="center"/>
              <w:rPr>
                <w:rFonts w:cs="Times New Roman"/>
                <w:szCs w:val="24"/>
              </w:rPr>
            </w:pPr>
            <w:r w:rsidRPr="001E4141">
              <w:rPr>
                <w:rFonts w:cs="Times New Roman"/>
                <w:szCs w:val="24"/>
              </w:rPr>
              <w:t>--</w:t>
            </w:r>
          </w:p>
        </w:tc>
        <w:tc>
          <w:tcPr>
            <w:tcW w:w="1435" w:type="dxa"/>
            <w:vAlign w:val="center"/>
          </w:tcPr>
          <w:p w14:paraId="5C40082C" w14:textId="77777777" w:rsidR="00221DFD" w:rsidRPr="00EF03BC" w:rsidRDefault="00221DFD" w:rsidP="00C37652">
            <w:pPr>
              <w:spacing w:line="240" w:lineRule="auto"/>
              <w:jc w:val="center"/>
              <w:rPr>
                <w:rFonts w:cs="Times New Roman"/>
                <w:szCs w:val="24"/>
              </w:rPr>
            </w:pPr>
            <w:r w:rsidRPr="001E4141">
              <w:rPr>
                <w:rFonts w:cs="Times New Roman"/>
                <w:szCs w:val="24"/>
              </w:rPr>
              <w:t>--</w:t>
            </w:r>
          </w:p>
        </w:tc>
      </w:tr>
      <w:tr w:rsidR="00221DFD" w:rsidRPr="00EF03BC" w14:paraId="2BBDFC23" w14:textId="77777777" w:rsidTr="00FF2B31">
        <w:trPr>
          <w:trHeight w:val="300"/>
        </w:trPr>
        <w:tc>
          <w:tcPr>
            <w:tcW w:w="3765" w:type="dxa"/>
            <w:shd w:val="clear" w:color="auto" w:fill="auto"/>
            <w:noWrap/>
            <w:vAlign w:val="bottom"/>
          </w:tcPr>
          <w:p w14:paraId="00FFBC04"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Number of smart phones</w:t>
            </w:r>
          </w:p>
        </w:tc>
        <w:tc>
          <w:tcPr>
            <w:tcW w:w="1150" w:type="dxa"/>
            <w:shd w:val="clear" w:color="auto" w:fill="auto"/>
            <w:noWrap/>
            <w:vAlign w:val="center"/>
          </w:tcPr>
          <w:p w14:paraId="6DDCA2AB" w14:textId="77777777" w:rsidR="00221DFD" w:rsidRPr="00396C60" w:rsidRDefault="00221DFD" w:rsidP="00C37652">
            <w:pPr>
              <w:spacing w:line="240" w:lineRule="auto"/>
              <w:jc w:val="center"/>
              <w:rPr>
                <w:rFonts w:cs="Times New Roman"/>
                <w:szCs w:val="24"/>
              </w:rPr>
            </w:pPr>
            <w:r w:rsidRPr="00396C60">
              <w:rPr>
                <w:rFonts w:cs="Times New Roman"/>
                <w:szCs w:val="24"/>
              </w:rPr>
              <w:t>0.029</w:t>
            </w:r>
          </w:p>
        </w:tc>
        <w:tc>
          <w:tcPr>
            <w:tcW w:w="1460" w:type="dxa"/>
            <w:shd w:val="clear" w:color="auto" w:fill="auto"/>
            <w:noWrap/>
            <w:vAlign w:val="center"/>
          </w:tcPr>
          <w:p w14:paraId="44596352" w14:textId="77777777" w:rsidR="00221DFD" w:rsidRPr="00396C60" w:rsidRDefault="00221DFD" w:rsidP="00C37652">
            <w:pPr>
              <w:spacing w:line="240" w:lineRule="auto"/>
              <w:jc w:val="center"/>
              <w:rPr>
                <w:rFonts w:cs="Times New Roman"/>
                <w:szCs w:val="24"/>
              </w:rPr>
            </w:pPr>
            <w:r w:rsidRPr="00396C60">
              <w:rPr>
                <w:rFonts w:cs="Times New Roman"/>
                <w:szCs w:val="24"/>
              </w:rPr>
              <w:t>4.116</w:t>
            </w:r>
          </w:p>
        </w:tc>
        <w:tc>
          <w:tcPr>
            <w:tcW w:w="1355" w:type="dxa"/>
            <w:vAlign w:val="center"/>
          </w:tcPr>
          <w:p w14:paraId="34442711" w14:textId="77777777" w:rsidR="00221DFD" w:rsidRPr="001E4141" w:rsidRDefault="00221DFD" w:rsidP="00C37652">
            <w:pPr>
              <w:spacing w:line="240" w:lineRule="auto"/>
              <w:jc w:val="center"/>
              <w:rPr>
                <w:rFonts w:cs="Times New Roman"/>
                <w:szCs w:val="24"/>
              </w:rPr>
            </w:pPr>
            <w:r w:rsidRPr="001E4141">
              <w:rPr>
                <w:rFonts w:cs="Times New Roman"/>
                <w:szCs w:val="24"/>
              </w:rPr>
              <w:t>--</w:t>
            </w:r>
          </w:p>
        </w:tc>
        <w:tc>
          <w:tcPr>
            <w:tcW w:w="1435" w:type="dxa"/>
            <w:vAlign w:val="center"/>
          </w:tcPr>
          <w:p w14:paraId="359B8EB1" w14:textId="77777777" w:rsidR="00221DFD" w:rsidRPr="001E4141" w:rsidRDefault="00221DFD" w:rsidP="00C37652">
            <w:pPr>
              <w:spacing w:line="240" w:lineRule="auto"/>
              <w:jc w:val="center"/>
              <w:rPr>
                <w:rFonts w:cs="Times New Roman"/>
                <w:szCs w:val="24"/>
              </w:rPr>
            </w:pPr>
            <w:r w:rsidRPr="001E4141">
              <w:rPr>
                <w:rFonts w:cs="Times New Roman"/>
                <w:szCs w:val="24"/>
              </w:rPr>
              <w:t>--</w:t>
            </w:r>
          </w:p>
        </w:tc>
      </w:tr>
      <w:tr w:rsidR="00221DFD" w:rsidRPr="00EF03BC" w14:paraId="508D5E1E" w14:textId="77777777" w:rsidTr="00FF2B31">
        <w:trPr>
          <w:trHeight w:val="300"/>
        </w:trPr>
        <w:tc>
          <w:tcPr>
            <w:tcW w:w="3765" w:type="dxa"/>
            <w:shd w:val="clear" w:color="auto" w:fill="auto"/>
            <w:noWrap/>
            <w:vAlign w:val="bottom"/>
          </w:tcPr>
          <w:p w14:paraId="327E8A68"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Humidifier used</w:t>
            </w:r>
          </w:p>
        </w:tc>
        <w:tc>
          <w:tcPr>
            <w:tcW w:w="1150" w:type="dxa"/>
            <w:shd w:val="clear" w:color="auto" w:fill="auto"/>
            <w:noWrap/>
            <w:vAlign w:val="center"/>
          </w:tcPr>
          <w:p w14:paraId="3B907A65" w14:textId="77777777" w:rsidR="00221DFD" w:rsidRPr="00396C60" w:rsidRDefault="00221DFD" w:rsidP="00C37652">
            <w:pPr>
              <w:spacing w:line="240" w:lineRule="auto"/>
              <w:jc w:val="center"/>
              <w:rPr>
                <w:rFonts w:cs="Times New Roman"/>
                <w:szCs w:val="24"/>
              </w:rPr>
            </w:pPr>
            <w:r w:rsidRPr="00396C60">
              <w:rPr>
                <w:rFonts w:cs="Times New Roman"/>
                <w:szCs w:val="24"/>
              </w:rPr>
              <w:t>-0.107</w:t>
            </w:r>
          </w:p>
        </w:tc>
        <w:tc>
          <w:tcPr>
            <w:tcW w:w="1460" w:type="dxa"/>
            <w:shd w:val="clear" w:color="auto" w:fill="auto"/>
            <w:noWrap/>
            <w:vAlign w:val="center"/>
          </w:tcPr>
          <w:p w14:paraId="30B43A87" w14:textId="77777777" w:rsidR="00221DFD" w:rsidRPr="00396C60" w:rsidRDefault="00221DFD" w:rsidP="00C37652">
            <w:pPr>
              <w:spacing w:line="240" w:lineRule="auto"/>
              <w:jc w:val="center"/>
              <w:rPr>
                <w:rFonts w:cs="Times New Roman"/>
                <w:szCs w:val="24"/>
              </w:rPr>
            </w:pPr>
            <w:r w:rsidRPr="00396C60">
              <w:rPr>
                <w:rFonts w:cs="Times New Roman"/>
                <w:szCs w:val="24"/>
              </w:rPr>
              <w:t>-5.364</w:t>
            </w:r>
          </w:p>
        </w:tc>
        <w:tc>
          <w:tcPr>
            <w:tcW w:w="1355" w:type="dxa"/>
            <w:vAlign w:val="center"/>
          </w:tcPr>
          <w:p w14:paraId="0D360B9D" w14:textId="77777777" w:rsidR="00221DFD" w:rsidRPr="001E4141" w:rsidRDefault="00221DFD" w:rsidP="00C37652">
            <w:pPr>
              <w:spacing w:line="240" w:lineRule="auto"/>
              <w:jc w:val="center"/>
              <w:rPr>
                <w:rFonts w:cs="Times New Roman"/>
                <w:szCs w:val="24"/>
              </w:rPr>
            </w:pPr>
            <w:r w:rsidRPr="001E4141">
              <w:rPr>
                <w:rFonts w:cs="Times New Roman"/>
                <w:szCs w:val="24"/>
              </w:rPr>
              <w:t>--</w:t>
            </w:r>
          </w:p>
        </w:tc>
        <w:tc>
          <w:tcPr>
            <w:tcW w:w="1435" w:type="dxa"/>
            <w:vAlign w:val="center"/>
          </w:tcPr>
          <w:p w14:paraId="6D682CD8" w14:textId="77777777" w:rsidR="00221DFD" w:rsidRPr="001E4141" w:rsidRDefault="00221DFD" w:rsidP="00C37652">
            <w:pPr>
              <w:spacing w:line="240" w:lineRule="auto"/>
              <w:jc w:val="center"/>
              <w:rPr>
                <w:rFonts w:cs="Times New Roman"/>
                <w:szCs w:val="24"/>
              </w:rPr>
            </w:pPr>
            <w:r w:rsidRPr="001E4141">
              <w:rPr>
                <w:rFonts w:cs="Times New Roman"/>
                <w:szCs w:val="24"/>
              </w:rPr>
              <w:t>--</w:t>
            </w:r>
          </w:p>
        </w:tc>
      </w:tr>
      <w:tr w:rsidR="00221DFD" w:rsidRPr="00EF03BC" w14:paraId="43BFA0C3" w14:textId="77777777" w:rsidTr="00A67542">
        <w:trPr>
          <w:trHeight w:val="300"/>
        </w:trPr>
        <w:tc>
          <w:tcPr>
            <w:tcW w:w="9165" w:type="dxa"/>
            <w:gridSpan w:val="5"/>
            <w:shd w:val="clear" w:color="auto" w:fill="auto"/>
            <w:noWrap/>
            <w:vAlign w:val="bottom"/>
          </w:tcPr>
          <w:p w14:paraId="5A608448" w14:textId="77777777" w:rsidR="00221DFD" w:rsidRPr="0068072B" w:rsidRDefault="00221DFD" w:rsidP="00C37652">
            <w:pPr>
              <w:spacing w:line="240" w:lineRule="auto"/>
              <w:jc w:val="left"/>
              <w:rPr>
                <w:rFonts w:cs="Times New Roman"/>
                <w:b/>
                <w:bCs/>
                <w:szCs w:val="24"/>
              </w:rPr>
            </w:pPr>
            <w:r w:rsidRPr="00A729B9">
              <w:rPr>
                <w:rFonts w:cs="Times New Roman"/>
                <w:i/>
                <w:iCs/>
                <w:szCs w:val="24"/>
              </w:rPr>
              <w:t>Climatic Variables</w:t>
            </w:r>
          </w:p>
        </w:tc>
      </w:tr>
      <w:tr w:rsidR="00FF2B31" w:rsidRPr="00EF03BC" w14:paraId="60FEE24B" w14:textId="77777777" w:rsidTr="00FF2B31">
        <w:trPr>
          <w:trHeight w:val="300"/>
        </w:trPr>
        <w:tc>
          <w:tcPr>
            <w:tcW w:w="3765" w:type="dxa"/>
            <w:tcBorders>
              <w:bottom w:val="single" w:sz="4" w:space="0" w:color="auto"/>
            </w:tcBorders>
            <w:shd w:val="clear" w:color="auto" w:fill="auto"/>
            <w:noWrap/>
            <w:vAlign w:val="bottom"/>
          </w:tcPr>
          <w:p w14:paraId="2987342E" w14:textId="77777777" w:rsidR="00FF2B31" w:rsidRPr="00EF03BC" w:rsidRDefault="00FF2B31" w:rsidP="00C37652">
            <w:pPr>
              <w:spacing w:line="240" w:lineRule="auto"/>
              <w:ind w:left="240"/>
              <w:jc w:val="left"/>
              <w:rPr>
                <w:rFonts w:cs="Times New Roman"/>
                <w:color w:val="000000"/>
                <w:szCs w:val="24"/>
              </w:rPr>
            </w:pPr>
            <w:r>
              <w:rPr>
                <w:rFonts w:cs="Times New Roman"/>
                <w:color w:val="000000"/>
                <w:szCs w:val="24"/>
              </w:rPr>
              <w:t>Ln (</w:t>
            </w:r>
            <w:r w:rsidRPr="00EF03BC">
              <w:rPr>
                <w:rFonts w:cs="Times New Roman"/>
                <w:color w:val="000000"/>
                <w:szCs w:val="24"/>
              </w:rPr>
              <w:t>Total cooled square footage</w:t>
            </w:r>
            <w:r>
              <w:rPr>
                <w:rFonts w:cs="Times New Roman"/>
                <w:color w:val="000000"/>
                <w:szCs w:val="24"/>
              </w:rPr>
              <w:t>)</w:t>
            </w:r>
          </w:p>
        </w:tc>
        <w:tc>
          <w:tcPr>
            <w:tcW w:w="1150" w:type="dxa"/>
            <w:tcBorders>
              <w:bottom w:val="single" w:sz="4" w:space="0" w:color="auto"/>
            </w:tcBorders>
            <w:shd w:val="clear" w:color="auto" w:fill="auto"/>
            <w:noWrap/>
            <w:vAlign w:val="center"/>
          </w:tcPr>
          <w:p w14:paraId="42E98C4C" w14:textId="77777777" w:rsidR="00FF2B31" w:rsidRPr="00396C60" w:rsidRDefault="00FF2B31" w:rsidP="00C37652">
            <w:pPr>
              <w:spacing w:line="240" w:lineRule="auto"/>
              <w:jc w:val="center"/>
              <w:rPr>
                <w:rFonts w:cs="Times New Roman"/>
                <w:szCs w:val="24"/>
              </w:rPr>
            </w:pPr>
            <w:r w:rsidRPr="00396C60">
              <w:rPr>
                <w:rFonts w:cs="Times New Roman"/>
                <w:szCs w:val="24"/>
              </w:rPr>
              <w:t>0.329</w:t>
            </w:r>
          </w:p>
        </w:tc>
        <w:tc>
          <w:tcPr>
            <w:tcW w:w="1460" w:type="dxa"/>
            <w:tcBorders>
              <w:bottom w:val="single" w:sz="4" w:space="0" w:color="auto"/>
            </w:tcBorders>
            <w:shd w:val="clear" w:color="auto" w:fill="auto"/>
            <w:noWrap/>
            <w:vAlign w:val="center"/>
          </w:tcPr>
          <w:p w14:paraId="14B8134F" w14:textId="77777777" w:rsidR="00FF2B31" w:rsidRPr="00396C60" w:rsidRDefault="00FF2B31" w:rsidP="00C37652">
            <w:pPr>
              <w:spacing w:line="240" w:lineRule="auto"/>
              <w:jc w:val="center"/>
              <w:rPr>
                <w:rFonts w:cs="Times New Roman"/>
                <w:szCs w:val="24"/>
              </w:rPr>
            </w:pPr>
            <w:r w:rsidRPr="00396C60">
              <w:rPr>
                <w:rFonts w:cs="Times New Roman"/>
                <w:szCs w:val="24"/>
              </w:rPr>
              <w:t>12.997</w:t>
            </w:r>
          </w:p>
        </w:tc>
        <w:tc>
          <w:tcPr>
            <w:tcW w:w="1355" w:type="dxa"/>
            <w:tcBorders>
              <w:bottom w:val="single" w:sz="4" w:space="0" w:color="auto"/>
            </w:tcBorders>
            <w:vAlign w:val="center"/>
          </w:tcPr>
          <w:p w14:paraId="74C96D0D" w14:textId="6E2C1130" w:rsidR="00FF2B31" w:rsidRPr="001E4141" w:rsidRDefault="00FF2B31" w:rsidP="00C37652">
            <w:pPr>
              <w:spacing w:line="240" w:lineRule="auto"/>
              <w:jc w:val="center"/>
              <w:rPr>
                <w:rFonts w:cs="Times New Roman"/>
                <w:szCs w:val="24"/>
              </w:rPr>
            </w:pPr>
            <w:r w:rsidRPr="001E4141">
              <w:rPr>
                <w:rFonts w:cs="Times New Roman"/>
                <w:szCs w:val="24"/>
              </w:rPr>
              <w:t>--</w:t>
            </w:r>
          </w:p>
        </w:tc>
        <w:tc>
          <w:tcPr>
            <w:tcW w:w="1435" w:type="dxa"/>
            <w:tcBorders>
              <w:bottom w:val="single" w:sz="4" w:space="0" w:color="auto"/>
            </w:tcBorders>
            <w:vAlign w:val="center"/>
          </w:tcPr>
          <w:p w14:paraId="6E698421" w14:textId="2B9C5400" w:rsidR="00FF2B31" w:rsidRPr="001E4141" w:rsidRDefault="00FF2B31" w:rsidP="00C37652">
            <w:pPr>
              <w:spacing w:line="240" w:lineRule="auto"/>
              <w:jc w:val="center"/>
              <w:rPr>
                <w:rFonts w:cs="Times New Roman"/>
                <w:szCs w:val="24"/>
              </w:rPr>
            </w:pPr>
            <w:r w:rsidRPr="001E4141">
              <w:rPr>
                <w:rFonts w:cs="Times New Roman"/>
                <w:szCs w:val="24"/>
              </w:rPr>
              <w:t>--</w:t>
            </w:r>
          </w:p>
        </w:tc>
      </w:tr>
      <w:tr w:rsidR="00221DFD" w:rsidRPr="00EF03BC" w14:paraId="19A9F7CD" w14:textId="77777777" w:rsidTr="00FF2B31">
        <w:trPr>
          <w:trHeight w:val="300"/>
        </w:trPr>
        <w:tc>
          <w:tcPr>
            <w:tcW w:w="3765" w:type="dxa"/>
            <w:tcBorders>
              <w:top w:val="single" w:sz="4" w:space="0" w:color="auto"/>
              <w:bottom w:val="double" w:sz="4" w:space="0" w:color="auto"/>
            </w:tcBorders>
            <w:shd w:val="clear" w:color="auto" w:fill="auto"/>
            <w:noWrap/>
            <w:vAlign w:val="bottom"/>
          </w:tcPr>
          <w:p w14:paraId="2D3C3E46" w14:textId="77777777" w:rsidR="00221DFD" w:rsidRPr="00EF03BC" w:rsidRDefault="00221DFD" w:rsidP="00C37652">
            <w:pPr>
              <w:spacing w:line="240" w:lineRule="auto"/>
              <w:ind w:left="240"/>
              <w:jc w:val="left"/>
              <w:rPr>
                <w:rFonts w:cs="Times New Roman"/>
                <w:color w:val="000000"/>
                <w:szCs w:val="24"/>
              </w:rPr>
            </w:pPr>
            <w:r>
              <w:rPr>
                <w:rFonts w:cs="Times New Roman"/>
                <w:color w:val="000000"/>
                <w:szCs w:val="24"/>
              </w:rPr>
              <w:t>Ln (</w:t>
            </w:r>
            <w:r w:rsidRPr="00EF03BC">
              <w:rPr>
                <w:rFonts w:cs="Times New Roman"/>
                <w:color w:val="000000"/>
                <w:szCs w:val="24"/>
              </w:rPr>
              <w:t xml:space="preserve">Total </w:t>
            </w:r>
            <w:r>
              <w:rPr>
                <w:rFonts w:cs="Times New Roman"/>
                <w:color w:val="000000"/>
                <w:szCs w:val="24"/>
              </w:rPr>
              <w:t>heating</w:t>
            </w:r>
            <w:r w:rsidRPr="00EF03BC">
              <w:rPr>
                <w:rFonts w:cs="Times New Roman"/>
                <w:color w:val="000000"/>
                <w:szCs w:val="24"/>
              </w:rPr>
              <w:t xml:space="preserve"> square footage</w:t>
            </w:r>
            <w:r>
              <w:rPr>
                <w:rFonts w:cs="Times New Roman"/>
                <w:color w:val="000000"/>
                <w:szCs w:val="24"/>
              </w:rPr>
              <w:t>)</w:t>
            </w:r>
          </w:p>
        </w:tc>
        <w:tc>
          <w:tcPr>
            <w:tcW w:w="1150" w:type="dxa"/>
            <w:tcBorders>
              <w:top w:val="single" w:sz="4" w:space="0" w:color="auto"/>
              <w:bottom w:val="double" w:sz="4" w:space="0" w:color="auto"/>
            </w:tcBorders>
            <w:shd w:val="clear" w:color="auto" w:fill="auto"/>
            <w:noWrap/>
            <w:vAlign w:val="center"/>
          </w:tcPr>
          <w:p w14:paraId="7B2DD3E6" w14:textId="77777777" w:rsidR="00221DFD" w:rsidRPr="00EF03BC" w:rsidRDefault="00221DFD" w:rsidP="00C37652">
            <w:pPr>
              <w:spacing w:line="240" w:lineRule="auto"/>
              <w:jc w:val="center"/>
              <w:rPr>
                <w:rFonts w:cs="Times New Roman"/>
                <w:szCs w:val="24"/>
              </w:rPr>
            </w:pPr>
            <w:r>
              <w:rPr>
                <w:rFonts w:cs="Times New Roman"/>
                <w:szCs w:val="24"/>
              </w:rPr>
              <w:t>--</w:t>
            </w:r>
          </w:p>
        </w:tc>
        <w:tc>
          <w:tcPr>
            <w:tcW w:w="1460" w:type="dxa"/>
            <w:tcBorders>
              <w:top w:val="single" w:sz="4" w:space="0" w:color="auto"/>
              <w:bottom w:val="double" w:sz="4" w:space="0" w:color="auto"/>
            </w:tcBorders>
            <w:shd w:val="clear" w:color="auto" w:fill="auto"/>
            <w:noWrap/>
            <w:vAlign w:val="center"/>
          </w:tcPr>
          <w:p w14:paraId="282721E8" w14:textId="77777777" w:rsidR="00221DFD" w:rsidRPr="00EF03BC" w:rsidRDefault="00221DFD" w:rsidP="00C37652">
            <w:pPr>
              <w:spacing w:line="240" w:lineRule="auto"/>
              <w:jc w:val="center"/>
              <w:rPr>
                <w:rFonts w:cs="Times New Roman"/>
                <w:szCs w:val="24"/>
              </w:rPr>
            </w:pPr>
            <w:r>
              <w:rPr>
                <w:rFonts w:cs="Times New Roman"/>
                <w:szCs w:val="24"/>
              </w:rPr>
              <w:t>--</w:t>
            </w:r>
          </w:p>
        </w:tc>
        <w:tc>
          <w:tcPr>
            <w:tcW w:w="1355" w:type="dxa"/>
            <w:tcBorders>
              <w:top w:val="single" w:sz="4" w:space="0" w:color="auto"/>
              <w:bottom w:val="double" w:sz="4" w:space="0" w:color="auto"/>
            </w:tcBorders>
            <w:vAlign w:val="center"/>
          </w:tcPr>
          <w:p w14:paraId="004C84CC" w14:textId="77777777" w:rsidR="00221DFD" w:rsidRPr="00EF03BC" w:rsidRDefault="00221DFD" w:rsidP="00C37652">
            <w:pPr>
              <w:spacing w:line="240" w:lineRule="auto"/>
              <w:jc w:val="center"/>
              <w:rPr>
                <w:rFonts w:cs="Times New Roman"/>
                <w:szCs w:val="24"/>
              </w:rPr>
            </w:pPr>
            <w:r w:rsidRPr="00AC53C3">
              <w:rPr>
                <w:rFonts w:cs="Times New Roman"/>
                <w:szCs w:val="24"/>
              </w:rPr>
              <w:t>0.873</w:t>
            </w:r>
          </w:p>
        </w:tc>
        <w:tc>
          <w:tcPr>
            <w:tcW w:w="1435" w:type="dxa"/>
            <w:tcBorders>
              <w:top w:val="single" w:sz="4" w:space="0" w:color="auto"/>
              <w:bottom w:val="double" w:sz="4" w:space="0" w:color="auto"/>
            </w:tcBorders>
            <w:vAlign w:val="center"/>
          </w:tcPr>
          <w:p w14:paraId="128F2C7A" w14:textId="77777777" w:rsidR="00221DFD" w:rsidRPr="00EF03BC" w:rsidRDefault="00221DFD" w:rsidP="00C37652">
            <w:pPr>
              <w:spacing w:line="240" w:lineRule="auto"/>
              <w:jc w:val="center"/>
              <w:rPr>
                <w:rFonts w:cs="Times New Roman"/>
                <w:szCs w:val="24"/>
              </w:rPr>
            </w:pPr>
            <w:r w:rsidRPr="00AC53C3">
              <w:rPr>
                <w:rFonts w:cs="Times New Roman"/>
                <w:szCs w:val="24"/>
              </w:rPr>
              <w:t>20.934</w:t>
            </w:r>
          </w:p>
        </w:tc>
      </w:tr>
      <w:tr w:rsidR="00221DFD" w:rsidRPr="00EF03BC" w14:paraId="5794E73F" w14:textId="77777777" w:rsidTr="00C01C0C">
        <w:trPr>
          <w:trHeight w:val="300"/>
        </w:trPr>
        <w:tc>
          <w:tcPr>
            <w:tcW w:w="9165" w:type="dxa"/>
            <w:gridSpan w:val="5"/>
            <w:tcBorders>
              <w:top w:val="double" w:sz="4" w:space="0" w:color="auto"/>
              <w:bottom w:val="double" w:sz="4" w:space="0" w:color="auto"/>
            </w:tcBorders>
            <w:shd w:val="clear" w:color="auto" w:fill="auto"/>
            <w:noWrap/>
            <w:vAlign w:val="bottom"/>
          </w:tcPr>
          <w:p w14:paraId="28942D27" w14:textId="77777777" w:rsidR="00221DFD" w:rsidRPr="00EF03BC" w:rsidRDefault="00221DFD" w:rsidP="00C37652">
            <w:pPr>
              <w:spacing w:line="240" w:lineRule="auto"/>
              <w:jc w:val="left"/>
              <w:rPr>
                <w:rFonts w:cs="Times New Roman"/>
                <w:szCs w:val="24"/>
              </w:rPr>
            </w:pPr>
            <w:r>
              <w:rPr>
                <w:rFonts w:cs="Times New Roman"/>
                <w:b/>
                <w:bCs/>
                <w:szCs w:val="24"/>
              </w:rPr>
              <w:lastRenderedPageBreak/>
              <w:t xml:space="preserve">Variables </w:t>
            </w:r>
            <w:r w:rsidRPr="00EF03BC">
              <w:rPr>
                <w:rFonts w:cs="Times New Roman"/>
                <w:b/>
                <w:bCs/>
                <w:szCs w:val="24"/>
              </w:rPr>
              <w:t>form NHTS</w:t>
            </w:r>
          </w:p>
        </w:tc>
      </w:tr>
      <w:tr w:rsidR="00221DFD" w:rsidRPr="00EF03BC" w14:paraId="0009F254" w14:textId="77777777" w:rsidTr="00C01C0C">
        <w:trPr>
          <w:trHeight w:val="300"/>
        </w:trPr>
        <w:tc>
          <w:tcPr>
            <w:tcW w:w="3765" w:type="dxa"/>
            <w:tcBorders>
              <w:top w:val="double" w:sz="4" w:space="0" w:color="auto"/>
              <w:bottom w:val="single" w:sz="4" w:space="0" w:color="auto"/>
            </w:tcBorders>
            <w:shd w:val="clear" w:color="auto" w:fill="auto"/>
            <w:noWrap/>
            <w:vAlign w:val="bottom"/>
            <w:hideMark/>
          </w:tcPr>
          <w:p w14:paraId="06784324" w14:textId="77777777" w:rsidR="00221DFD" w:rsidRPr="00EF03BC" w:rsidRDefault="00221DFD" w:rsidP="00C37652">
            <w:pPr>
              <w:spacing w:line="240" w:lineRule="auto"/>
              <w:ind w:left="240"/>
              <w:jc w:val="left"/>
              <w:rPr>
                <w:rFonts w:cs="Times New Roman"/>
                <w:color w:val="000000"/>
                <w:szCs w:val="24"/>
              </w:rPr>
            </w:pPr>
            <w:r>
              <w:rPr>
                <w:rFonts w:cs="Times New Roman"/>
                <w:color w:val="000000"/>
                <w:szCs w:val="24"/>
              </w:rPr>
              <w:t>Population Density</w:t>
            </w:r>
          </w:p>
        </w:tc>
        <w:tc>
          <w:tcPr>
            <w:tcW w:w="1150" w:type="dxa"/>
            <w:tcBorders>
              <w:top w:val="double" w:sz="4" w:space="0" w:color="auto"/>
              <w:bottom w:val="single" w:sz="4" w:space="0" w:color="auto"/>
            </w:tcBorders>
            <w:shd w:val="clear" w:color="auto" w:fill="auto"/>
            <w:noWrap/>
            <w:vAlign w:val="bottom"/>
          </w:tcPr>
          <w:p w14:paraId="4EB47B18" w14:textId="77777777" w:rsidR="00221DFD" w:rsidRPr="00EF03BC" w:rsidRDefault="00221DFD" w:rsidP="00C37652">
            <w:pPr>
              <w:spacing w:line="240" w:lineRule="auto"/>
              <w:jc w:val="left"/>
              <w:rPr>
                <w:rFonts w:cs="Times New Roman"/>
                <w:szCs w:val="24"/>
              </w:rPr>
            </w:pPr>
          </w:p>
        </w:tc>
        <w:tc>
          <w:tcPr>
            <w:tcW w:w="1460" w:type="dxa"/>
            <w:tcBorders>
              <w:top w:val="double" w:sz="4" w:space="0" w:color="auto"/>
              <w:bottom w:val="single" w:sz="4" w:space="0" w:color="auto"/>
            </w:tcBorders>
            <w:shd w:val="clear" w:color="auto" w:fill="auto"/>
            <w:noWrap/>
            <w:vAlign w:val="bottom"/>
          </w:tcPr>
          <w:p w14:paraId="7CE31857" w14:textId="77777777" w:rsidR="00221DFD" w:rsidRPr="00EF03BC" w:rsidRDefault="00221DFD" w:rsidP="00C37652">
            <w:pPr>
              <w:spacing w:line="240" w:lineRule="auto"/>
              <w:jc w:val="left"/>
              <w:rPr>
                <w:rFonts w:cs="Times New Roman"/>
                <w:szCs w:val="24"/>
              </w:rPr>
            </w:pPr>
          </w:p>
        </w:tc>
        <w:tc>
          <w:tcPr>
            <w:tcW w:w="1355" w:type="dxa"/>
            <w:tcBorders>
              <w:top w:val="double" w:sz="4" w:space="0" w:color="auto"/>
              <w:bottom w:val="single" w:sz="4" w:space="0" w:color="auto"/>
            </w:tcBorders>
          </w:tcPr>
          <w:p w14:paraId="2F29AC88" w14:textId="77777777" w:rsidR="00221DFD" w:rsidRPr="00EF03BC" w:rsidRDefault="00221DFD" w:rsidP="00C37652">
            <w:pPr>
              <w:spacing w:line="240" w:lineRule="auto"/>
              <w:jc w:val="left"/>
              <w:rPr>
                <w:rFonts w:cs="Times New Roman"/>
                <w:szCs w:val="24"/>
              </w:rPr>
            </w:pPr>
          </w:p>
        </w:tc>
        <w:tc>
          <w:tcPr>
            <w:tcW w:w="1435" w:type="dxa"/>
            <w:tcBorders>
              <w:top w:val="double" w:sz="4" w:space="0" w:color="auto"/>
              <w:bottom w:val="single" w:sz="4" w:space="0" w:color="auto"/>
            </w:tcBorders>
          </w:tcPr>
          <w:p w14:paraId="6CCC98AC" w14:textId="77777777" w:rsidR="00221DFD" w:rsidRPr="00EF03BC" w:rsidRDefault="00221DFD" w:rsidP="00C37652">
            <w:pPr>
              <w:spacing w:line="240" w:lineRule="auto"/>
              <w:jc w:val="left"/>
              <w:rPr>
                <w:rFonts w:cs="Times New Roman"/>
                <w:szCs w:val="24"/>
              </w:rPr>
            </w:pPr>
          </w:p>
        </w:tc>
      </w:tr>
      <w:tr w:rsidR="00221DFD" w:rsidRPr="00EF03BC" w14:paraId="771B123D" w14:textId="77777777" w:rsidTr="00FF2B31">
        <w:trPr>
          <w:trHeight w:val="300"/>
        </w:trPr>
        <w:tc>
          <w:tcPr>
            <w:tcW w:w="3765" w:type="dxa"/>
            <w:tcBorders>
              <w:top w:val="single" w:sz="4" w:space="0" w:color="auto"/>
            </w:tcBorders>
            <w:shd w:val="clear" w:color="auto" w:fill="auto"/>
            <w:noWrap/>
            <w:vAlign w:val="bottom"/>
          </w:tcPr>
          <w:p w14:paraId="18A22D1A" w14:textId="77777777" w:rsidR="00221DFD" w:rsidRDefault="00221DFD" w:rsidP="00C37652">
            <w:pPr>
              <w:spacing w:line="240" w:lineRule="auto"/>
              <w:ind w:left="600"/>
              <w:jc w:val="left"/>
              <w:rPr>
                <w:rFonts w:cs="Times New Roman"/>
                <w:color w:val="000000"/>
                <w:szCs w:val="24"/>
              </w:rPr>
            </w:pPr>
            <w:r>
              <w:rPr>
                <w:rFonts w:cs="Times New Roman"/>
                <w:color w:val="000000"/>
                <w:szCs w:val="24"/>
              </w:rPr>
              <w:t>Medium</w:t>
            </w:r>
          </w:p>
        </w:tc>
        <w:tc>
          <w:tcPr>
            <w:tcW w:w="1150" w:type="dxa"/>
            <w:tcBorders>
              <w:top w:val="single" w:sz="4" w:space="0" w:color="auto"/>
            </w:tcBorders>
            <w:shd w:val="clear" w:color="auto" w:fill="auto"/>
            <w:noWrap/>
            <w:vAlign w:val="center"/>
          </w:tcPr>
          <w:p w14:paraId="20A8F4D9" w14:textId="77777777" w:rsidR="00221DFD" w:rsidRPr="00EF03BC" w:rsidRDefault="00221DFD" w:rsidP="00C37652">
            <w:pPr>
              <w:spacing w:line="240" w:lineRule="auto"/>
              <w:jc w:val="center"/>
              <w:rPr>
                <w:rFonts w:cs="Times New Roman"/>
                <w:szCs w:val="24"/>
              </w:rPr>
            </w:pPr>
            <w:r w:rsidRPr="00396C60">
              <w:rPr>
                <w:rFonts w:cs="Times New Roman"/>
                <w:szCs w:val="24"/>
              </w:rPr>
              <w:t>-0.385</w:t>
            </w:r>
          </w:p>
        </w:tc>
        <w:tc>
          <w:tcPr>
            <w:tcW w:w="1460" w:type="dxa"/>
            <w:tcBorders>
              <w:top w:val="single" w:sz="4" w:space="0" w:color="auto"/>
            </w:tcBorders>
            <w:shd w:val="clear" w:color="auto" w:fill="auto"/>
            <w:noWrap/>
            <w:vAlign w:val="center"/>
          </w:tcPr>
          <w:p w14:paraId="0CC5E506" w14:textId="77777777" w:rsidR="00221DFD" w:rsidRPr="00EF03BC" w:rsidRDefault="00221DFD" w:rsidP="00C37652">
            <w:pPr>
              <w:spacing w:line="240" w:lineRule="auto"/>
              <w:jc w:val="center"/>
              <w:rPr>
                <w:rFonts w:cs="Times New Roman"/>
                <w:szCs w:val="24"/>
              </w:rPr>
            </w:pPr>
            <w:r w:rsidRPr="00396C60">
              <w:rPr>
                <w:rFonts w:cs="Times New Roman"/>
                <w:szCs w:val="24"/>
              </w:rPr>
              <w:t>-12.197</w:t>
            </w:r>
          </w:p>
        </w:tc>
        <w:tc>
          <w:tcPr>
            <w:tcW w:w="1355" w:type="dxa"/>
            <w:tcBorders>
              <w:top w:val="single" w:sz="4" w:space="0" w:color="auto"/>
            </w:tcBorders>
            <w:vAlign w:val="center"/>
          </w:tcPr>
          <w:p w14:paraId="1EEFBD52" w14:textId="77777777" w:rsidR="00221DFD" w:rsidRPr="00EF03BC" w:rsidRDefault="00221DFD" w:rsidP="00C37652">
            <w:pPr>
              <w:spacing w:line="240" w:lineRule="auto"/>
              <w:jc w:val="center"/>
              <w:rPr>
                <w:rFonts w:cs="Times New Roman"/>
                <w:szCs w:val="24"/>
              </w:rPr>
            </w:pPr>
            <w:r w:rsidRPr="00193B4E">
              <w:rPr>
                <w:rFonts w:cs="Times New Roman"/>
                <w:szCs w:val="24"/>
              </w:rPr>
              <w:t>--</w:t>
            </w:r>
          </w:p>
        </w:tc>
        <w:tc>
          <w:tcPr>
            <w:tcW w:w="1435" w:type="dxa"/>
            <w:tcBorders>
              <w:top w:val="single" w:sz="4" w:space="0" w:color="auto"/>
            </w:tcBorders>
            <w:vAlign w:val="center"/>
          </w:tcPr>
          <w:p w14:paraId="6E3EB7B8" w14:textId="77777777" w:rsidR="00221DFD" w:rsidRPr="00EF03BC" w:rsidRDefault="00221DFD" w:rsidP="00C37652">
            <w:pPr>
              <w:spacing w:line="240" w:lineRule="auto"/>
              <w:jc w:val="center"/>
              <w:rPr>
                <w:rFonts w:cs="Times New Roman"/>
                <w:szCs w:val="24"/>
              </w:rPr>
            </w:pPr>
            <w:r w:rsidRPr="00193B4E">
              <w:rPr>
                <w:rFonts w:cs="Times New Roman"/>
                <w:szCs w:val="24"/>
              </w:rPr>
              <w:t>--</w:t>
            </w:r>
          </w:p>
        </w:tc>
      </w:tr>
      <w:tr w:rsidR="00221DFD" w:rsidRPr="00EF03BC" w14:paraId="60AE4A57" w14:textId="77777777" w:rsidTr="00FF2B31">
        <w:trPr>
          <w:trHeight w:val="300"/>
        </w:trPr>
        <w:tc>
          <w:tcPr>
            <w:tcW w:w="3765" w:type="dxa"/>
            <w:shd w:val="clear" w:color="auto" w:fill="auto"/>
            <w:noWrap/>
            <w:vAlign w:val="bottom"/>
          </w:tcPr>
          <w:p w14:paraId="6497ACDD" w14:textId="77777777" w:rsidR="00221DFD" w:rsidRDefault="00221DFD" w:rsidP="00C37652">
            <w:pPr>
              <w:spacing w:line="240" w:lineRule="auto"/>
              <w:ind w:left="600"/>
              <w:jc w:val="left"/>
              <w:rPr>
                <w:rFonts w:cs="Times New Roman"/>
                <w:color w:val="000000"/>
                <w:szCs w:val="24"/>
              </w:rPr>
            </w:pPr>
            <w:r>
              <w:rPr>
                <w:rFonts w:cs="Times New Roman"/>
                <w:color w:val="000000"/>
                <w:szCs w:val="24"/>
              </w:rPr>
              <w:t>High</w:t>
            </w:r>
          </w:p>
        </w:tc>
        <w:tc>
          <w:tcPr>
            <w:tcW w:w="1150" w:type="dxa"/>
            <w:shd w:val="clear" w:color="auto" w:fill="auto"/>
            <w:noWrap/>
            <w:vAlign w:val="center"/>
          </w:tcPr>
          <w:p w14:paraId="29CF7A1F" w14:textId="77777777" w:rsidR="00221DFD" w:rsidRPr="00EF03BC" w:rsidRDefault="00221DFD" w:rsidP="00C37652">
            <w:pPr>
              <w:spacing w:line="240" w:lineRule="auto"/>
              <w:jc w:val="center"/>
              <w:rPr>
                <w:rFonts w:cs="Times New Roman"/>
                <w:szCs w:val="24"/>
              </w:rPr>
            </w:pPr>
            <w:r w:rsidRPr="00396C60">
              <w:rPr>
                <w:rFonts w:cs="Times New Roman"/>
                <w:szCs w:val="24"/>
              </w:rPr>
              <w:t>-0.631</w:t>
            </w:r>
          </w:p>
        </w:tc>
        <w:tc>
          <w:tcPr>
            <w:tcW w:w="1460" w:type="dxa"/>
            <w:shd w:val="clear" w:color="auto" w:fill="auto"/>
            <w:noWrap/>
            <w:vAlign w:val="center"/>
          </w:tcPr>
          <w:p w14:paraId="178CB6F4" w14:textId="77777777" w:rsidR="00221DFD" w:rsidRPr="00EF03BC" w:rsidRDefault="00221DFD" w:rsidP="00C37652">
            <w:pPr>
              <w:spacing w:line="240" w:lineRule="auto"/>
              <w:jc w:val="center"/>
              <w:rPr>
                <w:rFonts w:cs="Times New Roman"/>
                <w:szCs w:val="24"/>
              </w:rPr>
            </w:pPr>
            <w:r w:rsidRPr="00396C60">
              <w:rPr>
                <w:rFonts w:cs="Times New Roman"/>
                <w:szCs w:val="24"/>
              </w:rPr>
              <w:t>-16.792</w:t>
            </w:r>
          </w:p>
        </w:tc>
        <w:tc>
          <w:tcPr>
            <w:tcW w:w="1355" w:type="dxa"/>
            <w:vAlign w:val="center"/>
          </w:tcPr>
          <w:p w14:paraId="0C537141" w14:textId="77777777" w:rsidR="00221DFD" w:rsidRPr="00EF03BC" w:rsidRDefault="00221DFD" w:rsidP="00C37652">
            <w:pPr>
              <w:spacing w:line="240" w:lineRule="auto"/>
              <w:jc w:val="center"/>
              <w:rPr>
                <w:rFonts w:cs="Times New Roman"/>
                <w:szCs w:val="24"/>
              </w:rPr>
            </w:pPr>
            <w:r w:rsidRPr="00193B4E">
              <w:rPr>
                <w:rFonts w:cs="Times New Roman"/>
                <w:szCs w:val="24"/>
              </w:rPr>
              <w:t>--</w:t>
            </w:r>
          </w:p>
        </w:tc>
        <w:tc>
          <w:tcPr>
            <w:tcW w:w="1435" w:type="dxa"/>
            <w:vAlign w:val="center"/>
          </w:tcPr>
          <w:p w14:paraId="782C9071" w14:textId="77777777" w:rsidR="00221DFD" w:rsidRPr="00EF03BC" w:rsidRDefault="00221DFD" w:rsidP="00C37652">
            <w:pPr>
              <w:spacing w:line="240" w:lineRule="auto"/>
              <w:jc w:val="center"/>
              <w:rPr>
                <w:rFonts w:cs="Times New Roman"/>
                <w:szCs w:val="24"/>
              </w:rPr>
            </w:pPr>
            <w:r w:rsidRPr="00193B4E">
              <w:rPr>
                <w:rFonts w:cs="Times New Roman"/>
                <w:szCs w:val="24"/>
              </w:rPr>
              <w:t>--</w:t>
            </w:r>
          </w:p>
        </w:tc>
      </w:tr>
      <w:tr w:rsidR="00221DFD" w:rsidRPr="00EF03BC" w14:paraId="49665F5C" w14:textId="77777777" w:rsidTr="00FF2B31">
        <w:trPr>
          <w:trHeight w:val="300"/>
        </w:trPr>
        <w:tc>
          <w:tcPr>
            <w:tcW w:w="3765" w:type="dxa"/>
            <w:shd w:val="clear" w:color="auto" w:fill="auto"/>
            <w:noWrap/>
            <w:vAlign w:val="bottom"/>
            <w:hideMark/>
          </w:tcPr>
          <w:p w14:paraId="1966DF39"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Number of females in HH</w:t>
            </w:r>
          </w:p>
        </w:tc>
        <w:tc>
          <w:tcPr>
            <w:tcW w:w="1150" w:type="dxa"/>
            <w:shd w:val="clear" w:color="auto" w:fill="auto"/>
            <w:noWrap/>
            <w:vAlign w:val="center"/>
            <w:hideMark/>
          </w:tcPr>
          <w:p w14:paraId="1A8E4B9A" w14:textId="77777777" w:rsidR="00221DFD" w:rsidRPr="00EF03BC" w:rsidRDefault="00221DFD" w:rsidP="00C37652">
            <w:pPr>
              <w:spacing w:line="240" w:lineRule="auto"/>
              <w:jc w:val="center"/>
              <w:rPr>
                <w:rFonts w:cs="Times New Roman"/>
                <w:szCs w:val="24"/>
              </w:rPr>
            </w:pPr>
            <w:r w:rsidRPr="00396C60">
              <w:rPr>
                <w:rFonts w:cs="Times New Roman"/>
                <w:szCs w:val="24"/>
              </w:rPr>
              <w:t>0.069</w:t>
            </w:r>
          </w:p>
        </w:tc>
        <w:tc>
          <w:tcPr>
            <w:tcW w:w="1460" w:type="dxa"/>
            <w:shd w:val="clear" w:color="auto" w:fill="auto"/>
            <w:noWrap/>
            <w:vAlign w:val="center"/>
            <w:hideMark/>
          </w:tcPr>
          <w:p w14:paraId="5FF707C5" w14:textId="77777777" w:rsidR="00221DFD" w:rsidRPr="00EF03BC" w:rsidRDefault="00221DFD" w:rsidP="00C37652">
            <w:pPr>
              <w:spacing w:line="240" w:lineRule="auto"/>
              <w:jc w:val="center"/>
              <w:rPr>
                <w:rFonts w:cs="Times New Roman"/>
                <w:szCs w:val="24"/>
              </w:rPr>
            </w:pPr>
            <w:r w:rsidRPr="00396C60">
              <w:rPr>
                <w:rFonts w:cs="Times New Roman"/>
                <w:szCs w:val="24"/>
              </w:rPr>
              <w:t>2.588</w:t>
            </w:r>
          </w:p>
        </w:tc>
        <w:tc>
          <w:tcPr>
            <w:tcW w:w="1355" w:type="dxa"/>
            <w:vAlign w:val="center"/>
          </w:tcPr>
          <w:p w14:paraId="22F1EC95" w14:textId="77777777" w:rsidR="00221DFD" w:rsidRPr="00EF03BC" w:rsidRDefault="00221DFD" w:rsidP="00C37652">
            <w:pPr>
              <w:spacing w:line="240" w:lineRule="auto"/>
              <w:jc w:val="center"/>
              <w:rPr>
                <w:rFonts w:cs="Times New Roman"/>
                <w:szCs w:val="24"/>
              </w:rPr>
            </w:pPr>
            <w:r w:rsidRPr="00AC53C3">
              <w:rPr>
                <w:rFonts w:cs="Times New Roman"/>
                <w:szCs w:val="24"/>
              </w:rPr>
              <w:t>0.079</w:t>
            </w:r>
          </w:p>
        </w:tc>
        <w:tc>
          <w:tcPr>
            <w:tcW w:w="1435" w:type="dxa"/>
            <w:vAlign w:val="center"/>
          </w:tcPr>
          <w:p w14:paraId="360DC5B4" w14:textId="77777777" w:rsidR="00221DFD" w:rsidRPr="00EF03BC" w:rsidRDefault="00221DFD" w:rsidP="00C37652">
            <w:pPr>
              <w:spacing w:line="240" w:lineRule="auto"/>
              <w:jc w:val="center"/>
              <w:rPr>
                <w:rFonts w:cs="Times New Roman"/>
                <w:szCs w:val="24"/>
              </w:rPr>
            </w:pPr>
            <w:r w:rsidRPr="00AC53C3">
              <w:rPr>
                <w:rFonts w:cs="Times New Roman"/>
                <w:szCs w:val="24"/>
              </w:rPr>
              <w:t>2.842</w:t>
            </w:r>
          </w:p>
        </w:tc>
      </w:tr>
      <w:tr w:rsidR="00221DFD" w:rsidRPr="00EF03BC" w14:paraId="4CEB61DC" w14:textId="77777777" w:rsidTr="00FF2B31">
        <w:trPr>
          <w:trHeight w:val="300"/>
        </w:trPr>
        <w:tc>
          <w:tcPr>
            <w:tcW w:w="3765" w:type="dxa"/>
            <w:shd w:val="clear" w:color="auto" w:fill="auto"/>
            <w:noWrap/>
            <w:vAlign w:val="bottom"/>
            <w:hideMark/>
          </w:tcPr>
          <w:p w14:paraId="77652582"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 xml:space="preserve">Number of </w:t>
            </w:r>
            <w:r>
              <w:rPr>
                <w:rFonts w:cs="Times New Roman"/>
                <w:color w:val="000000"/>
                <w:szCs w:val="24"/>
              </w:rPr>
              <w:t xml:space="preserve">vehicles </w:t>
            </w:r>
            <w:r w:rsidRPr="00EF03BC">
              <w:rPr>
                <w:rFonts w:cs="Times New Roman"/>
                <w:color w:val="000000"/>
                <w:szCs w:val="24"/>
              </w:rPr>
              <w:t>in HH</w:t>
            </w:r>
          </w:p>
        </w:tc>
        <w:tc>
          <w:tcPr>
            <w:tcW w:w="1150" w:type="dxa"/>
            <w:shd w:val="clear" w:color="auto" w:fill="auto"/>
            <w:noWrap/>
            <w:vAlign w:val="center"/>
            <w:hideMark/>
          </w:tcPr>
          <w:p w14:paraId="7E5CEB4D" w14:textId="77777777" w:rsidR="00221DFD" w:rsidRPr="00EF03BC" w:rsidRDefault="00221DFD" w:rsidP="00C37652">
            <w:pPr>
              <w:spacing w:line="240" w:lineRule="auto"/>
              <w:jc w:val="center"/>
              <w:rPr>
                <w:rFonts w:cs="Times New Roman"/>
                <w:szCs w:val="24"/>
              </w:rPr>
            </w:pPr>
            <w:r w:rsidRPr="00396C60">
              <w:rPr>
                <w:rFonts w:cs="Times New Roman"/>
                <w:szCs w:val="24"/>
              </w:rPr>
              <w:t>0.041</w:t>
            </w:r>
          </w:p>
        </w:tc>
        <w:tc>
          <w:tcPr>
            <w:tcW w:w="1460" w:type="dxa"/>
            <w:shd w:val="clear" w:color="auto" w:fill="auto"/>
            <w:noWrap/>
            <w:vAlign w:val="center"/>
            <w:hideMark/>
          </w:tcPr>
          <w:p w14:paraId="4DBBEB92" w14:textId="77777777" w:rsidR="00221DFD" w:rsidRPr="00EF03BC" w:rsidRDefault="00221DFD" w:rsidP="00C37652">
            <w:pPr>
              <w:spacing w:line="240" w:lineRule="auto"/>
              <w:jc w:val="center"/>
              <w:rPr>
                <w:rFonts w:cs="Times New Roman"/>
                <w:szCs w:val="24"/>
              </w:rPr>
            </w:pPr>
            <w:r w:rsidRPr="00396C60">
              <w:rPr>
                <w:rFonts w:cs="Times New Roman"/>
                <w:szCs w:val="24"/>
              </w:rPr>
              <w:t>2.795</w:t>
            </w:r>
          </w:p>
        </w:tc>
        <w:tc>
          <w:tcPr>
            <w:tcW w:w="1355" w:type="dxa"/>
            <w:vAlign w:val="center"/>
          </w:tcPr>
          <w:p w14:paraId="3D4930F5" w14:textId="77777777" w:rsidR="00221DFD" w:rsidRPr="00EF03BC" w:rsidRDefault="00221DFD" w:rsidP="00C37652">
            <w:pPr>
              <w:spacing w:line="240" w:lineRule="auto"/>
              <w:jc w:val="center"/>
              <w:rPr>
                <w:rFonts w:cs="Times New Roman"/>
                <w:szCs w:val="24"/>
              </w:rPr>
            </w:pPr>
            <w:r w:rsidRPr="00BA0237">
              <w:rPr>
                <w:rFonts w:cs="Times New Roman"/>
                <w:szCs w:val="24"/>
              </w:rPr>
              <w:t>--</w:t>
            </w:r>
          </w:p>
        </w:tc>
        <w:tc>
          <w:tcPr>
            <w:tcW w:w="1435" w:type="dxa"/>
            <w:vAlign w:val="center"/>
          </w:tcPr>
          <w:p w14:paraId="3BE7F694" w14:textId="77777777" w:rsidR="00221DFD" w:rsidRPr="00EF03BC" w:rsidRDefault="00221DFD" w:rsidP="00C37652">
            <w:pPr>
              <w:spacing w:line="240" w:lineRule="auto"/>
              <w:jc w:val="center"/>
              <w:rPr>
                <w:rFonts w:cs="Times New Roman"/>
                <w:szCs w:val="24"/>
              </w:rPr>
            </w:pPr>
            <w:r w:rsidRPr="00BA0237">
              <w:rPr>
                <w:rFonts w:cs="Times New Roman"/>
                <w:szCs w:val="24"/>
              </w:rPr>
              <w:t>--</w:t>
            </w:r>
          </w:p>
        </w:tc>
      </w:tr>
      <w:tr w:rsidR="00221DFD" w:rsidRPr="00EF03BC" w14:paraId="3823ACDD" w14:textId="77777777" w:rsidTr="00FF2B31">
        <w:trPr>
          <w:trHeight w:val="300"/>
        </w:trPr>
        <w:tc>
          <w:tcPr>
            <w:tcW w:w="3765" w:type="dxa"/>
            <w:shd w:val="clear" w:color="auto" w:fill="auto"/>
            <w:noWrap/>
            <w:vAlign w:val="bottom"/>
          </w:tcPr>
          <w:p w14:paraId="7D160371" w14:textId="77777777" w:rsidR="00221DFD" w:rsidRPr="00EF03BC" w:rsidRDefault="00221DFD" w:rsidP="00C37652">
            <w:pPr>
              <w:spacing w:line="240" w:lineRule="auto"/>
              <w:ind w:left="240"/>
              <w:jc w:val="left"/>
              <w:rPr>
                <w:rFonts w:cs="Times New Roman"/>
                <w:color w:val="000000"/>
                <w:szCs w:val="24"/>
              </w:rPr>
            </w:pPr>
            <w:r w:rsidRPr="00EF03BC">
              <w:rPr>
                <w:rFonts w:cs="Times New Roman"/>
                <w:color w:val="000000"/>
                <w:szCs w:val="24"/>
              </w:rPr>
              <w:t xml:space="preserve">Number of </w:t>
            </w:r>
            <w:r>
              <w:rPr>
                <w:rFonts w:cs="Times New Roman"/>
                <w:color w:val="000000"/>
                <w:szCs w:val="24"/>
              </w:rPr>
              <w:t xml:space="preserve">drivers </w:t>
            </w:r>
            <w:r w:rsidRPr="00EF03BC">
              <w:rPr>
                <w:rFonts w:cs="Times New Roman"/>
                <w:color w:val="000000"/>
                <w:szCs w:val="24"/>
              </w:rPr>
              <w:t>in HH</w:t>
            </w:r>
          </w:p>
        </w:tc>
        <w:tc>
          <w:tcPr>
            <w:tcW w:w="1150" w:type="dxa"/>
            <w:shd w:val="clear" w:color="auto" w:fill="auto"/>
            <w:noWrap/>
            <w:vAlign w:val="center"/>
          </w:tcPr>
          <w:p w14:paraId="508F140A" w14:textId="77777777" w:rsidR="00221DFD" w:rsidRPr="00396C60" w:rsidRDefault="00221DFD" w:rsidP="00C37652">
            <w:pPr>
              <w:spacing w:line="240" w:lineRule="auto"/>
              <w:jc w:val="center"/>
              <w:rPr>
                <w:rFonts w:cs="Times New Roman"/>
                <w:szCs w:val="24"/>
              </w:rPr>
            </w:pPr>
            <w:r w:rsidRPr="00BA0237">
              <w:rPr>
                <w:rFonts w:cs="Times New Roman"/>
                <w:szCs w:val="24"/>
              </w:rPr>
              <w:t>--</w:t>
            </w:r>
          </w:p>
        </w:tc>
        <w:tc>
          <w:tcPr>
            <w:tcW w:w="1460" w:type="dxa"/>
            <w:shd w:val="clear" w:color="auto" w:fill="auto"/>
            <w:noWrap/>
            <w:vAlign w:val="center"/>
          </w:tcPr>
          <w:p w14:paraId="1C00A591" w14:textId="77777777" w:rsidR="00221DFD" w:rsidRPr="00396C60" w:rsidRDefault="00221DFD" w:rsidP="00C37652">
            <w:pPr>
              <w:spacing w:line="240" w:lineRule="auto"/>
              <w:jc w:val="center"/>
              <w:rPr>
                <w:rFonts w:cs="Times New Roman"/>
                <w:szCs w:val="24"/>
              </w:rPr>
            </w:pPr>
            <w:r w:rsidRPr="00BA0237">
              <w:rPr>
                <w:rFonts w:cs="Times New Roman"/>
                <w:szCs w:val="24"/>
              </w:rPr>
              <w:t>--</w:t>
            </w:r>
          </w:p>
        </w:tc>
        <w:tc>
          <w:tcPr>
            <w:tcW w:w="1355" w:type="dxa"/>
            <w:vAlign w:val="center"/>
          </w:tcPr>
          <w:p w14:paraId="5FDC6EA9" w14:textId="77777777" w:rsidR="00221DFD" w:rsidRPr="00E064D8" w:rsidRDefault="00221DFD" w:rsidP="00C37652">
            <w:pPr>
              <w:spacing w:line="240" w:lineRule="auto"/>
              <w:jc w:val="center"/>
              <w:rPr>
                <w:rFonts w:cs="Times New Roman"/>
                <w:szCs w:val="24"/>
              </w:rPr>
            </w:pPr>
            <w:r w:rsidRPr="00AC53C3">
              <w:rPr>
                <w:rFonts w:cs="Times New Roman"/>
                <w:szCs w:val="24"/>
              </w:rPr>
              <w:t>-0.047</w:t>
            </w:r>
          </w:p>
        </w:tc>
        <w:tc>
          <w:tcPr>
            <w:tcW w:w="1435" w:type="dxa"/>
            <w:vAlign w:val="center"/>
          </w:tcPr>
          <w:p w14:paraId="268E3212" w14:textId="77777777" w:rsidR="00221DFD" w:rsidRPr="00E064D8" w:rsidRDefault="00221DFD" w:rsidP="00C37652">
            <w:pPr>
              <w:spacing w:line="240" w:lineRule="auto"/>
              <w:jc w:val="center"/>
              <w:rPr>
                <w:rFonts w:cs="Times New Roman"/>
                <w:szCs w:val="24"/>
              </w:rPr>
            </w:pPr>
            <w:r w:rsidRPr="00AC53C3">
              <w:rPr>
                <w:rFonts w:cs="Times New Roman"/>
                <w:szCs w:val="24"/>
              </w:rPr>
              <w:t>-1.807</w:t>
            </w:r>
          </w:p>
        </w:tc>
      </w:tr>
      <w:tr w:rsidR="00221DFD" w:rsidRPr="00EF03BC" w14:paraId="2898541B" w14:textId="77777777" w:rsidTr="00FF2B31">
        <w:trPr>
          <w:trHeight w:val="300"/>
        </w:trPr>
        <w:tc>
          <w:tcPr>
            <w:tcW w:w="3765" w:type="dxa"/>
            <w:shd w:val="clear" w:color="auto" w:fill="auto"/>
            <w:noWrap/>
            <w:vAlign w:val="bottom"/>
            <w:hideMark/>
          </w:tcPr>
          <w:p w14:paraId="4BAB6956" w14:textId="77777777" w:rsidR="00221DFD" w:rsidRPr="00EF03BC" w:rsidRDefault="00221DFD" w:rsidP="00C37652">
            <w:pPr>
              <w:spacing w:line="240" w:lineRule="auto"/>
              <w:ind w:left="240"/>
              <w:jc w:val="left"/>
              <w:rPr>
                <w:rFonts w:cs="Times New Roman"/>
                <w:color w:val="000000"/>
                <w:szCs w:val="24"/>
              </w:rPr>
            </w:pPr>
            <w:r>
              <w:rPr>
                <w:rFonts w:cs="Times New Roman"/>
                <w:color w:val="000000"/>
                <w:szCs w:val="24"/>
              </w:rPr>
              <w:t xml:space="preserve">Mean age of HH members </w:t>
            </w:r>
          </w:p>
        </w:tc>
        <w:tc>
          <w:tcPr>
            <w:tcW w:w="1150" w:type="dxa"/>
            <w:shd w:val="clear" w:color="auto" w:fill="auto"/>
            <w:noWrap/>
            <w:vAlign w:val="center"/>
            <w:hideMark/>
          </w:tcPr>
          <w:p w14:paraId="09F4D3EC" w14:textId="77777777" w:rsidR="00221DFD" w:rsidRPr="00EF03BC" w:rsidRDefault="00221DFD" w:rsidP="00C37652">
            <w:pPr>
              <w:spacing w:line="240" w:lineRule="auto"/>
              <w:jc w:val="center"/>
              <w:rPr>
                <w:rFonts w:cs="Times New Roman"/>
                <w:szCs w:val="24"/>
              </w:rPr>
            </w:pPr>
            <w:r w:rsidRPr="00396C60">
              <w:rPr>
                <w:rFonts w:cs="Times New Roman"/>
                <w:szCs w:val="24"/>
              </w:rPr>
              <w:t>-0.005</w:t>
            </w:r>
          </w:p>
        </w:tc>
        <w:tc>
          <w:tcPr>
            <w:tcW w:w="1460" w:type="dxa"/>
            <w:shd w:val="clear" w:color="auto" w:fill="auto"/>
            <w:noWrap/>
            <w:vAlign w:val="center"/>
            <w:hideMark/>
          </w:tcPr>
          <w:p w14:paraId="1072C9BF" w14:textId="77777777" w:rsidR="00221DFD" w:rsidRPr="00EF03BC" w:rsidRDefault="00221DFD" w:rsidP="00C37652">
            <w:pPr>
              <w:spacing w:line="240" w:lineRule="auto"/>
              <w:jc w:val="center"/>
              <w:rPr>
                <w:rFonts w:cs="Times New Roman"/>
                <w:szCs w:val="24"/>
              </w:rPr>
            </w:pPr>
            <w:r w:rsidRPr="00396C60">
              <w:rPr>
                <w:rFonts w:cs="Times New Roman"/>
                <w:szCs w:val="24"/>
              </w:rPr>
              <w:t>-5.176</w:t>
            </w:r>
          </w:p>
        </w:tc>
        <w:tc>
          <w:tcPr>
            <w:tcW w:w="1355" w:type="dxa"/>
            <w:vAlign w:val="center"/>
          </w:tcPr>
          <w:p w14:paraId="1EB26307" w14:textId="77777777" w:rsidR="00221DFD" w:rsidRPr="00EF03BC" w:rsidRDefault="00221DFD" w:rsidP="00C37652">
            <w:pPr>
              <w:spacing w:line="240" w:lineRule="auto"/>
              <w:jc w:val="center"/>
              <w:rPr>
                <w:rFonts w:cs="Times New Roman"/>
                <w:szCs w:val="24"/>
              </w:rPr>
            </w:pPr>
            <w:r w:rsidRPr="00BA0237">
              <w:rPr>
                <w:rFonts w:cs="Times New Roman"/>
                <w:szCs w:val="24"/>
              </w:rPr>
              <w:t>--</w:t>
            </w:r>
          </w:p>
        </w:tc>
        <w:tc>
          <w:tcPr>
            <w:tcW w:w="1435" w:type="dxa"/>
            <w:vAlign w:val="center"/>
          </w:tcPr>
          <w:p w14:paraId="3C8DD7B0" w14:textId="77777777" w:rsidR="00221DFD" w:rsidRPr="00EF03BC" w:rsidRDefault="00221DFD" w:rsidP="00C37652">
            <w:pPr>
              <w:spacing w:line="240" w:lineRule="auto"/>
              <w:jc w:val="center"/>
              <w:rPr>
                <w:rFonts w:cs="Times New Roman"/>
                <w:szCs w:val="24"/>
              </w:rPr>
            </w:pPr>
            <w:r w:rsidRPr="00BA0237">
              <w:rPr>
                <w:rFonts w:cs="Times New Roman"/>
                <w:szCs w:val="24"/>
              </w:rPr>
              <w:t>--</w:t>
            </w:r>
          </w:p>
        </w:tc>
      </w:tr>
      <w:tr w:rsidR="00221DFD" w:rsidRPr="00EF03BC" w14:paraId="2183A855" w14:textId="77777777" w:rsidTr="00FF2B31">
        <w:trPr>
          <w:trHeight w:val="300"/>
        </w:trPr>
        <w:tc>
          <w:tcPr>
            <w:tcW w:w="3765" w:type="dxa"/>
            <w:shd w:val="clear" w:color="auto" w:fill="auto"/>
            <w:noWrap/>
            <w:vAlign w:val="bottom"/>
          </w:tcPr>
          <w:p w14:paraId="76DF4920" w14:textId="77777777" w:rsidR="00221DFD" w:rsidRDefault="00221DFD" w:rsidP="00C37652">
            <w:pPr>
              <w:spacing w:line="240" w:lineRule="auto"/>
              <w:ind w:left="240"/>
              <w:jc w:val="left"/>
              <w:rPr>
                <w:rFonts w:cs="Times New Roman"/>
                <w:color w:val="000000"/>
                <w:szCs w:val="24"/>
              </w:rPr>
            </w:pPr>
            <w:r>
              <w:rPr>
                <w:rFonts w:cs="Times New Roman"/>
                <w:color w:val="000000"/>
                <w:szCs w:val="24"/>
              </w:rPr>
              <w:t>HH average annual miles</w:t>
            </w:r>
          </w:p>
        </w:tc>
        <w:tc>
          <w:tcPr>
            <w:tcW w:w="1150" w:type="dxa"/>
            <w:shd w:val="clear" w:color="auto" w:fill="auto"/>
            <w:noWrap/>
            <w:vAlign w:val="center"/>
          </w:tcPr>
          <w:p w14:paraId="6F054F1A" w14:textId="77777777" w:rsidR="00221DFD" w:rsidRPr="00396C60" w:rsidRDefault="00221DFD" w:rsidP="00C37652">
            <w:pPr>
              <w:spacing w:line="240" w:lineRule="auto"/>
              <w:jc w:val="center"/>
              <w:rPr>
                <w:rFonts w:cs="Times New Roman"/>
                <w:szCs w:val="24"/>
              </w:rPr>
            </w:pPr>
            <w:r w:rsidRPr="004A05D8">
              <w:rPr>
                <w:rFonts w:cs="Times New Roman"/>
                <w:szCs w:val="24"/>
              </w:rPr>
              <w:t>--</w:t>
            </w:r>
          </w:p>
        </w:tc>
        <w:tc>
          <w:tcPr>
            <w:tcW w:w="1460" w:type="dxa"/>
            <w:shd w:val="clear" w:color="auto" w:fill="auto"/>
            <w:noWrap/>
            <w:vAlign w:val="center"/>
          </w:tcPr>
          <w:p w14:paraId="39B889AA" w14:textId="77777777" w:rsidR="00221DFD" w:rsidRPr="00396C60" w:rsidRDefault="00221DFD" w:rsidP="00C37652">
            <w:pPr>
              <w:spacing w:line="240" w:lineRule="auto"/>
              <w:jc w:val="center"/>
              <w:rPr>
                <w:rFonts w:cs="Times New Roman"/>
                <w:szCs w:val="24"/>
              </w:rPr>
            </w:pPr>
            <w:r w:rsidRPr="004A05D8">
              <w:rPr>
                <w:rFonts w:cs="Times New Roman"/>
                <w:szCs w:val="24"/>
              </w:rPr>
              <w:t>--</w:t>
            </w:r>
          </w:p>
        </w:tc>
        <w:tc>
          <w:tcPr>
            <w:tcW w:w="1355" w:type="dxa"/>
            <w:vAlign w:val="center"/>
          </w:tcPr>
          <w:p w14:paraId="778603EA" w14:textId="77777777" w:rsidR="00221DFD" w:rsidRPr="00EF03BC" w:rsidRDefault="00221DFD" w:rsidP="00C37652">
            <w:pPr>
              <w:spacing w:line="240" w:lineRule="auto"/>
              <w:jc w:val="center"/>
              <w:rPr>
                <w:rFonts w:cs="Times New Roman"/>
                <w:szCs w:val="24"/>
              </w:rPr>
            </w:pPr>
            <w:r w:rsidRPr="00AC53C3">
              <w:rPr>
                <w:rFonts w:cs="Times New Roman"/>
                <w:szCs w:val="24"/>
              </w:rPr>
              <w:t>0.401</w:t>
            </w:r>
          </w:p>
        </w:tc>
        <w:tc>
          <w:tcPr>
            <w:tcW w:w="1435" w:type="dxa"/>
            <w:vAlign w:val="center"/>
          </w:tcPr>
          <w:p w14:paraId="6B511AF2" w14:textId="77777777" w:rsidR="00221DFD" w:rsidRPr="00EF03BC" w:rsidRDefault="00221DFD" w:rsidP="00C37652">
            <w:pPr>
              <w:spacing w:line="240" w:lineRule="auto"/>
              <w:jc w:val="center"/>
              <w:rPr>
                <w:rFonts w:cs="Times New Roman"/>
                <w:szCs w:val="24"/>
              </w:rPr>
            </w:pPr>
            <w:r w:rsidRPr="00AC53C3">
              <w:rPr>
                <w:rFonts w:cs="Times New Roman"/>
                <w:szCs w:val="24"/>
              </w:rPr>
              <w:t>92.361</w:t>
            </w:r>
          </w:p>
        </w:tc>
      </w:tr>
      <w:tr w:rsidR="00221DFD" w:rsidRPr="00EF03BC" w14:paraId="4CBA57A9" w14:textId="77777777" w:rsidTr="00FF2B31">
        <w:trPr>
          <w:trHeight w:val="300"/>
        </w:trPr>
        <w:tc>
          <w:tcPr>
            <w:tcW w:w="3765" w:type="dxa"/>
            <w:shd w:val="clear" w:color="auto" w:fill="auto"/>
            <w:noWrap/>
            <w:vAlign w:val="bottom"/>
            <w:hideMark/>
          </w:tcPr>
          <w:p w14:paraId="52DD8671" w14:textId="77777777" w:rsidR="00221DFD" w:rsidRPr="00EF03BC" w:rsidRDefault="00221DFD" w:rsidP="00C37652">
            <w:pPr>
              <w:spacing w:line="240" w:lineRule="auto"/>
              <w:jc w:val="left"/>
              <w:rPr>
                <w:rFonts w:cs="Times New Roman"/>
                <w:szCs w:val="24"/>
              </w:rPr>
            </w:pPr>
            <w:r w:rsidRPr="00EF03BC">
              <w:rPr>
                <w:rFonts w:cs="Times New Roman"/>
                <w:szCs w:val="24"/>
              </w:rPr>
              <w:t>scale</w:t>
            </w:r>
          </w:p>
        </w:tc>
        <w:tc>
          <w:tcPr>
            <w:tcW w:w="1150" w:type="dxa"/>
            <w:shd w:val="clear" w:color="auto" w:fill="auto"/>
            <w:noWrap/>
            <w:vAlign w:val="center"/>
            <w:hideMark/>
          </w:tcPr>
          <w:p w14:paraId="177B746C" w14:textId="77777777" w:rsidR="00221DFD" w:rsidRPr="00EF03BC" w:rsidRDefault="00221DFD" w:rsidP="00C37652">
            <w:pPr>
              <w:spacing w:line="240" w:lineRule="auto"/>
              <w:jc w:val="center"/>
              <w:rPr>
                <w:rFonts w:cs="Times New Roman"/>
                <w:szCs w:val="24"/>
              </w:rPr>
            </w:pPr>
            <w:r w:rsidRPr="00310057">
              <w:rPr>
                <w:rFonts w:cs="Times New Roman"/>
                <w:szCs w:val="24"/>
              </w:rPr>
              <w:t>0.430</w:t>
            </w:r>
          </w:p>
        </w:tc>
        <w:tc>
          <w:tcPr>
            <w:tcW w:w="1460" w:type="dxa"/>
            <w:shd w:val="clear" w:color="auto" w:fill="auto"/>
            <w:noWrap/>
            <w:vAlign w:val="center"/>
            <w:hideMark/>
          </w:tcPr>
          <w:p w14:paraId="762DFEC4" w14:textId="77777777" w:rsidR="00221DFD" w:rsidRPr="00EF03BC" w:rsidRDefault="00221DFD" w:rsidP="00C37652">
            <w:pPr>
              <w:spacing w:line="240" w:lineRule="auto"/>
              <w:jc w:val="center"/>
              <w:rPr>
                <w:rFonts w:cs="Times New Roman"/>
                <w:szCs w:val="24"/>
              </w:rPr>
            </w:pPr>
            <w:r w:rsidRPr="00310057">
              <w:rPr>
                <w:rFonts w:cs="Times New Roman"/>
                <w:szCs w:val="24"/>
              </w:rPr>
              <w:t>51.838</w:t>
            </w:r>
          </w:p>
        </w:tc>
        <w:tc>
          <w:tcPr>
            <w:tcW w:w="1355" w:type="dxa"/>
            <w:vAlign w:val="center"/>
          </w:tcPr>
          <w:p w14:paraId="5D93937F" w14:textId="77777777" w:rsidR="00221DFD" w:rsidRPr="00EF03BC" w:rsidRDefault="00221DFD" w:rsidP="00C37652">
            <w:pPr>
              <w:spacing w:line="240" w:lineRule="auto"/>
              <w:jc w:val="center"/>
              <w:rPr>
                <w:rFonts w:cs="Times New Roman"/>
                <w:szCs w:val="24"/>
              </w:rPr>
            </w:pPr>
            <w:r w:rsidRPr="00AC53C3">
              <w:rPr>
                <w:rFonts w:cs="Times New Roman"/>
                <w:szCs w:val="24"/>
              </w:rPr>
              <w:t>0.553</w:t>
            </w:r>
          </w:p>
        </w:tc>
        <w:tc>
          <w:tcPr>
            <w:tcW w:w="1435" w:type="dxa"/>
            <w:vAlign w:val="center"/>
          </w:tcPr>
          <w:p w14:paraId="018E575E" w14:textId="77777777" w:rsidR="00221DFD" w:rsidRPr="00EF03BC" w:rsidRDefault="00221DFD" w:rsidP="00C37652">
            <w:pPr>
              <w:spacing w:line="240" w:lineRule="auto"/>
              <w:jc w:val="center"/>
              <w:rPr>
                <w:rFonts w:cs="Times New Roman"/>
                <w:szCs w:val="24"/>
              </w:rPr>
            </w:pPr>
            <w:r w:rsidRPr="00AC53C3">
              <w:rPr>
                <w:rFonts w:cs="Times New Roman"/>
                <w:szCs w:val="24"/>
              </w:rPr>
              <w:t>61.640</w:t>
            </w:r>
          </w:p>
        </w:tc>
      </w:tr>
      <w:tr w:rsidR="00221DFD" w:rsidRPr="00EF03BC" w14:paraId="5E422AE0" w14:textId="77777777" w:rsidTr="00A67542">
        <w:trPr>
          <w:trHeight w:val="300"/>
        </w:trPr>
        <w:tc>
          <w:tcPr>
            <w:tcW w:w="9165" w:type="dxa"/>
            <w:gridSpan w:val="5"/>
            <w:shd w:val="clear" w:color="auto" w:fill="auto"/>
            <w:noWrap/>
            <w:vAlign w:val="bottom"/>
          </w:tcPr>
          <w:p w14:paraId="23C1D62C" w14:textId="77777777" w:rsidR="00221DFD" w:rsidRPr="00EF03BC" w:rsidRDefault="00221DFD" w:rsidP="00C37652">
            <w:pPr>
              <w:spacing w:line="240" w:lineRule="auto"/>
              <w:jc w:val="left"/>
              <w:rPr>
                <w:rFonts w:cs="Times New Roman"/>
                <w:szCs w:val="24"/>
              </w:rPr>
            </w:pPr>
            <w:r w:rsidRPr="00EF03BC">
              <w:rPr>
                <w:rFonts w:cs="Times New Roman"/>
                <w:b/>
                <w:bCs/>
                <w:szCs w:val="24"/>
              </w:rPr>
              <w:t>Weight</w:t>
            </w:r>
            <w:r>
              <w:rPr>
                <w:rFonts w:cs="Times New Roman"/>
                <w:b/>
                <w:bCs/>
                <w:szCs w:val="24"/>
              </w:rPr>
              <w:t xml:space="preserve"> Component</w:t>
            </w:r>
          </w:p>
        </w:tc>
      </w:tr>
      <w:tr w:rsidR="00221DFD" w:rsidRPr="00EF03BC" w14:paraId="686A99A8" w14:textId="77777777" w:rsidTr="00FF2B31">
        <w:trPr>
          <w:trHeight w:val="300"/>
        </w:trPr>
        <w:tc>
          <w:tcPr>
            <w:tcW w:w="3765" w:type="dxa"/>
            <w:shd w:val="clear" w:color="auto" w:fill="auto"/>
            <w:noWrap/>
            <w:vAlign w:val="bottom"/>
          </w:tcPr>
          <w:p w14:paraId="2B73CBDC" w14:textId="77777777" w:rsidR="00221DFD" w:rsidRPr="00396C60" w:rsidRDefault="00221DFD" w:rsidP="00C37652">
            <w:pPr>
              <w:spacing w:line="240" w:lineRule="auto"/>
              <w:ind w:left="240"/>
              <w:jc w:val="left"/>
              <w:rPr>
                <w:rFonts w:cs="Times New Roman"/>
                <w:color w:val="000000"/>
                <w:szCs w:val="24"/>
              </w:rPr>
            </w:pPr>
            <w:r w:rsidRPr="00396C60">
              <w:rPr>
                <w:rFonts w:cs="Times New Roman"/>
                <w:color w:val="000000"/>
                <w:szCs w:val="24"/>
              </w:rPr>
              <w:t>HH member difference</w:t>
            </w:r>
          </w:p>
        </w:tc>
        <w:tc>
          <w:tcPr>
            <w:tcW w:w="1150" w:type="dxa"/>
            <w:shd w:val="clear" w:color="auto" w:fill="auto"/>
            <w:noWrap/>
            <w:vAlign w:val="center"/>
          </w:tcPr>
          <w:p w14:paraId="146093C3" w14:textId="77777777" w:rsidR="00221DFD" w:rsidRPr="00396C60" w:rsidRDefault="00221DFD" w:rsidP="00C37652">
            <w:pPr>
              <w:spacing w:line="240" w:lineRule="auto"/>
              <w:jc w:val="center"/>
              <w:rPr>
                <w:rFonts w:cs="Times New Roman"/>
                <w:szCs w:val="24"/>
              </w:rPr>
            </w:pPr>
            <w:r w:rsidRPr="00396C60">
              <w:rPr>
                <w:rFonts w:cs="Times New Roman"/>
                <w:szCs w:val="24"/>
              </w:rPr>
              <w:t>-0.636</w:t>
            </w:r>
          </w:p>
        </w:tc>
        <w:tc>
          <w:tcPr>
            <w:tcW w:w="1460" w:type="dxa"/>
            <w:shd w:val="clear" w:color="auto" w:fill="auto"/>
            <w:noWrap/>
            <w:vAlign w:val="center"/>
          </w:tcPr>
          <w:p w14:paraId="58115556" w14:textId="77777777" w:rsidR="00221DFD" w:rsidRPr="00396C60" w:rsidRDefault="00221DFD" w:rsidP="00C37652">
            <w:pPr>
              <w:spacing w:line="240" w:lineRule="auto"/>
              <w:jc w:val="center"/>
              <w:rPr>
                <w:rFonts w:cs="Times New Roman"/>
                <w:szCs w:val="24"/>
              </w:rPr>
            </w:pPr>
            <w:r w:rsidRPr="00396C60">
              <w:rPr>
                <w:rFonts w:cs="Times New Roman"/>
                <w:szCs w:val="24"/>
              </w:rPr>
              <w:t>-5.196</w:t>
            </w:r>
          </w:p>
        </w:tc>
        <w:tc>
          <w:tcPr>
            <w:tcW w:w="1355" w:type="dxa"/>
            <w:vAlign w:val="center"/>
          </w:tcPr>
          <w:p w14:paraId="2C03B89B" w14:textId="77777777" w:rsidR="00221DFD" w:rsidRPr="00EF03BC" w:rsidRDefault="00221DFD" w:rsidP="00C37652">
            <w:pPr>
              <w:spacing w:line="240" w:lineRule="auto"/>
              <w:jc w:val="center"/>
              <w:rPr>
                <w:rFonts w:cs="Times New Roman"/>
                <w:szCs w:val="24"/>
              </w:rPr>
            </w:pPr>
            <w:r w:rsidRPr="00C6693C">
              <w:rPr>
                <w:rFonts w:cs="Times New Roman"/>
                <w:szCs w:val="24"/>
              </w:rPr>
              <w:t>--</w:t>
            </w:r>
          </w:p>
        </w:tc>
        <w:tc>
          <w:tcPr>
            <w:tcW w:w="1435" w:type="dxa"/>
            <w:vAlign w:val="center"/>
          </w:tcPr>
          <w:p w14:paraId="25CDEF85" w14:textId="77777777" w:rsidR="00221DFD" w:rsidRPr="00EF03BC" w:rsidRDefault="00221DFD" w:rsidP="00C37652">
            <w:pPr>
              <w:spacing w:line="240" w:lineRule="auto"/>
              <w:jc w:val="center"/>
              <w:rPr>
                <w:rFonts w:cs="Times New Roman"/>
                <w:szCs w:val="24"/>
              </w:rPr>
            </w:pPr>
            <w:r w:rsidRPr="00C6693C">
              <w:rPr>
                <w:rFonts w:cs="Times New Roman"/>
                <w:szCs w:val="24"/>
              </w:rPr>
              <w:t>--</w:t>
            </w:r>
          </w:p>
        </w:tc>
      </w:tr>
      <w:tr w:rsidR="00221DFD" w:rsidRPr="00EF03BC" w14:paraId="5A75AC36" w14:textId="77777777" w:rsidTr="00FF2B31">
        <w:trPr>
          <w:trHeight w:val="300"/>
        </w:trPr>
        <w:tc>
          <w:tcPr>
            <w:tcW w:w="3765" w:type="dxa"/>
            <w:shd w:val="clear" w:color="auto" w:fill="auto"/>
            <w:noWrap/>
            <w:vAlign w:val="bottom"/>
          </w:tcPr>
          <w:p w14:paraId="5C95A1CA" w14:textId="77777777" w:rsidR="00221DFD" w:rsidRPr="00396C60" w:rsidRDefault="00221DFD" w:rsidP="00C37652">
            <w:pPr>
              <w:spacing w:line="240" w:lineRule="auto"/>
              <w:ind w:left="240"/>
              <w:jc w:val="left"/>
              <w:rPr>
                <w:rFonts w:cs="Times New Roman"/>
                <w:color w:val="000000"/>
                <w:szCs w:val="24"/>
              </w:rPr>
            </w:pPr>
            <w:r w:rsidRPr="00396C60">
              <w:rPr>
                <w:rFonts w:cs="Times New Roman"/>
                <w:color w:val="000000"/>
                <w:szCs w:val="24"/>
              </w:rPr>
              <w:t>No. of adult differences</w:t>
            </w:r>
          </w:p>
        </w:tc>
        <w:tc>
          <w:tcPr>
            <w:tcW w:w="1150" w:type="dxa"/>
            <w:shd w:val="clear" w:color="auto" w:fill="auto"/>
            <w:noWrap/>
            <w:vAlign w:val="center"/>
          </w:tcPr>
          <w:p w14:paraId="736CA177" w14:textId="77777777" w:rsidR="00221DFD" w:rsidRPr="00396C60" w:rsidRDefault="00221DFD" w:rsidP="00C37652">
            <w:pPr>
              <w:spacing w:line="240" w:lineRule="auto"/>
              <w:jc w:val="center"/>
              <w:rPr>
                <w:rFonts w:cs="Times New Roman"/>
                <w:szCs w:val="24"/>
              </w:rPr>
            </w:pPr>
            <w:r w:rsidRPr="00396C60">
              <w:rPr>
                <w:rFonts w:cs="Times New Roman"/>
                <w:szCs w:val="24"/>
              </w:rPr>
              <w:t>-0.543</w:t>
            </w:r>
          </w:p>
        </w:tc>
        <w:tc>
          <w:tcPr>
            <w:tcW w:w="1460" w:type="dxa"/>
            <w:shd w:val="clear" w:color="auto" w:fill="auto"/>
            <w:noWrap/>
            <w:vAlign w:val="center"/>
          </w:tcPr>
          <w:p w14:paraId="297B3F54" w14:textId="77777777" w:rsidR="00221DFD" w:rsidRPr="00396C60" w:rsidRDefault="00221DFD" w:rsidP="00C37652">
            <w:pPr>
              <w:spacing w:line="240" w:lineRule="auto"/>
              <w:jc w:val="center"/>
              <w:rPr>
                <w:rFonts w:cs="Times New Roman"/>
                <w:szCs w:val="24"/>
              </w:rPr>
            </w:pPr>
            <w:r w:rsidRPr="00396C60">
              <w:rPr>
                <w:rFonts w:cs="Times New Roman"/>
                <w:szCs w:val="24"/>
              </w:rPr>
              <w:t>-2.785</w:t>
            </w:r>
          </w:p>
        </w:tc>
        <w:tc>
          <w:tcPr>
            <w:tcW w:w="1355" w:type="dxa"/>
            <w:vAlign w:val="center"/>
          </w:tcPr>
          <w:p w14:paraId="78393EF9" w14:textId="77777777" w:rsidR="00221DFD" w:rsidRPr="00EF03BC" w:rsidRDefault="00221DFD" w:rsidP="00C37652">
            <w:pPr>
              <w:spacing w:line="240" w:lineRule="auto"/>
              <w:jc w:val="center"/>
              <w:rPr>
                <w:rFonts w:cs="Times New Roman"/>
                <w:szCs w:val="24"/>
              </w:rPr>
            </w:pPr>
            <w:r w:rsidRPr="00AC53C3">
              <w:rPr>
                <w:rFonts w:cs="Times New Roman"/>
                <w:szCs w:val="24"/>
              </w:rPr>
              <w:t>-0.180</w:t>
            </w:r>
          </w:p>
        </w:tc>
        <w:tc>
          <w:tcPr>
            <w:tcW w:w="1435" w:type="dxa"/>
            <w:vAlign w:val="center"/>
          </w:tcPr>
          <w:p w14:paraId="4731BEE8" w14:textId="77777777" w:rsidR="00221DFD" w:rsidRPr="00EF03BC" w:rsidRDefault="00221DFD" w:rsidP="00C37652">
            <w:pPr>
              <w:spacing w:line="240" w:lineRule="auto"/>
              <w:jc w:val="center"/>
              <w:rPr>
                <w:rFonts w:cs="Times New Roman"/>
                <w:szCs w:val="24"/>
              </w:rPr>
            </w:pPr>
            <w:r w:rsidRPr="00AC53C3">
              <w:rPr>
                <w:rFonts w:cs="Times New Roman"/>
                <w:szCs w:val="24"/>
              </w:rPr>
              <w:t>-2.137</w:t>
            </w:r>
          </w:p>
        </w:tc>
      </w:tr>
      <w:tr w:rsidR="00221DFD" w:rsidRPr="00EF03BC" w14:paraId="7ED1A027" w14:textId="77777777" w:rsidTr="00FF2B31">
        <w:trPr>
          <w:trHeight w:val="323"/>
        </w:trPr>
        <w:tc>
          <w:tcPr>
            <w:tcW w:w="3765" w:type="dxa"/>
            <w:shd w:val="clear" w:color="auto" w:fill="auto"/>
            <w:noWrap/>
            <w:vAlign w:val="center"/>
          </w:tcPr>
          <w:p w14:paraId="6F5C7CF7" w14:textId="77777777" w:rsidR="00221DFD" w:rsidRPr="00396C60" w:rsidRDefault="00221DFD" w:rsidP="00C37652">
            <w:pPr>
              <w:spacing w:line="240" w:lineRule="auto"/>
              <w:ind w:left="240"/>
              <w:jc w:val="left"/>
              <w:rPr>
                <w:rFonts w:cs="Times New Roman"/>
                <w:color w:val="000000"/>
                <w:szCs w:val="24"/>
              </w:rPr>
            </w:pPr>
            <w:r>
              <w:rPr>
                <w:rFonts w:cs="Times New Roman"/>
                <w:color w:val="000000"/>
                <w:szCs w:val="24"/>
              </w:rPr>
              <w:t>HH race match</w:t>
            </w:r>
          </w:p>
        </w:tc>
        <w:tc>
          <w:tcPr>
            <w:tcW w:w="1150" w:type="dxa"/>
            <w:shd w:val="clear" w:color="auto" w:fill="auto"/>
            <w:noWrap/>
            <w:vAlign w:val="center"/>
          </w:tcPr>
          <w:p w14:paraId="4A32F868" w14:textId="77777777" w:rsidR="00221DFD" w:rsidRDefault="00221DFD" w:rsidP="00C37652">
            <w:pPr>
              <w:spacing w:line="240" w:lineRule="auto"/>
              <w:jc w:val="center"/>
              <w:rPr>
                <w:rFonts w:ascii="Calibri" w:hAnsi="Calibri" w:cs="Calibri"/>
                <w:color w:val="000000"/>
                <w:sz w:val="22"/>
              </w:rPr>
            </w:pPr>
            <w:r w:rsidRPr="00210191">
              <w:rPr>
                <w:rFonts w:cs="Times New Roman"/>
                <w:szCs w:val="24"/>
              </w:rPr>
              <w:t>--</w:t>
            </w:r>
          </w:p>
        </w:tc>
        <w:tc>
          <w:tcPr>
            <w:tcW w:w="1460" w:type="dxa"/>
            <w:shd w:val="clear" w:color="auto" w:fill="auto"/>
            <w:noWrap/>
            <w:vAlign w:val="center"/>
          </w:tcPr>
          <w:p w14:paraId="20707E2E" w14:textId="77777777" w:rsidR="00221DFD" w:rsidRDefault="00221DFD" w:rsidP="00C37652">
            <w:pPr>
              <w:spacing w:line="240" w:lineRule="auto"/>
              <w:jc w:val="center"/>
              <w:rPr>
                <w:rFonts w:ascii="Calibri" w:hAnsi="Calibri" w:cs="Calibri"/>
                <w:color w:val="000000"/>
                <w:sz w:val="22"/>
              </w:rPr>
            </w:pPr>
            <w:r w:rsidRPr="00210191">
              <w:rPr>
                <w:rFonts w:cs="Times New Roman"/>
                <w:szCs w:val="24"/>
              </w:rPr>
              <w:t>--</w:t>
            </w:r>
          </w:p>
        </w:tc>
        <w:tc>
          <w:tcPr>
            <w:tcW w:w="1355" w:type="dxa"/>
            <w:vAlign w:val="center"/>
          </w:tcPr>
          <w:p w14:paraId="16A580BB" w14:textId="77777777" w:rsidR="00221DFD" w:rsidRPr="00EF03BC" w:rsidRDefault="00221DFD" w:rsidP="00C37652">
            <w:pPr>
              <w:spacing w:line="240" w:lineRule="auto"/>
              <w:jc w:val="center"/>
              <w:rPr>
                <w:rFonts w:cs="Times New Roman"/>
                <w:szCs w:val="24"/>
              </w:rPr>
            </w:pPr>
            <w:r w:rsidRPr="00AC53C3">
              <w:rPr>
                <w:rFonts w:cs="Times New Roman"/>
                <w:szCs w:val="24"/>
              </w:rPr>
              <w:t>0.397</w:t>
            </w:r>
          </w:p>
        </w:tc>
        <w:tc>
          <w:tcPr>
            <w:tcW w:w="1435" w:type="dxa"/>
            <w:vAlign w:val="center"/>
          </w:tcPr>
          <w:p w14:paraId="66484D7D" w14:textId="77777777" w:rsidR="00221DFD" w:rsidRPr="00EF03BC" w:rsidRDefault="00221DFD" w:rsidP="00C37652">
            <w:pPr>
              <w:spacing w:line="240" w:lineRule="auto"/>
              <w:jc w:val="center"/>
              <w:rPr>
                <w:rFonts w:cs="Times New Roman"/>
                <w:szCs w:val="24"/>
              </w:rPr>
            </w:pPr>
            <w:r w:rsidRPr="00AC53C3">
              <w:rPr>
                <w:rFonts w:cs="Times New Roman"/>
                <w:szCs w:val="24"/>
              </w:rPr>
              <w:t>3.164</w:t>
            </w:r>
          </w:p>
        </w:tc>
      </w:tr>
    </w:tbl>
    <w:p w14:paraId="4AFA0003" w14:textId="77777777" w:rsidR="00221DFD" w:rsidRDefault="00221DFD" w:rsidP="00221DFD"/>
    <w:p w14:paraId="5A68C32E" w14:textId="78FFA4D2" w:rsidR="00221DFD" w:rsidRDefault="00ED2BCB" w:rsidP="000B26F3">
      <w:pPr>
        <w:pStyle w:val="Heading3"/>
      </w:pPr>
      <w:r>
        <w:t xml:space="preserve">6.2.1 </w:t>
      </w:r>
      <w:r w:rsidR="004F5837" w:rsidRPr="000B26F3">
        <w:t>RECS variables</w:t>
      </w:r>
    </w:p>
    <w:p w14:paraId="2F635C62" w14:textId="0C6C7CB3" w:rsidR="00D234A8" w:rsidRDefault="00D234A8" w:rsidP="00D234A8">
      <w:r w:rsidRPr="00D234A8">
        <w:t xml:space="preserve">From our analysis, we find significant impacts of several RECS variables on energy consumption, as indicated in Table 1. To better illustrate these impacts for the readers, we present our findings graphically in Figure </w:t>
      </w:r>
      <w:r w:rsidR="000A299F">
        <w:t>7</w:t>
      </w:r>
      <w:r w:rsidRPr="00D234A8">
        <w:t>.</w:t>
      </w:r>
    </w:p>
    <w:p w14:paraId="155FAA5B" w14:textId="77777777" w:rsidR="00FB172E" w:rsidRDefault="00FB172E" w:rsidP="00D234A8"/>
    <w:p w14:paraId="2F9A83A9" w14:textId="77777777" w:rsidR="00FB172E" w:rsidRDefault="00FB172E" w:rsidP="00FB172E">
      <w:r w:rsidRPr="000B26F3">
        <w:rPr>
          <w:u w:val="single"/>
        </w:rPr>
        <w:t>Constant</w:t>
      </w:r>
      <w:r>
        <w:t xml:space="preserve">: The constant parameter does not have any interpretation after incorporating other variables. </w:t>
      </w:r>
    </w:p>
    <w:p w14:paraId="2415509C" w14:textId="42F0942F" w:rsidR="00E25D47" w:rsidRDefault="00E25D47" w:rsidP="00E25D47">
      <w:r w:rsidRPr="000B26F3">
        <w:rPr>
          <w:u w:val="single"/>
        </w:rPr>
        <w:t>HH Characteristics</w:t>
      </w:r>
      <w:r>
        <w:t xml:space="preserve">: In terms of household characteristics, several attributes influence the usage of electricity and natural gas in residential dwellings. For instance, housing unit size (total square footage) reveals a positive impact on energy mix indicating a higher usage of electricity and natural gas in larger houses. This is intuitive as capital costs for installation for non-electricity sources might be high for smaller houses. On the other hand, in bigger houses, a mix of energy sources might be economical in the long run (see </w:t>
      </w:r>
      <w:r>
        <w:fldChar w:fldCharType="begin" w:fldLock="1"/>
      </w:r>
      <w:r>
        <w:instrText>ADDIN CSL_CITATION {"citationItems":[{"id":"ITEM-1","itemData":{"DOI":"10.1016/j.jeem.2007.10.001","ISSN":"00950696","abstract":"Using cross-sectional data, this paper estimates a national energy model of fuel choice by both households and firms. Consumers in warmer locations rely relatively more heavily on electricity rather than natural gas, oil, and other fuels. They also use more energy. Climate change will likely increase electricity consumption on cooling but reduce the use of other fuels for heating. On net, American energy expenditures will likely increase, resulting in welfare damages that increase as temperatures rise. For example, if the US warms by 5 °C by 2100, we predict annual welfare losses of $57 billion. © 2007 Elsevier Inc. All rights reserved.","author":[{"dropping-particle":"","family":"Mansur","given":"Erin T.","non-dropping-particle":"","parse-names":false,"suffix":""},{"dropping-particle":"","family":"Mendelsohn","given":"Robert","non-dropping-particle":"","parse-names":false,"suffix":""},{"dropping-particle":"","family":"Morrison","given":"Wendy","non-dropping-particle":"","parse-names":false,"suffix":""}],"container-title":"Journal of Environmental Economics and Management","id":"ITEM-1","issue":"2","issued":{"date-parts":[["2008","3","1"]]},"page":"175-193","publisher":"Academic Press","title":"Climate change adaptation: A study of fuel choice and consumption in the US energy sector","type":"article-journal","volume":"55"},"uris":["http://www.mendeley.com/documents/?uuid=c90dc6b8-4f55-3075-83c9-b4957b252557"]},{"id":"ITEM-2","itemData":{"DOI":"10.1016/j.jocm.2021.100283","ISSN":"17555345","abstract":"This paper proposes simple and computationally efficient forecasting algorithms for random utility maximization-based multiple discrete-continuous (MDC) choice models with additively separable utility functions, such as the Multiple Discrete-Continuous Extreme Value (MDCEV) model. The algorithms build on simple yet insightful, analytical explorations with the Karush Kuhn-Tucker (KKT) conditions of optimality that shed new light on the properties of the models. The MDCEV model and the forecasting algorithms proposed in this paper are applied to a household-level energy consumption dataset to analyze residential energy consumption patterns in the United States. Further, simulation experiments are undertaken to assess the computational performance of the proposed and existing KT demand forecasting algorithms for a range of choice situations with small and large choice sets.","author":[{"dropping-particle":"","family":"Pinjari","given":"Abdul Rawoof","non-dropping-particle":"","parse-names":false,"suffix":""},{"dropping-particle":"","family":"Bhat","given":"Chandra","non-dropping-particle":"","parse-names":false,"suffix":""}],"container-title":"Journal of Choice Modelling","id":"ITEM-2","issued":{"date-parts":[["2021"]]},"title":"Computationally efficient forecasting procedures for Kuhn-Tucker consumer demand model systems: Application to residential energy consumption analysis","type":"article-journal","volume":"39"},"uris":["http://www.mendeley.com/documents/?uuid=2b16aecb-fbfd-3829-9516-90d784fd9982"]}],"mendeley":{"formattedCitation":"(&lt;i&gt;30&lt;/i&gt;, &lt;i&gt;32&lt;/i&gt;)","plainTextFormattedCitation":"(30, 32)","previouslyFormattedCitation":"(&lt;i&gt;30&lt;/i&gt;, &lt;i&gt;32&lt;/i&gt;)"},"properties":{"noteIndex":0},"schema":"https://github.com/citation-style-language/schema/raw/master/csl-citation.json"}</w:instrText>
      </w:r>
      <w:r>
        <w:fldChar w:fldCharType="separate"/>
      </w:r>
      <w:r w:rsidRPr="00806D47">
        <w:rPr>
          <w:noProof/>
        </w:rPr>
        <w:t>(</w:t>
      </w:r>
      <w:r w:rsidRPr="00806D47">
        <w:rPr>
          <w:i/>
          <w:noProof/>
        </w:rPr>
        <w:t>30</w:t>
      </w:r>
      <w:r w:rsidRPr="00806D47">
        <w:rPr>
          <w:noProof/>
        </w:rPr>
        <w:t xml:space="preserve">, </w:t>
      </w:r>
      <w:r w:rsidRPr="00806D47">
        <w:rPr>
          <w:i/>
          <w:noProof/>
        </w:rPr>
        <w:t>32</w:t>
      </w:r>
      <w:r w:rsidRPr="00806D47">
        <w:rPr>
          <w:noProof/>
        </w:rPr>
        <w:t>)</w:t>
      </w:r>
      <w:r>
        <w:fldChar w:fldCharType="end"/>
      </w:r>
      <w:r>
        <w:t xml:space="preserve"> for similar results). </w:t>
      </w:r>
    </w:p>
    <w:p w14:paraId="2BB9719F" w14:textId="78B4AA42" w:rsidR="00E25D47" w:rsidRPr="00E25D47" w:rsidRDefault="00E25D47" w:rsidP="00E25D47">
      <w:pPr>
        <w:rPr>
          <w:lang w:val="en-US"/>
        </w:rPr>
      </w:pPr>
      <w:r w:rsidRPr="00E25D47">
        <w:rPr>
          <w:noProof/>
          <w:lang w:val="en-US"/>
        </w:rPr>
        <w:lastRenderedPageBreak/>
        <w:drawing>
          <wp:inline distT="0" distB="0" distL="0" distR="0" wp14:anchorId="5C07A107" wp14:editId="34E60E05">
            <wp:extent cx="5943600" cy="6362700"/>
            <wp:effectExtent l="0" t="0" r="0" b="0"/>
            <wp:docPr id="19348345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362700"/>
                    </a:xfrm>
                    <a:prstGeom prst="rect">
                      <a:avLst/>
                    </a:prstGeom>
                    <a:noFill/>
                    <a:ln>
                      <a:noFill/>
                    </a:ln>
                  </pic:spPr>
                </pic:pic>
              </a:graphicData>
            </a:graphic>
          </wp:inline>
        </w:drawing>
      </w:r>
    </w:p>
    <w:p w14:paraId="3EF9A493" w14:textId="71D41068" w:rsidR="00221DFD" w:rsidRDefault="00E25D47" w:rsidP="00FE3030">
      <w:pPr>
        <w:ind w:firstLine="720"/>
        <w:rPr>
          <w:rFonts w:cs="Times New Roman"/>
          <w:szCs w:val="24"/>
        </w:rPr>
      </w:pPr>
      <w:r>
        <w:t xml:space="preserve">Further, higher number of bedrooms contribute to increased energy usage (both electricity and natural gas) as indicated by the positive coefficient in Table 2. In addition to the bedrooms, we also explored the impact of total number of rooms in a household on energy demand. Interestingly, we find that the variable has a significant positive impact on electricity consumption </w:t>
      </w:r>
      <w:r>
        <w:lastRenderedPageBreak/>
        <w:t xml:space="preserve">only. The reader would note that though all these variable seem to be influenced by each other, we did not find any significant correlation across them and thus are simultaneously considered in the model. </w:t>
      </w:r>
      <w:r w:rsidR="00221DFD">
        <w:t xml:space="preserve">The results associated with housing type show significant </w:t>
      </w:r>
      <w:r w:rsidR="00C013F3">
        <w:t xml:space="preserve">impact </w:t>
      </w:r>
      <w:r w:rsidR="00221DFD">
        <w:t xml:space="preserve">on energy usage. </w:t>
      </w:r>
      <w:r w:rsidR="00D4728D">
        <w:t>Electricity</w:t>
      </w:r>
      <w:r w:rsidR="00221DFD">
        <w:t xml:space="preserve"> consumption is likely to be higher in mobile homes while a lower</w:t>
      </w:r>
      <w:r w:rsidR="00D4728D">
        <w:t xml:space="preserve"> usage</w:t>
      </w:r>
      <w:r w:rsidR="00221DFD">
        <w:t xml:space="preserve"> of natural gas usage is observed in apartments. </w:t>
      </w:r>
      <w:r w:rsidR="00221DFD">
        <w:rPr>
          <w:rFonts w:cs="Times New Roman"/>
          <w:szCs w:val="24"/>
        </w:rPr>
        <w:t xml:space="preserve">The results  perhaps </w:t>
      </w:r>
      <w:r w:rsidR="00953FFC">
        <w:rPr>
          <w:rFonts w:cs="Times New Roman"/>
          <w:szCs w:val="24"/>
        </w:rPr>
        <w:t xml:space="preserve">indicate </w:t>
      </w:r>
      <w:r w:rsidR="00221DFD">
        <w:rPr>
          <w:rFonts w:cs="Times New Roman"/>
          <w:szCs w:val="24"/>
        </w:rPr>
        <w:t xml:space="preserve">inefficient cooling and heating in mobile homes resulting in increased electricity </w:t>
      </w:r>
      <w:r w:rsidR="00221DFD" w:rsidRPr="00731E7E">
        <w:rPr>
          <w:rFonts w:cs="Times New Roman"/>
          <w:szCs w:val="24"/>
        </w:rPr>
        <w:t xml:space="preserve">usage </w:t>
      </w:r>
      <w:r w:rsidR="00221DFD" w:rsidRPr="00731E7E">
        <w:rPr>
          <w:rFonts w:cs="Times New Roman"/>
          <w:szCs w:val="24"/>
        </w:rPr>
        <w:fldChar w:fldCharType="begin" w:fldLock="1"/>
      </w:r>
      <w:r w:rsidR="00D60DFA">
        <w:rPr>
          <w:rFonts w:cs="Times New Roman"/>
          <w:szCs w:val="24"/>
        </w:rPr>
        <w:instrText>ADDIN CSL_CITATION {"citationItems":[{"id":"ITEM-1","itemData":{"URL":"https://www.cbc.ca/news/canada/british-columbia/mobile-home-bc-hydro-report-1.5861458","accessed":{"date-parts":[["2021","7","26"]]},"author":[{"dropping-particle":"","family":"CBC News","given":"","non-dropping-particle":"","parse-names":false,"suffix":""}],"id":"ITEM-1","issued":{"date-parts":[["0"]]},"title":"Why mobile home residents are paying for more electricity | CBC News","type":"webpage"},"uris":["http://www.mendeley.com/documents/?uuid=6f99146d-1271-3bad-a19e-3894175ac464"]}],"mendeley":{"formattedCitation":"(&lt;i&gt;52&lt;/i&gt;)","plainTextFormattedCitation":"(52)","previouslyFormattedCitation":"(&lt;i&gt;52&lt;/i&gt;)"},"properties":{"noteIndex":0},"schema":"https://github.com/citation-style-language/schema/raw/master/csl-citation.json"}</w:instrText>
      </w:r>
      <w:r w:rsidR="00221DFD" w:rsidRPr="00731E7E">
        <w:rPr>
          <w:rFonts w:cs="Times New Roman"/>
          <w:szCs w:val="24"/>
        </w:rPr>
        <w:fldChar w:fldCharType="separate"/>
      </w:r>
      <w:r w:rsidR="00D60DFA" w:rsidRPr="00D60DFA">
        <w:rPr>
          <w:rFonts w:cs="Times New Roman"/>
          <w:noProof/>
          <w:szCs w:val="24"/>
        </w:rPr>
        <w:t>(</w:t>
      </w:r>
      <w:r w:rsidR="00D60DFA" w:rsidRPr="00D60DFA">
        <w:rPr>
          <w:rFonts w:cs="Times New Roman"/>
          <w:i/>
          <w:noProof/>
          <w:szCs w:val="24"/>
        </w:rPr>
        <w:t>52</w:t>
      </w:r>
      <w:r w:rsidR="00D60DFA" w:rsidRPr="00D60DFA">
        <w:rPr>
          <w:rFonts w:cs="Times New Roman"/>
          <w:noProof/>
          <w:szCs w:val="24"/>
        </w:rPr>
        <w:t>)</w:t>
      </w:r>
      <w:r w:rsidR="00221DFD" w:rsidRPr="00731E7E">
        <w:rPr>
          <w:rFonts w:cs="Times New Roman"/>
          <w:szCs w:val="24"/>
        </w:rPr>
        <w:fldChar w:fldCharType="end"/>
      </w:r>
      <w:r w:rsidR="00221DFD" w:rsidRPr="00731E7E">
        <w:rPr>
          <w:rFonts w:cs="Times New Roman"/>
          <w:szCs w:val="24"/>
        </w:rPr>
        <w:t>.</w:t>
      </w:r>
      <w:r w:rsidR="00221DFD">
        <w:rPr>
          <w:rFonts w:cs="Times New Roman"/>
          <w:szCs w:val="24"/>
        </w:rPr>
        <w:t xml:space="preserve"> Further, building construction period is also found to have a significant impact on energy consumption. </w:t>
      </w:r>
      <w:r w:rsidR="009E5187">
        <w:rPr>
          <w:rFonts w:cs="Times New Roman"/>
          <w:szCs w:val="24"/>
        </w:rPr>
        <w:t>Specifically, w</w:t>
      </w:r>
      <w:r w:rsidR="00221DFD">
        <w:rPr>
          <w:rFonts w:cs="Times New Roman"/>
          <w:szCs w:val="24"/>
        </w:rPr>
        <w:t xml:space="preserve">e find an increased electricity usage in houses constructed after 1980 relative to the older houses (before 1980) while the natural gas usage is gradually declining in newer houses (after year 2000) as indicated by the negative sign in </w:t>
      </w:r>
      <w:r w:rsidR="003050E0">
        <w:rPr>
          <w:rFonts w:cs="Times New Roman"/>
          <w:szCs w:val="24"/>
        </w:rPr>
        <w:t>T</w:t>
      </w:r>
      <w:r w:rsidR="00221DFD">
        <w:rPr>
          <w:rFonts w:cs="Times New Roman"/>
          <w:szCs w:val="24"/>
        </w:rPr>
        <w:t xml:space="preserve">able </w:t>
      </w:r>
      <w:r w:rsidR="00DC6E3B">
        <w:rPr>
          <w:rFonts w:cs="Times New Roman"/>
          <w:szCs w:val="24"/>
        </w:rPr>
        <w:t>2</w:t>
      </w:r>
      <w:r w:rsidR="00221DFD">
        <w:rPr>
          <w:rFonts w:cs="Times New Roman"/>
          <w:szCs w:val="24"/>
        </w:rPr>
        <w:t xml:space="preserve">. </w:t>
      </w:r>
      <w:r w:rsidR="008910D1">
        <w:rPr>
          <w:rFonts w:cs="Times New Roman"/>
          <w:szCs w:val="24"/>
        </w:rPr>
        <w:t xml:space="preserve">The result is consistent with the overall trend of </w:t>
      </w:r>
      <w:r w:rsidR="00016F84">
        <w:rPr>
          <w:rFonts w:cs="Times New Roman"/>
          <w:szCs w:val="24"/>
        </w:rPr>
        <w:t>n</w:t>
      </w:r>
      <w:r w:rsidR="008910D1">
        <w:rPr>
          <w:rFonts w:cs="Times New Roman"/>
          <w:szCs w:val="24"/>
        </w:rPr>
        <w:t xml:space="preserve">atural gas consumption in US. </w:t>
      </w:r>
      <w:r w:rsidR="00CF6CEC">
        <w:rPr>
          <w:rFonts w:cs="Times New Roman"/>
          <w:szCs w:val="24"/>
        </w:rPr>
        <w:t>Newer buildings are associated with improved insulation, building materials and efficient heating system</w:t>
      </w:r>
      <w:r w:rsidR="00016F84">
        <w:rPr>
          <w:rFonts w:cs="Times New Roman"/>
          <w:szCs w:val="24"/>
        </w:rPr>
        <w:t>s</w:t>
      </w:r>
      <w:r w:rsidR="00CF6CEC">
        <w:rPr>
          <w:rFonts w:cs="Times New Roman"/>
          <w:szCs w:val="24"/>
        </w:rPr>
        <w:t xml:space="preserve"> contribut</w:t>
      </w:r>
      <w:r w:rsidR="00016F84">
        <w:rPr>
          <w:rFonts w:cs="Times New Roman"/>
          <w:szCs w:val="24"/>
        </w:rPr>
        <w:t xml:space="preserve">ing </w:t>
      </w:r>
      <w:r w:rsidR="00CF6CEC">
        <w:rPr>
          <w:rFonts w:cs="Times New Roman"/>
          <w:szCs w:val="24"/>
        </w:rPr>
        <w:t xml:space="preserve">to </w:t>
      </w:r>
      <w:r w:rsidR="00016F84">
        <w:rPr>
          <w:rFonts w:cs="Times New Roman"/>
          <w:szCs w:val="24"/>
        </w:rPr>
        <w:t xml:space="preserve">lower benefits from employing </w:t>
      </w:r>
      <w:r w:rsidR="00CF6CEC">
        <w:rPr>
          <w:rFonts w:cs="Times New Roman"/>
          <w:szCs w:val="24"/>
        </w:rPr>
        <w:t xml:space="preserve">natural gas consumption </w:t>
      </w:r>
      <w:r w:rsidR="00016F84">
        <w:rPr>
          <w:rFonts w:cs="Times New Roman"/>
          <w:szCs w:val="24"/>
        </w:rPr>
        <w:t>compared to the benefits of natural gas in</w:t>
      </w:r>
      <w:r w:rsidR="00CF6CEC">
        <w:rPr>
          <w:rFonts w:cs="Times New Roman"/>
          <w:szCs w:val="24"/>
        </w:rPr>
        <w:t xml:space="preserve"> to older buildings</w:t>
      </w:r>
      <w:r w:rsidR="002B5993">
        <w:rPr>
          <w:rFonts w:cs="Times New Roman"/>
          <w:szCs w:val="24"/>
        </w:rPr>
        <w:t xml:space="preserve"> </w:t>
      </w:r>
      <w:r w:rsidR="002B5993">
        <w:rPr>
          <w:rFonts w:cs="Times New Roman"/>
          <w:szCs w:val="24"/>
        </w:rPr>
        <w:fldChar w:fldCharType="begin" w:fldLock="1"/>
      </w:r>
      <w:r w:rsidR="00D60DFA">
        <w:rPr>
          <w:rFonts w:cs="Times New Roman"/>
          <w:szCs w:val="24"/>
        </w:rPr>
        <w:instrText>ADDIN CSL_CITATION {"citationItems":[{"id":"ITEM-1","itemData":{"DOI":"10.1016/j.jocm.2021.100283","ISSN":"17555345","abstract":"This paper proposes simple and computationally efficient forecasting algorithms for random utility maximization-based multiple discrete-continuous (MDC) choice models with additively separable utility functions, such as the Multiple Discrete-Continuous Extreme Value (MDCEV) model. The algorithms build on simple yet insightful, analytical explorations with the Karush Kuhn-Tucker (KKT) conditions of optimality that shed new light on the properties of the models. The MDCEV model and the forecasting algorithms proposed in this paper are applied to a household-level energy consumption dataset to analyze residential energy consumption patterns in the United States. Further, simulation experiments are undertaken to assess the computational performance of the proposed and existing KT demand forecasting algorithms for a range of choice situations with small and large choice sets.","author":[{"dropping-particle":"","family":"Pinjari","given":"Abdul Rawoof","non-dropping-particle":"","parse-names":false,"suffix":""},{"dropping-particle":"","family":"Bhat","given":"Chandra","non-dropping-particle":"","parse-names":false,"suffix":""}],"container-title":"Journal of Choice Modelling","id":"ITEM-1","issued":{"date-parts":[["2021"]]},"title":"Computationally efficient forecasting procedures for Kuhn-Tucker consumer demand model systems: Application to residential energy consumption analysis","type":"article-journal","volume":"39"},"uris":["http://www.mendeley.com/documents/?uuid=2b16aecb-fbfd-3829-9516-90d784fd9982"]},{"id":"ITEM-2","itemData":{"DOI":"10.1038/ncomms14916","ISSN":"20411723","PMID":"28504255","abstract":"Climate change could significantly affect consumer demand for energy in buildings, as changing temperatures may alter heating and cooling loads. Warming climates could also lead to the increased adoption and use of cooling technologies in buildings. We assess residential electricity and natural gas demand in Los Angeles, California under multiple climate change projections and investigate the potential for energy efficiency to offset increased demand. We calibrate residential energy use against metered data, accounting for differences in building materials and appliances. Under temperature increases, we find that without policy intervention, residential electricity demand could increase by as much as 41-87% between 2020 and 2060. However, aggressive policies aimed at upgrading heating/cooling systems and appliances could result in electricity use increases as low as 28%, potentially avoiding the installation of new generation capacity. We therefore recommend aggressive energy efficiency, in combination with low-carbon generation sources, to offset projected increases in residential energy demand.","author":[{"dropping-particle":"","family":"Reyna","given":"Janet L.","non-dropping-particle":"","parse-names":false,"suffix":""},{"dropping-particle":"V.","family":"Chester","given":"Mikhail","non-dropping-particle":"","parse-names":false,"suffix":""}],"container-title":"Nature Communications","id":"ITEM-2","issue":"1","issued":{"date-parts":[["2017","5","15"]]},"page":"1-12","publisher":"Nature Publishing Group","title":"Energy efficiency to reduce residential electricity and natural gas use under climate change","type":"article-journal","volume":"8"},"uris":["http://www.mendeley.com/documents/?uuid=9ad08d40-8e68-39e8-b34b-814dd29318da"]}],"mendeley":{"formattedCitation":"(&lt;i&gt;32&lt;/i&gt;, &lt;i&gt;53&lt;/i&gt;)","plainTextFormattedCitation":"(32, 53)","previouslyFormattedCitation":"(&lt;i&gt;32&lt;/i&gt;, &lt;i&gt;53&lt;/i&gt;)"},"properties":{"noteIndex":0},"schema":"https://github.com/citation-style-language/schema/raw/master/csl-citation.json"}</w:instrText>
      </w:r>
      <w:r w:rsidR="002B5993">
        <w:rPr>
          <w:rFonts w:cs="Times New Roman"/>
          <w:szCs w:val="24"/>
        </w:rPr>
        <w:fldChar w:fldCharType="separate"/>
      </w:r>
      <w:r w:rsidR="00D60DFA" w:rsidRPr="00D60DFA">
        <w:rPr>
          <w:rFonts w:cs="Times New Roman"/>
          <w:noProof/>
          <w:szCs w:val="24"/>
        </w:rPr>
        <w:t>(</w:t>
      </w:r>
      <w:r w:rsidR="00D60DFA" w:rsidRPr="00D60DFA">
        <w:rPr>
          <w:rFonts w:cs="Times New Roman"/>
          <w:i/>
          <w:noProof/>
          <w:szCs w:val="24"/>
        </w:rPr>
        <w:t>32</w:t>
      </w:r>
      <w:r w:rsidR="00D60DFA" w:rsidRPr="00D60DFA">
        <w:rPr>
          <w:rFonts w:cs="Times New Roman"/>
          <w:noProof/>
          <w:szCs w:val="24"/>
        </w:rPr>
        <w:t xml:space="preserve">, </w:t>
      </w:r>
      <w:r w:rsidR="00D60DFA" w:rsidRPr="00D60DFA">
        <w:rPr>
          <w:rFonts w:cs="Times New Roman"/>
          <w:i/>
          <w:noProof/>
          <w:szCs w:val="24"/>
        </w:rPr>
        <w:t>53</w:t>
      </w:r>
      <w:r w:rsidR="00D60DFA" w:rsidRPr="00D60DFA">
        <w:rPr>
          <w:rFonts w:cs="Times New Roman"/>
          <w:noProof/>
          <w:szCs w:val="24"/>
        </w:rPr>
        <w:t>)</w:t>
      </w:r>
      <w:r w:rsidR="002B5993">
        <w:rPr>
          <w:rFonts w:cs="Times New Roman"/>
          <w:szCs w:val="24"/>
        </w:rPr>
        <w:fldChar w:fldCharType="end"/>
      </w:r>
      <w:r w:rsidR="00CF6CEC">
        <w:rPr>
          <w:rFonts w:cs="Times New Roman"/>
          <w:szCs w:val="24"/>
        </w:rPr>
        <w:t xml:space="preserve">. </w:t>
      </w:r>
      <w:r w:rsidR="002B5E73">
        <w:rPr>
          <w:rFonts w:cs="Times New Roman"/>
          <w:szCs w:val="24"/>
        </w:rPr>
        <w:t>T</w:t>
      </w:r>
      <w:r w:rsidR="008910D1">
        <w:rPr>
          <w:rFonts w:cs="Times New Roman"/>
          <w:szCs w:val="24"/>
        </w:rPr>
        <w:t xml:space="preserve">he </w:t>
      </w:r>
      <w:r w:rsidR="002B5E73">
        <w:rPr>
          <w:rFonts w:cs="Times New Roman"/>
          <w:szCs w:val="24"/>
        </w:rPr>
        <w:t xml:space="preserve">growing adoption of </w:t>
      </w:r>
      <w:r w:rsidR="008910D1">
        <w:rPr>
          <w:rFonts w:cs="Times New Roman"/>
          <w:szCs w:val="24"/>
        </w:rPr>
        <w:t>all-electric home</w:t>
      </w:r>
      <w:r w:rsidR="002B5E73">
        <w:rPr>
          <w:rFonts w:cs="Times New Roman"/>
          <w:szCs w:val="24"/>
        </w:rPr>
        <w:t>s</w:t>
      </w:r>
      <w:r w:rsidR="008910D1">
        <w:rPr>
          <w:rFonts w:cs="Times New Roman"/>
          <w:szCs w:val="24"/>
        </w:rPr>
        <w:t xml:space="preserve"> in recent years is another important factor </w:t>
      </w:r>
      <w:r w:rsidR="002B5E73">
        <w:rPr>
          <w:rFonts w:cs="Times New Roman"/>
          <w:szCs w:val="24"/>
        </w:rPr>
        <w:t xml:space="preserve">affecting </w:t>
      </w:r>
      <w:r w:rsidR="008910D1">
        <w:rPr>
          <w:rFonts w:cs="Times New Roman"/>
          <w:szCs w:val="24"/>
        </w:rPr>
        <w:t>natural gas consumption</w:t>
      </w:r>
      <w:r w:rsidR="002B5993">
        <w:rPr>
          <w:rFonts w:cs="Times New Roman"/>
          <w:szCs w:val="24"/>
        </w:rPr>
        <w:t xml:space="preserve"> </w:t>
      </w:r>
      <w:r w:rsidR="00806D47">
        <w:rPr>
          <w:rFonts w:cs="Times New Roman"/>
          <w:szCs w:val="24"/>
        </w:rPr>
        <w:fldChar w:fldCharType="begin" w:fldLock="1"/>
      </w:r>
      <w:r w:rsidR="00D60DFA">
        <w:rPr>
          <w:rFonts w:cs="Times New Roman"/>
          <w:szCs w:val="24"/>
        </w:rPr>
        <w:instrText>ADDIN CSL_CITATION {"citationItems":[{"id":"ITEM-1","itemData":{"URL":"https://rmi.org/all-electric-new-homes-a-win-for-the-climate-and-the-economy/","accessed":{"date-parts":[["2022","5","24"]]},"author":[{"dropping-particle":"","family":"2020","given":"RMI","non-dropping-particle":"","parse-names":false,"suffix":""}],"id":"ITEM-1","issued":{"date-parts":[["0"]]},"title":"All-Electric New Homes: A Win for the Climate and the Economy - RMI","type":"webpage"},"uris":["http://www.mendeley.com/documents/?uuid=a1e6c3d2-a153-3413-8007-df0edf58a509"]}],"mendeley":{"formattedCitation":"(&lt;i&gt;54&lt;/i&gt;)","plainTextFormattedCitation":"(54)","previouslyFormattedCitation":"(&lt;i&gt;54&lt;/i&gt;)"},"properties":{"noteIndex":0},"schema":"https://github.com/citation-style-language/schema/raw/master/csl-citation.json"}</w:instrText>
      </w:r>
      <w:r w:rsidR="00806D47">
        <w:rPr>
          <w:rFonts w:cs="Times New Roman"/>
          <w:szCs w:val="24"/>
        </w:rPr>
        <w:fldChar w:fldCharType="separate"/>
      </w:r>
      <w:r w:rsidR="00D60DFA" w:rsidRPr="00D60DFA">
        <w:rPr>
          <w:rFonts w:cs="Times New Roman"/>
          <w:noProof/>
          <w:szCs w:val="24"/>
        </w:rPr>
        <w:t>(</w:t>
      </w:r>
      <w:r w:rsidR="00D60DFA" w:rsidRPr="00D60DFA">
        <w:rPr>
          <w:rFonts w:cs="Times New Roman"/>
          <w:i/>
          <w:noProof/>
          <w:szCs w:val="24"/>
        </w:rPr>
        <w:t>54</w:t>
      </w:r>
      <w:r w:rsidR="00D60DFA" w:rsidRPr="00D60DFA">
        <w:rPr>
          <w:rFonts w:cs="Times New Roman"/>
          <w:noProof/>
          <w:szCs w:val="24"/>
        </w:rPr>
        <w:t>)</w:t>
      </w:r>
      <w:r w:rsidR="00806D47">
        <w:rPr>
          <w:rFonts w:cs="Times New Roman"/>
          <w:szCs w:val="24"/>
        </w:rPr>
        <w:fldChar w:fldCharType="end"/>
      </w:r>
      <w:r w:rsidR="00806D47">
        <w:rPr>
          <w:rFonts w:cs="Times New Roman"/>
          <w:szCs w:val="24"/>
        </w:rPr>
        <w:t xml:space="preserve">. </w:t>
      </w:r>
      <w:r w:rsidR="00221DFD">
        <w:rPr>
          <w:rFonts w:cs="Times New Roman"/>
          <w:szCs w:val="24"/>
        </w:rPr>
        <w:t xml:space="preserve">Finally, the income variable highlights a </w:t>
      </w:r>
      <w:r w:rsidR="002F3DA0">
        <w:rPr>
          <w:rFonts w:cs="Times New Roman"/>
          <w:szCs w:val="24"/>
        </w:rPr>
        <w:t>higher natural gas consumption</w:t>
      </w:r>
      <w:r w:rsidR="00221DFD">
        <w:rPr>
          <w:rFonts w:cs="Times New Roman"/>
          <w:szCs w:val="24"/>
        </w:rPr>
        <w:t xml:space="preserve"> in high-income household</w:t>
      </w:r>
      <w:r w:rsidR="00953FFC">
        <w:rPr>
          <w:rFonts w:cs="Times New Roman"/>
          <w:szCs w:val="24"/>
        </w:rPr>
        <w:t>s</w:t>
      </w:r>
      <w:r w:rsidR="00221DFD">
        <w:rPr>
          <w:rFonts w:cs="Times New Roman"/>
          <w:szCs w:val="24"/>
        </w:rPr>
        <w:t xml:space="preserve"> (greater than 120k). </w:t>
      </w:r>
    </w:p>
    <w:p w14:paraId="63376494" w14:textId="77777777" w:rsidR="005E7339" w:rsidRDefault="005E7339" w:rsidP="00FE3030">
      <w:pPr>
        <w:ind w:firstLine="720"/>
        <w:rPr>
          <w:rFonts w:cs="Times New Roman"/>
          <w:szCs w:val="24"/>
        </w:rPr>
      </w:pPr>
    </w:p>
    <w:p w14:paraId="6FC1A66B" w14:textId="3A392A52" w:rsidR="00221DFD" w:rsidRDefault="00221DFD" w:rsidP="00221DFD">
      <w:r w:rsidRPr="000B26F3">
        <w:rPr>
          <w:u w:val="single"/>
        </w:rPr>
        <w:t>Appliance Use</w:t>
      </w:r>
      <w:r w:rsidR="000B26F3">
        <w:t xml:space="preserve">: </w:t>
      </w:r>
      <w:r w:rsidR="00B50A16">
        <w:t>The i</w:t>
      </w:r>
      <w:r>
        <w:t xml:space="preserve">ntensity of </w:t>
      </w:r>
      <w:r w:rsidR="00B50A16">
        <w:t xml:space="preserve">appliance </w:t>
      </w:r>
      <w:r>
        <w:t>use in residential buildings potentially contribute</w:t>
      </w:r>
      <w:r w:rsidR="00B50A16">
        <w:t>s</w:t>
      </w:r>
      <w:r>
        <w:t xml:space="preserve"> to the overall energy usage. As expected, all of the appliance related attributes (use of ac and space heating; number of refrigerators, computers and smart phones in HH) positively impacted the electricity usage in a house </w:t>
      </w:r>
      <w:r>
        <w:fldChar w:fldCharType="begin" w:fldLock="1"/>
      </w:r>
      <w:r w:rsidR="00812451">
        <w:instrText>ADDIN CSL_CITATION {"citationItems":[{"id":"ITEM-1","itemData":{"DOI":"10.1016/j.enbuild.2021.110934","ISSN":"03787788","abstract":"Residential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Buildings","id":"ITEM-1","issued":{"date-parts":[["2021"]]},"title":"An examination of factors affecting residential energy consumption using a multiple discrete continuous approach","type":"article-journal","volume":"240"},"uris":["http://www.mendeley.com/documents/?uuid=26e32950-12ac-3b18-8799-6c5df31cb049"]}],"mendeley":{"formattedCitation":"(&lt;i&gt;31&lt;/i&gt;)","plainTextFormattedCitation":"(31)","previouslyFormattedCitation":"(&lt;i&gt;31&lt;/i&gt;)"},"properties":{"noteIndex":0},"schema":"https://github.com/citation-style-language/schema/raw/master/csl-citation.json"}</w:instrText>
      </w:r>
      <w:r>
        <w:fldChar w:fldCharType="separate"/>
      </w:r>
      <w:r w:rsidR="009D3EDC" w:rsidRPr="009D3EDC">
        <w:rPr>
          <w:noProof/>
        </w:rPr>
        <w:t>(</w:t>
      </w:r>
      <w:r w:rsidR="009D3EDC" w:rsidRPr="009D3EDC">
        <w:rPr>
          <w:i/>
          <w:noProof/>
        </w:rPr>
        <w:t>31</w:t>
      </w:r>
      <w:r w:rsidR="009D3EDC" w:rsidRPr="009D3EDC">
        <w:rPr>
          <w:noProof/>
        </w:rPr>
        <w:t>)</w:t>
      </w:r>
      <w:r>
        <w:fldChar w:fldCharType="end"/>
      </w:r>
      <w:r>
        <w:t xml:space="preserve"> except the variable </w:t>
      </w:r>
      <w:r w:rsidR="00B50A16">
        <w:t xml:space="preserve">that </w:t>
      </w:r>
      <w:r>
        <w:t xml:space="preserve">corresponds to the use of humidifier. This result (humidifier) while counterintuitive at first glance, is presumably capturing the indirect relationship with the cooling and heating behaviour in a household. For instance, humidifier helps </w:t>
      </w:r>
      <w:r>
        <w:lastRenderedPageBreak/>
        <w:t xml:space="preserve">in creating a soothing environment by adding moisture in the air appropriately both in summer and winter season, thus minimizing the need of raising/lowering the temperature in a </w:t>
      </w:r>
      <w:r w:rsidRPr="00731E7E">
        <w:t xml:space="preserve">household </w:t>
      </w:r>
      <w:r w:rsidR="00B17D5A" w:rsidRPr="00731E7E">
        <w:rPr>
          <w:rFonts w:cs="Times New Roman"/>
          <w:szCs w:val="24"/>
        </w:rPr>
        <w:fldChar w:fldCharType="begin" w:fldLock="1"/>
      </w:r>
      <w:r w:rsidR="00D60DFA">
        <w:rPr>
          <w:rFonts w:cs="Times New Roman"/>
          <w:szCs w:val="24"/>
        </w:rPr>
        <w:instrText>ADDIN CSL_CITATION {"citationItems":[{"id":"ITEM-1","itemData":{"URL":"https://www.cbc.ca/news/canada/british-columbia/mobile-home-bc-hydro-report-1.5861458","accessed":{"date-parts":[["2021","7","26"]]},"author":[{"dropping-particle":"","family":"CBC News","given":"","non-dropping-particle":"","parse-names":false,"suffix":""}],"id":"ITEM-1","issued":{"date-parts":[["0"]]},"title":"Why mobile home residents are paying for more electricity | CBC News","type":"webpage"},"uris":["http://www.mendeley.com/documents/?uuid=6f99146d-1271-3bad-a19e-3894175ac464"]}],"mendeley":{"formattedCitation":"(&lt;i&gt;52&lt;/i&gt;)","plainTextFormattedCitation":"(52)","previouslyFormattedCitation":"(&lt;i&gt;52&lt;/i&gt;)"},"properties":{"noteIndex":0},"schema":"https://github.com/citation-style-language/schema/raw/master/csl-citation.json"}</w:instrText>
      </w:r>
      <w:r w:rsidR="00B17D5A" w:rsidRPr="00731E7E">
        <w:rPr>
          <w:rFonts w:cs="Times New Roman"/>
          <w:szCs w:val="24"/>
        </w:rPr>
        <w:fldChar w:fldCharType="separate"/>
      </w:r>
      <w:r w:rsidR="00D60DFA" w:rsidRPr="00D60DFA">
        <w:rPr>
          <w:rFonts w:cs="Times New Roman"/>
          <w:noProof/>
          <w:szCs w:val="24"/>
        </w:rPr>
        <w:t>(</w:t>
      </w:r>
      <w:r w:rsidR="00D60DFA" w:rsidRPr="00D60DFA">
        <w:rPr>
          <w:rFonts w:cs="Times New Roman"/>
          <w:i/>
          <w:noProof/>
          <w:szCs w:val="24"/>
        </w:rPr>
        <w:t>52</w:t>
      </w:r>
      <w:r w:rsidR="00D60DFA" w:rsidRPr="00D60DFA">
        <w:rPr>
          <w:rFonts w:cs="Times New Roman"/>
          <w:noProof/>
          <w:szCs w:val="24"/>
        </w:rPr>
        <w:t>)</w:t>
      </w:r>
      <w:r w:rsidR="00B17D5A" w:rsidRPr="00731E7E">
        <w:rPr>
          <w:rFonts w:cs="Times New Roman"/>
          <w:szCs w:val="24"/>
        </w:rPr>
        <w:fldChar w:fldCharType="end"/>
      </w:r>
      <w:r>
        <w:t xml:space="preserve"> and hence </w:t>
      </w:r>
      <w:r w:rsidR="00B50A16">
        <w:t xml:space="preserve">possibly </w:t>
      </w:r>
      <w:r>
        <w:t>reduc</w:t>
      </w:r>
      <w:r w:rsidR="00B50A16">
        <w:t xml:space="preserve">ing </w:t>
      </w:r>
      <w:r>
        <w:t xml:space="preserve">electricity consumption.  </w:t>
      </w:r>
    </w:p>
    <w:p w14:paraId="3108A815" w14:textId="77777777" w:rsidR="00022B47" w:rsidRDefault="00022B47" w:rsidP="00221DFD"/>
    <w:p w14:paraId="4687B8E1" w14:textId="3F75F883" w:rsidR="00594052" w:rsidRDefault="00221DFD" w:rsidP="00594052">
      <w:r w:rsidRPr="000B26F3">
        <w:rPr>
          <w:u w:val="single"/>
        </w:rPr>
        <w:t>Climatic Variables</w:t>
      </w:r>
      <w:r w:rsidR="000B26F3" w:rsidRPr="000B26F3">
        <w:rPr>
          <w:u w:val="single"/>
        </w:rPr>
        <w:t>:</w:t>
      </w:r>
      <w:r w:rsidR="000B26F3" w:rsidRPr="000B26F3">
        <w:t xml:space="preserve"> </w:t>
      </w:r>
      <w:r>
        <w:t>The results related to climatic variables highlight the important role of weather in household energy usage. For representing the climatic variables, we considered heating and cooling degree days (please see</w:t>
      </w:r>
      <w:r w:rsidR="00B35FF7">
        <w:t xml:space="preserve"> </w:t>
      </w:r>
      <w:r w:rsidR="00F679C5">
        <w:fldChar w:fldCharType="begin" w:fldLock="1"/>
      </w:r>
      <w:r w:rsidR="00812451">
        <w:instrText>ADDIN CSL_CITATION {"citationItems":[{"id":"ITEM-1","itemData":{"DOI":"10.1016/j.enbuild.2021.110934","ISSN":"03787788","abstract":"Residential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Buildings","id":"ITEM-1","issued":{"date-parts":[["2021"]]},"title":"An examination of factors affecting residential energy consumption using a multiple discrete continuous approach","type":"article-journal","volume":"240"},"uris":["http://www.mendeley.com/documents/?uuid=26e32950-12ac-3b18-8799-6c5df31cb049"]}],"mendeley":{"formattedCitation":"(&lt;i&gt;31&lt;/i&gt;)","plainTextFormattedCitation":"(31)","previouslyFormattedCitation":"(&lt;i&gt;31&lt;/i&gt;)"},"properties":{"noteIndex":0},"schema":"https://github.com/citation-style-language/schema/raw/master/csl-citation.json"}</w:instrText>
      </w:r>
      <w:r w:rsidR="00F679C5">
        <w:fldChar w:fldCharType="separate"/>
      </w:r>
      <w:r w:rsidR="009D3EDC" w:rsidRPr="009D3EDC">
        <w:rPr>
          <w:noProof/>
        </w:rPr>
        <w:t>(</w:t>
      </w:r>
      <w:r w:rsidR="009D3EDC" w:rsidRPr="009D3EDC">
        <w:rPr>
          <w:i/>
          <w:noProof/>
        </w:rPr>
        <w:t>31</w:t>
      </w:r>
      <w:r w:rsidR="009D3EDC" w:rsidRPr="009D3EDC">
        <w:rPr>
          <w:noProof/>
        </w:rPr>
        <w:t>)</w:t>
      </w:r>
      <w:r w:rsidR="00F679C5">
        <w:fldChar w:fldCharType="end"/>
      </w:r>
      <w:r w:rsidR="00F679C5">
        <w:t xml:space="preserve"> for detail</w:t>
      </w:r>
      <w:r>
        <w:t xml:space="preserve">) in a household that quantifies the demand for energy needed for heating and cooling requirements of a building respectively. </w:t>
      </w:r>
      <w:r w:rsidR="00B50A16">
        <w:t>H</w:t>
      </w:r>
      <w:r>
        <w:t xml:space="preserve">igher heating and cooling degree days directly refer to the cold and hot weather respectively. As expected, we find electricity usage to be positively associated with cooling degree days revealing an increased electricity consumption during hot days, </w:t>
      </w:r>
      <w:r w:rsidR="009E5187">
        <w:t xml:space="preserve">perhaps </w:t>
      </w:r>
      <w:r>
        <w:t>alluding to the higher usage of AC during those times</w:t>
      </w:r>
      <w:r w:rsidR="00DA0A0E">
        <w:t xml:space="preserve"> </w:t>
      </w:r>
      <w:r w:rsidR="00BF4A1A">
        <w:fldChar w:fldCharType="begin" w:fldLock="1"/>
      </w:r>
      <w:r w:rsidR="00D60DFA">
        <w:instrText>ADDIN CSL_CITATION {"citationItems":[{"id":"ITEM-1","itemData":{"URL":"https://www.utsa.edu/today/2015/05/afamia.html","accessed":{"date-parts":[["2021","7","27"]]},"author":[{"dropping-particle":"","family":"USAToday","given":"","non-dropping-particle":"","parse-names":false,"suffix":""}],"id":"ITEM-1","issued":{"date-parts":[["0"]]},"title":"Sustainability study shows that women consume more energy","type":"webpage"},"uris":["http://www.mendeley.com/documents/?uuid=1c4cc935-d4ba-37f3-9299-5f6476d45d65"]}],"mendeley":{"formattedCitation":"(&lt;i&gt;55&lt;/i&gt;)","plainTextFormattedCitation":"(55)","previouslyFormattedCitation":"(&lt;i&gt;55&lt;/i&gt;)"},"properties":{"noteIndex":0},"schema":"https://github.com/citation-style-language/schema/raw/master/csl-citation.json"}</w:instrText>
      </w:r>
      <w:r w:rsidR="00BF4A1A">
        <w:fldChar w:fldCharType="separate"/>
      </w:r>
      <w:r w:rsidR="00D60DFA" w:rsidRPr="00D60DFA">
        <w:rPr>
          <w:noProof/>
        </w:rPr>
        <w:t>(</w:t>
      </w:r>
      <w:r w:rsidR="00D60DFA" w:rsidRPr="00D60DFA">
        <w:rPr>
          <w:i/>
          <w:noProof/>
        </w:rPr>
        <w:t>55</w:t>
      </w:r>
      <w:r w:rsidR="00D60DFA" w:rsidRPr="00D60DFA">
        <w:rPr>
          <w:noProof/>
        </w:rPr>
        <w:t>)</w:t>
      </w:r>
      <w:r w:rsidR="00BF4A1A">
        <w:fldChar w:fldCharType="end"/>
      </w:r>
      <w:r>
        <w:t xml:space="preserve">. </w:t>
      </w:r>
      <w:r w:rsidR="008D6B93">
        <w:t>Contrastingly</w:t>
      </w:r>
      <w:r>
        <w:t>, natural gas consumption is higher during cold weather as evidenced by the positive sign specific to the heating degree days variable</w:t>
      </w:r>
      <w:r w:rsidR="008D6B93">
        <w:t xml:space="preserve">. </w:t>
      </w:r>
      <w:r w:rsidR="00387288">
        <w:t>Households</w:t>
      </w:r>
      <w:r w:rsidR="00334199">
        <w:t xml:space="preserve"> in colder regions usually have higher space heating needs and natural gas is one of the predominant </w:t>
      </w:r>
      <w:r w:rsidR="002B5E73">
        <w:t>sources</w:t>
      </w:r>
      <w:r w:rsidR="00334199">
        <w:t xml:space="preserve"> of fuel for space heaters. Similar </w:t>
      </w:r>
      <w:r w:rsidR="006D0E09">
        <w:t>findings</w:t>
      </w:r>
      <w:r w:rsidR="00334199">
        <w:t xml:space="preserve"> are also observed in earlier research </w:t>
      </w:r>
      <w:r>
        <w:fldChar w:fldCharType="begin" w:fldLock="1"/>
      </w:r>
      <w:r w:rsidR="00812451">
        <w:instrText>ADDIN CSL_CITATION {"citationItems":[{"id":"ITEM-1","itemData":{"DOI":"10.1016/j.enbuild.2021.110934","ISSN":"03787788","abstract":"Residential energy use has become an important source of global energy demand growth and carbon emissions growth. Residential building energy usage accounts for about 22% of the total energy use in the United States. In the current study, we address residential energy usage by addressing two decisions: (1) source of energy (such as electric and natural gas) and (2) consumption by energy source for various purposes. A Multiple Discrete Continuous Extreme Value model that allows us to analyze the source and consumption decisions in an integrated framework is developed. The model is estimated using data drawn from the 2015 Residential Energy Consumption Survey that provides energy use details for electricity, natural gas, fuel oil and Liquefied Petroleum Gas for residential units across United States. An exhaustive set of independent variables including location characteristics, household characteristics, housing characteristics, appliance use and climatic characteristics were employed in the model estimation. The model estimation results are augmented with a comprehensive policy analysis to illustrate how various independent variables affect energy use by source. A comparison of energy use between urban and rural regions, by varying household size and housing unit size are examined.","author":[{"dropping-particle":"","family":"Iraganaboina","given":"Naveen Chandra","non-dropping-particle":"","parse-names":false,"suffix":""},{"dropping-particle":"","family":"Eluru","given":"Naveen","non-dropping-particle":"","parse-names":false,"suffix":""}],"container-title":"Energy and Buildings","id":"ITEM-1","issued":{"date-parts":[["2021"]]},"title":"An examination of factors affecting residential energy consumption using a multiple discrete continuous approach","type":"article-journal","volume":"240"},"uris":["http://www.mendeley.com/documents/?uuid=26e32950-12ac-3b18-8799-6c5df31cb049"]},{"id":"ITEM-2","itemData":{"DOI":"10.1016/j.jocm.2021.100283","ISSN":"17555345","abstract":"This paper proposes simple and computationally efficient forecasting algorithms for random utility maximization-based multiple discrete-continuous (MDC) choice models with additively separable utility functions, such as the Multiple Discrete-Continuous Extreme Value (MDCEV) model. The algorithms build on simple yet insightful, analytical explorations with the Karush Kuhn-Tucker (KKT) conditions of optimality that shed new light on the properties of the models. The MDCEV model and the forecasting algorithms proposed in this paper are applied to a household-level energy consumption dataset to analyze residential energy consumption patterns in the United States. Further, simulation experiments are undertaken to assess the computational performance of the proposed and existing KT demand forecasting algorithms for a range of choice situations with small and large choice sets.","author":[{"dropping-particle":"","family":"Pinjari","given":"Abdul Rawoof","non-dropping-particle":"","parse-names":false,"suffix":""},{"dropping-particle":"","family":"Bhat","given":"Chandra","non-dropping-particle":"","parse-names":false,"suffix":""}],"container-title":"Journal of Choice Modelling","id":"ITEM-2","issued":{"date-parts":[["2021"]]},"title":"Computationally efficient forecasting procedures for Kuhn-Tucker consumer demand model systems: Application to residential energy consumption analysis","type":"article-journal","volume":"39"},"uris":["http://www.mendeley.com/documents/?uuid=2b16aecb-fbfd-3829-9516-90d784fd9982"]}],"mendeley":{"formattedCitation":"(&lt;i&gt;31&lt;/i&gt;, &lt;i&gt;32&lt;/i&gt;)","plainTextFormattedCitation":"(31, 32)","previouslyFormattedCitation":"(&lt;i&gt;31&lt;/i&gt;, &lt;i&gt;32&lt;/i&gt;)"},"properties":{"noteIndex":0},"schema":"https://github.com/citation-style-language/schema/raw/master/csl-citation.json"}</w:instrText>
      </w:r>
      <w:r>
        <w:fldChar w:fldCharType="separate"/>
      </w:r>
      <w:r w:rsidR="009D3EDC" w:rsidRPr="009D3EDC">
        <w:rPr>
          <w:noProof/>
        </w:rPr>
        <w:t>(</w:t>
      </w:r>
      <w:r w:rsidR="009D3EDC" w:rsidRPr="009D3EDC">
        <w:rPr>
          <w:i/>
          <w:noProof/>
        </w:rPr>
        <w:t>31</w:t>
      </w:r>
      <w:r w:rsidR="009D3EDC" w:rsidRPr="009D3EDC">
        <w:rPr>
          <w:noProof/>
        </w:rPr>
        <w:t xml:space="preserve">, </w:t>
      </w:r>
      <w:r w:rsidR="009D3EDC" w:rsidRPr="009D3EDC">
        <w:rPr>
          <w:i/>
          <w:noProof/>
        </w:rPr>
        <w:t>32</w:t>
      </w:r>
      <w:r w:rsidR="009D3EDC" w:rsidRPr="009D3EDC">
        <w:rPr>
          <w:noProof/>
        </w:rPr>
        <w:t>)</w:t>
      </w:r>
      <w:r>
        <w:fldChar w:fldCharType="end"/>
      </w:r>
      <w:r>
        <w:t xml:space="preserve">. </w:t>
      </w:r>
    </w:p>
    <w:p w14:paraId="3737116B" w14:textId="77777777" w:rsidR="005E7339" w:rsidRDefault="005E7339" w:rsidP="00594052"/>
    <w:p w14:paraId="3D92990E" w14:textId="2AF7B0A0" w:rsidR="00221DFD" w:rsidRDefault="00ED2BCB" w:rsidP="000B26F3">
      <w:pPr>
        <w:pStyle w:val="Heading3"/>
      </w:pPr>
      <w:r>
        <w:t xml:space="preserve">6.2.2 </w:t>
      </w:r>
      <w:r w:rsidR="00221DFD">
        <w:t xml:space="preserve">NHTS </w:t>
      </w:r>
      <w:r w:rsidR="004F5837">
        <w:t>Variables</w:t>
      </w:r>
    </w:p>
    <w:p w14:paraId="521C104D" w14:textId="1DDBBB7A" w:rsidR="00952978" w:rsidRDefault="004F5837" w:rsidP="00221DFD">
      <w:r>
        <w:t xml:space="preserve">In the fused dataset, </w:t>
      </w:r>
      <w:r w:rsidR="00221DFD">
        <w:t xml:space="preserve">several variables </w:t>
      </w:r>
      <w:r>
        <w:t xml:space="preserve">fused from NHTS </w:t>
      </w:r>
      <w:r w:rsidR="00221DFD">
        <w:t xml:space="preserve">are tested in our analysis. </w:t>
      </w:r>
      <w:r w:rsidR="00952978">
        <w:t xml:space="preserve">Figure 8 provides a quick mechanism for the reader to understand the impact of different NHTS related variables on energy consumptions. </w:t>
      </w:r>
    </w:p>
    <w:p w14:paraId="7FAEDB69" w14:textId="39D4D0B3" w:rsidR="00E25D47" w:rsidRPr="00E25D47" w:rsidRDefault="00E25D47" w:rsidP="00E25D47">
      <w:pPr>
        <w:rPr>
          <w:lang w:val="en-US"/>
        </w:rPr>
      </w:pPr>
      <w:r w:rsidRPr="00E25D47">
        <w:rPr>
          <w:noProof/>
          <w:lang w:val="en-US"/>
        </w:rPr>
        <w:lastRenderedPageBreak/>
        <w:drawing>
          <wp:inline distT="0" distB="0" distL="0" distR="0" wp14:anchorId="28C3EEDA" wp14:editId="34A0FBCF">
            <wp:extent cx="5943600" cy="6055360"/>
            <wp:effectExtent l="0" t="0" r="0" b="2540"/>
            <wp:docPr id="1245850541" name="Picture 18" descr="A diagram of energy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50541" name="Picture 18" descr="A diagram of energy consump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055360"/>
                    </a:xfrm>
                    <a:prstGeom prst="rect">
                      <a:avLst/>
                    </a:prstGeom>
                    <a:noFill/>
                    <a:ln>
                      <a:noFill/>
                    </a:ln>
                  </pic:spPr>
                </pic:pic>
              </a:graphicData>
            </a:graphic>
          </wp:inline>
        </w:drawing>
      </w:r>
    </w:p>
    <w:p w14:paraId="3C067C3D" w14:textId="44656133" w:rsidR="00221DFD" w:rsidRDefault="00221DFD" w:rsidP="00873E8A">
      <w:pPr>
        <w:ind w:firstLine="720"/>
      </w:pPr>
      <w:r>
        <w:t xml:space="preserve">The findings clearly highlight the reduced electricity usage in densely populated areas, perhaps indicative of the lower </w:t>
      </w:r>
      <w:r w:rsidR="00B66A9F">
        <w:t xml:space="preserve">exposed </w:t>
      </w:r>
      <w:r>
        <w:t>floor area per capita</w:t>
      </w:r>
      <w:r w:rsidR="00B6012D">
        <w:t xml:space="preserve"> </w:t>
      </w:r>
      <w:r w:rsidR="00B6012D">
        <w:fldChar w:fldCharType="begin" w:fldLock="1"/>
      </w:r>
      <w:r w:rsidR="00D60DFA">
        <w:instrText>ADDIN CSL_CITATION {"citationItems":[{"id":"ITEM-1","itemData":{"URL":"https://www.utsa.edu/today/2015/05/afamia.html","accessed":{"date-parts":[["2021","7","27"]]},"author":[{"dropping-particle":"","family":"USAToday","given":"","non-dropping-particle":"","parse-names":false,"suffix":""}],"id":"ITEM-1","issued":{"date-parts":[["0"]]},"title":"Sustainability study shows that women consume more energy","type":"webpage"},"uris":["http://www.mendeley.com/documents/?uuid=1c4cc935-d4ba-37f3-9299-5f6476d45d65"]}],"mendeley":{"formattedCitation":"(&lt;i&gt;55&lt;/i&gt;)","plainTextFormattedCitation":"(55)","previouslyFormattedCitation":"(&lt;i&gt;55&lt;/i&gt;)"},"properties":{"noteIndex":0},"schema":"https://github.com/citation-style-language/schema/raw/master/csl-citation.json"}</w:instrText>
      </w:r>
      <w:r w:rsidR="00B6012D">
        <w:fldChar w:fldCharType="separate"/>
      </w:r>
      <w:r w:rsidR="00D60DFA" w:rsidRPr="00D60DFA">
        <w:rPr>
          <w:noProof/>
        </w:rPr>
        <w:t>(</w:t>
      </w:r>
      <w:r w:rsidR="00D60DFA" w:rsidRPr="00D60DFA">
        <w:rPr>
          <w:i/>
          <w:noProof/>
        </w:rPr>
        <w:t>55</w:t>
      </w:r>
      <w:r w:rsidR="00D60DFA" w:rsidRPr="00D60DFA">
        <w:rPr>
          <w:noProof/>
        </w:rPr>
        <w:t>)</w:t>
      </w:r>
      <w:r w:rsidR="00B6012D">
        <w:fldChar w:fldCharType="end"/>
      </w:r>
      <w:r>
        <w:t xml:space="preserve">. In general, it appears that household with </w:t>
      </w:r>
      <w:r w:rsidRPr="000D7932">
        <w:t>more females tend to use more electricity and natural gas relative to other households. This effect is perhaps the manifestation of the link between female and different activities in home including cooking, water heating, nurturing and cleaning</w:t>
      </w:r>
      <w:r w:rsidR="00B6012D">
        <w:t xml:space="preserve"> </w:t>
      </w:r>
      <w:r w:rsidR="00B6012D">
        <w:fldChar w:fldCharType="begin" w:fldLock="1"/>
      </w:r>
      <w:r w:rsidR="00D60DFA">
        <w:instrText>ADDIN CSL_CITATION {"citationItems":[{"id":"ITEM-1","itemData":{"URL":"https://www.utsa.edu/today/2015/05/afamia.html","accessed":{"date-parts":[["2021","7","27"]]},"author":[{"dropping-particle":"","family":"USAToday","given":"","non-dropping-particle":"","parse-names":false,"suffix":""}],"id":"ITEM-1","issued":{"date-parts":[["0"]]},"title":"Sustainability study shows that women consume more energy","type":"webpage"},"uris":["http://www.mendeley.com/documents/?uuid=1c4cc935-d4ba-37f3-9299-5f6476d45d65"]}],"mendeley":{"formattedCitation":"(&lt;i&gt;55&lt;/i&gt;)","plainTextFormattedCitation":"(55)","previouslyFormattedCitation":"(&lt;i&gt;55&lt;/i&gt;)"},"properties":{"noteIndex":0},"schema":"https://github.com/citation-style-language/schema/raw/master/csl-citation.json"}</w:instrText>
      </w:r>
      <w:r w:rsidR="00B6012D">
        <w:fldChar w:fldCharType="separate"/>
      </w:r>
      <w:r w:rsidR="00D60DFA" w:rsidRPr="00D60DFA">
        <w:rPr>
          <w:noProof/>
        </w:rPr>
        <w:t>(</w:t>
      </w:r>
      <w:r w:rsidR="00D60DFA" w:rsidRPr="00D60DFA">
        <w:rPr>
          <w:i/>
          <w:noProof/>
        </w:rPr>
        <w:t>55</w:t>
      </w:r>
      <w:r w:rsidR="00D60DFA" w:rsidRPr="00D60DFA">
        <w:rPr>
          <w:noProof/>
        </w:rPr>
        <w:t>)</w:t>
      </w:r>
      <w:r w:rsidR="00B6012D">
        <w:fldChar w:fldCharType="end"/>
      </w:r>
      <w:r w:rsidR="00B6012D">
        <w:t>.</w:t>
      </w:r>
      <w:r w:rsidRPr="000D7932">
        <w:rPr>
          <w:rFonts w:ascii="Arial" w:hAnsi="Arial" w:cs="Arial"/>
          <w:color w:val="212529"/>
          <w:sz w:val="23"/>
          <w:szCs w:val="23"/>
          <w:shd w:val="clear" w:color="auto" w:fill="FFFFFF"/>
        </w:rPr>
        <w:t xml:space="preserve"> </w:t>
      </w:r>
      <w:r w:rsidRPr="000D7932">
        <w:t xml:space="preserve">Further, the </w:t>
      </w:r>
      <w:r w:rsidRPr="000D7932">
        <w:lastRenderedPageBreak/>
        <w:t xml:space="preserve">estimated results show that </w:t>
      </w:r>
      <w:r w:rsidR="008E4B57" w:rsidRPr="000D7932">
        <w:t xml:space="preserve">the </w:t>
      </w:r>
      <w:r w:rsidRPr="000D7932">
        <w:t>number of vehicles in a household is positively associated with household electricity consumption while a negative relationship is observed between the usage of natural gas and number of drivers in the household.</w:t>
      </w:r>
      <w:r w:rsidRPr="005A11C1">
        <w:t xml:space="preserve"> </w:t>
      </w:r>
      <w:r w:rsidR="000D7932">
        <w:t xml:space="preserve">The negative effect of the number of drivers in the household on its natural gas consumption may be attributed to the lesser time spent in houses as </w:t>
      </w:r>
      <w:r w:rsidR="00C16B16">
        <w:t xml:space="preserve">the ability to drive might encourage </w:t>
      </w:r>
      <w:r w:rsidR="00C46EB3">
        <w:t>activities outside the home</w:t>
      </w:r>
      <w:r w:rsidR="00617217">
        <w:t xml:space="preserve"> </w:t>
      </w:r>
      <w:r w:rsidR="00617217">
        <w:fldChar w:fldCharType="begin" w:fldLock="1"/>
      </w:r>
      <w:r w:rsidR="00D60DFA">
        <w:instrText>ADDIN CSL_CITATION {"citationItems":[{"id":"ITEM-1","itemData":{"abstract":"We specify and estimate a joint model of residential density, vehicle use, and fuel consumption that accounts for both self selection effects and missing data that are related to the endogenous variables. Our model is estimated on the California subsample of the 2001 U.S. National Household Transportation Survey (NHTS). Comparing two California households that are similar in all respects except residential density, a lower density of 1,000 housing units per square mile (roughly 40% of the weighted sample average) implies an increase of 1,200 miles driven per year (4.8%) and 65 more gallons of fuel used per household (5.5%). This total effect of residential density on fuel usage is decomposed into two paths of influence. Increased mileage leads to a difference of 45 gallons, but there is an additional direct effect of density through lower fleet fuel economy of 20 gallons per year, a result of vehicle type choice.","author":[{"dropping-particle":"","family":"Golob","given":"Thomas F","non-dropping-particle":"","parse-names":false,"suffix":""},{"dropping-particle":"","family":"Brownstone","given":"David","non-dropping-particle":"","parse-names":false,"suffix":""}],"container-title":"Journal of Urban Economics","id":"ITEM-1","issue":"1","issued":{"date-parts":[["2009"]]},"page":"91-98","title":"The Impact of Residential Density on Vehicle Usage and Energy Consumption","type":"article-journal","volume":"65"},"uris":["http://www.mendeley.com/documents/?uuid=abf71cb0-c631-432a-9253-ff816c0cf50c"]}],"mendeley":{"formattedCitation":"(&lt;i&gt;56&lt;/i&gt;)","plainTextFormattedCitation":"(56)","previouslyFormattedCitation":"(&lt;i&gt;56&lt;/i&gt;)"},"properties":{"noteIndex":0},"schema":"https://github.com/citation-style-language/schema/raw/master/csl-citation.json"}</w:instrText>
      </w:r>
      <w:r w:rsidR="00617217">
        <w:fldChar w:fldCharType="separate"/>
      </w:r>
      <w:r w:rsidR="00D60DFA" w:rsidRPr="00D60DFA">
        <w:rPr>
          <w:noProof/>
        </w:rPr>
        <w:t>(</w:t>
      </w:r>
      <w:r w:rsidR="00D60DFA" w:rsidRPr="00D60DFA">
        <w:rPr>
          <w:i/>
          <w:noProof/>
        </w:rPr>
        <w:t>56</w:t>
      </w:r>
      <w:r w:rsidR="00D60DFA" w:rsidRPr="00D60DFA">
        <w:rPr>
          <w:noProof/>
        </w:rPr>
        <w:t>)</w:t>
      </w:r>
      <w:r w:rsidR="00617217">
        <w:fldChar w:fldCharType="end"/>
      </w:r>
      <w:r w:rsidR="000D7932">
        <w:t xml:space="preserve">. </w:t>
      </w:r>
      <w:r w:rsidRPr="005A11C1">
        <w:t xml:space="preserve">Interestingly, average age of a household (considering all members) reveals a negative effect on overall electricity consumption suggesting a reduced electricity use in </w:t>
      </w:r>
      <w:r w:rsidR="00D12838" w:rsidRPr="005A11C1">
        <w:t xml:space="preserve">a unit </w:t>
      </w:r>
      <w:r w:rsidRPr="005A11C1">
        <w:t xml:space="preserve">with </w:t>
      </w:r>
      <w:r w:rsidR="00B66A9F" w:rsidRPr="005A11C1">
        <w:t>older individuals</w:t>
      </w:r>
      <w:r w:rsidRPr="005A11C1">
        <w:t>.</w:t>
      </w:r>
      <w:r w:rsidRPr="00446D48">
        <w:t xml:space="preserve"> </w:t>
      </w:r>
      <w:r w:rsidR="00887E24">
        <w:t>While this might seem counter intuitive on first glance as you would expect s</w:t>
      </w:r>
      <w:r w:rsidR="003D1411">
        <w:t xml:space="preserve">enior individuals </w:t>
      </w:r>
      <w:r w:rsidR="00887E24">
        <w:t xml:space="preserve">to </w:t>
      </w:r>
      <w:r w:rsidR="003D1411">
        <w:t>spend more time at home</w:t>
      </w:r>
      <w:r w:rsidR="00887E24">
        <w:t>. H</w:t>
      </w:r>
      <w:r w:rsidR="003D1411">
        <w:t xml:space="preserve">owever, the use of certain appliances </w:t>
      </w:r>
      <w:r w:rsidR="00887E24">
        <w:t>such as</w:t>
      </w:r>
      <w:r w:rsidR="003D1411">
        <w:t xml:space="preserve"> deep freezer, dishwasher, tumble dryer and computer</w:t>
      </w:r>
      <w:r w:rsidR="00887E24">
        <w:t>s (and other devices)</w:t>
      </w:r>
      <w:r w:rsidR="003D1411">
        <w:t xml:space="preserve"> are relatively lower in houses with senior individuals and thus </w:t>
      </w:r>
      <w:r w:rsidR="00887E24">
        <w:t xml:space="preserve">contribute to </w:t>
      </w:r>
      <w:r w:rsidR="003D1411">
        <w:t xml:space="preserve">reduced electricity </w:t>
      </w:r>
      <w:r w:rsidR="00887E24">
        <w:t>use</w:t>
      </w:r>
      <w:r w:rsidR="003D1411">
        <w:t xml:space="preserve"> </w:t>
      </w:r>
      <w:r w:rsidR="003D1411">
        <w:fldChar w:fldCharType="begin" w:fldLock="1"/>
      </w:r>
      <w:r w:rsidR="00D60DFA">
        <w:instrText>ADDIN CSL_CITATION {"citationItems":[{"id":"ITEM-1","itemData":{"DOI":"10.1016/j.euroecorev.2012.02.007","ISSN":"00142921","abstract":"Energy consumption in the residential sector offers an important opportunity for conserving resources. However, much of the current debate regarding energy efficiency in the housing market focuses on the physical and technical determinants of energy consumption, neglecting the role of the economic behavior of resident households. In this paper, we analyze the extent to which the use of gas and electricity is determined by the technical specifications of the dwelling as compared to the demographic characteristics of the residents. Our analysis is based on a sample of more than 300,000 Dutch homes and their occupants. The results indicate that residential gas consumption is determined principally by structural dwelling characteristics, such as the vintage, building type, and characteristics of the dwelling, while electricity consumption varies more directly with household composition, in particular income and family composition. Combining these results with projections on future economic and demographic trends, we find that, even absent price increases for residential energy, the aging of the population and their increasing wealth will roughly offset improvements in the energy efficiency of the building stock resulting from policy interventions and natural revitalization. © 2012 Elsevier B.V.","author":[{"dropping-particle":"","family":"Brounen","given":"Dirk","non-dropping-particle":"","parse-names":false,"suffix":""},{"dropping-particle":"","family":"Kok","given":"Nils","non-dropping-particle":"","parse-names":false,"suffix":""},{"dropping-particle":"","family":"Quigley","given":"John M.","non-dropping-particle":"","parse-names":false,"suffix":""}],"container-title":"European Economic Review","id":"ITEM-1","issue":"5","issued":{"date-parts":[["2012","7","1"]]},"page":"931-945","publisher":"North-Holland","title":"Residential energy use and conservation: Economics and demographics","type":"article-journal","volume":"56"},"uris":["http://www.mendeley.com/documents/?uuid=2e0d49d0-772b-3ff3-abc4-61019ab94156"]},{"id":"ITEM-2","itemData":{"DOI":"10.1016/j.enpol.2010.03.056","ISSN":"03014215","abstract":"This paper examines household energy use and appliance ownership in Ireland. Logit regression analyses on a large micro-dataset reveal how household characteristics can help explain the ownership of energy using appliances. Using OLS regression models, we explore the factors affecting residential energy demand conditional on appliance ownership. Results suggest that the methods of space and water heating employed by a household are even more important than electrical appliances in explaining domestic energy usage. However, the stock of appliances must be included in such models so that results will not be biased. The methods employed in this paper can be easily adopted for studies of household energy use in other countries where household expenditure survey data are available. © 2010 Elsevier Ltd.","author":[{"dropping-particle":"","family":"Leahy","given":"Eimear","non-dropping-particle":"","parse-names":false,"suffix":""},{"dropping-particle":"","family":"Lyons Sean","given":"S.","non-dropping-particle":"","parse-names":false,"suffix":""}],"container-title":"Energy Policy","id":"ITEM-2","issue":"8","issued":{"date-parts":[["2010","8","1"]]},"page":"4265-4279","publisher":"Elsevier","title":"Energy use and appliance ownership in Ireland","type":"article-journal","volume":"38"},"uris":["http://www.mendeley.com/documents/?uuid=495e70e0-1400-3886-8748-2879cb3361e2"]}],"mendeley":{"formattedCitation":"(&lt;i&gt;57&lt;/i&gt;, &lt;i&gt;58&lt;/i&gt;)","plainTextFormattedCitation":"(57, 58)","previouslyFormattedCitation":"(&lt;i&gt;57&lt;/i&gt;, &lt;i&gt;58&lt;/i&gt;)"},"properties":{"noteIndex":0},"schema":"https://github.com/citation-style-language/schema/raw/master/csl-citation.json"}</w:instrText>
      </w:r>
      <w:r w:rsidR="003D1411">
        <w:fldChar w:fldCharType="separate"/>
      </w:r>
      <w:r w:rsidR="00D60DFA" w:rsidRPr="00D60DFA">
        <w:rPr>
          <w:noProof/>
        </w:rPr>
        <w:t>(</w:t>
      </w:r>
      <w:r w:rsidR="00D60DFA" w:rsidRPr="00D60DFA">
        <w:rPr>
          <w:i/>
          <w:noProof/>
        </w:rPr>
        <w:t>57</w:t>
      </w:r>
      <w:r w:rsidR="00D60DFA" w:rsidRPr="00D60DFA">
        <w:rPr>
          <w:noProof/>
        </w:rPr>
        <w:t xml:space="preserve">, </w:t>
      </w:r>
      <w:r w:rsidR="00D60DFA" w:rsidRPr="00D60DFA">
        <w:rPr>
          <w:i/>
          <w:noProof/>
        </w:rPr>
        <w:t>58</w:t>
      </w:r>
      <w:r w:rsidR="00D60DFA" w:rsidRPr="00D60DFA">
        <w:rPr>
          <w:noProof/>
        </w:rPr>
        <w:t>)</w:t>
      </w:r>
      <w:r w:rsidR="003D1411">
        <w:fldChar w:fldCharType="end"/>
      </w:r>
      <w:r w:rsidR="003D1411">
        <w:t xml:space="preserve">. </w:t>
      </w:r>
      <w:r w:rsidRPr="00446D48">
        <w:t xml:space="preserve">Finally, </w:t>
      </w:r>
      <w:r>
        <w:t xml:space="preserve">average </w:t>
      </w:r>
      <w:r w:rsidRPr="00446D48">
        <w:t xml:space="preserve">annual miles </w:t>
      </w:r>
      <w:r w:rsidR="00B66A9F">
        <w:t xml:space="preserve">driven variable is </w:t>
      </w:r>
      <w:r w:rsidRPr="00446D48">
        <w:t xml:space="preserve">found to be </w:t>
      </w:r>
      <w:r w:rsidR="00B66A9F">
        <w:t>positively associated with</w:t>
      </w:r>
      <w:r w:rsidRPr="00446D48">
        <w:t xml:space="preserve"> natural gas consumption. </w:t>
      </w:r>
      <w:r w:rsidR="00D24A60" w:rsidRPr="00446D48">
        <w:t xml:space="preserve">This result is quite interesting and </w:t>
      </w:r>
      <w:r w:rsidR="00D24A60">
        <w:t>warrants</w:t>
      </w:r>
      <w:r w:rsidR="00D24A60" w:rsidRPr="00446D48">
        <w:t xml:space="preserve"> further research.</w:t>
      </w:r>
      <w:r w:rsidR="00D24A60">
        <w:t xml:space="preserve"> </w:t>
      </w:r>
      <w:r>
        <w:t>Overall, the findings are consistent with expectations and speak to the important role played by different factors in affecting residential energy demand.</w:t>
      </w:r>
    </w:p>
    <w:p w14:paraId="2139B804" w14:textId="1CCE2EBB" w:rsidR="00221DFD" w:rsidRDefault="00ED2BCB" w:rsidP="000B26F3">
      <w:pPr>
        <w:pStyle w:val="Heading3"/>
      </w:pPr>
      <w:r>
        <w:t xml:space="preserve">6.2.3 </w:t>
      </w:r>
      <w:r w:rsidR="00221DFD">
        <w:t xml:space="preserve">Weight Component </w:t>
      </w:r>
    </w:p>
    <w:p w14:paraId="3E552B99" w14:textId="7E0E4424" w:rsidR="00221DFD" w:rsidRDefault="00221DFD" w:rsidP="00221DFD">
      <w:r>
        <w:t xml:space="preserve">As discussed earlier, variables used in the weight component are </w:t>
      </w:r>
      <w:r w:rsidR="00B66A9F">
        <w:t xml:space="preserve">common variables </w:t>
      </w:r>
      <w:r>
        <w:t>present in both datasets</w:t>
      </w:r>
      <w:r w:rsidR="00B66A9F">
        <w:t xml:space="preserve"> that are not considered for matching</w:t>
      </w:r>
      <w:r>
        <w:t xml:space="preserve">. In terms of the electricity demand model, we find two variables: difference in household size and number of adults to exert significant impact on the weight component. The reader would note that </w:t>
      </w:r>
      <w:r w:rsidR="00C079A5">
        <w:t>a</w:t>
      </w:r>
      <w:r>
        <w:t xml:space="preserve"> 0 difference means household from RECS and the fused household from NHTS has similar characteristics with respect to household size and number of adults. As expected, we find a negative impact for both of these variables on the electricity consumption model. The results indicates that the records having higher differences in household size and no. of adults will </w:t>
      </w:r>
      <w:r w:rsidR="00B66A9F">
        <w:t>have lower weight contributions</w:t>
      </w:r>
      <w:r>
        <w:t xml:space="preserve"> to the electricity </w:t>
      </w:r>
      <w:r>
        <w:lastRenderedPageBreak/>
        <w:t xml:space="preserve">consumption model. </w:t>
      </w:r>
      <w:r w:rsidR="00D802C0">
        <w:t xml:space="preserve">In the natural gas model, we observe a similar finding for </w:t>
      </w:r>
      <w:r w:rsidR="00D91505">
        <w:t xml:space="preserve">“number of adults” variable difference. In the natural gas model, </w:t>
      </w:r>
      <w:r w:rsidR="00B767AE">
        <w:t xml:space="preserve">we also observe that contribution of a record is </w:t>
      </w:r>
      <w:r w:rsidR="007D48C6">
        <w:t>substantially higher</w:t>
      </w:r>
      <w:r w:rsidR="00B767AE">
        <w:t xml:space="preserve"> when the ethnicity of the household match</w:t>
      </w:r>
      <w:r w:rsidR="007D48C6">
        <w:t>es</w:t>
      </w:r>
      <w:r w:rsidR="00B767AE">
        <w:t xml:space="preserve"> with the fused household ethnicity. </w:t>
      </w:r>
    </w:p>
    <w:p w14:paraId="3D288605" w14:textId="77777777" w:rsidR="000B26F3" w:rsidRPr="003A6E85" w:rsidRDefault="000B26F3" w:rsidP="00221DFD"/>
    <w:p w14:paraId="139E26C8" w14:textId="1E2A8910" w:rsidR="001F241D" w:rsidRDefault="00ED2BCB" w:rsidP="000B26F3">
      <w:pPr>
        <w:pStyle w:val="Heading2"/>
      </w:pPr>
      <w:r>
        <w:t xml:space="preserve">6.3 </w:t>
      </w:r>
      <w:r w:rsidR="001F241D">
        <w:t>Validation Analysis</w:t>
      </w:r>
    </w:p>
    <w:p w14:paraId="2FF48C2D" w14:textId="2ED4E523" w:rsidR="00D0223E" w:rsidRDefault="00D0223E" w:rsidP="001F241D">
      <w:r>
        <w:t xml:space="preserve">The model estimation results clearly illustrate the improved performance of the proposed model. In this section, we conduct a </w:t>
      </w:r>
      <w:r w:rsidR="00205E63">
        <w:t>validation exercise, to evaluate the performance of the proposed LWLR model on the records not used for model estimation (hold-out sample). In the validatio</w:t>
      </w:r>
      <w:r w:rsidR="0014328A">
        <w:t xml:space="preserve">n exercise, </w:t>
      </w:r>
      <w:r w:rsidR="006437B8">
        <w:t>the performance of the fused LWLR model (with additional variables from NHTS and latent weight) is compared with the</w:t>
      </w:r>
      <w:r w:rsidR="006437B8" w:rsidRPr="002D5A38">
        <w:t xml:space="preserve"> </w:t>
      </w:r>
      <w:r w:rsidR="006437B8">
        <w:t>simple SLR model (employed with data form RECS only</w:t>
      </w:r>
      <w:r w:rsidR="006437B8" w:rsidRPr="002D5A38">
        <w:t xml:space="preserve"> </w:t>
      </w:r>
      <w:r w:rsidR="006437B8">
        <w:t>without fusing any record from the NHTS database)</w:t>
      </w:r>
      <w:r w:rsidR="00FB378F">
        <w:t xml:space="preserve"> and equal weight EWLR model (with additional variables from NHTS and equal weight)</w:t>
      </w:r>
      <w:r w:rsidR="006437B8">
        <w:t xml:space="preserve">. The comparison exercise </w:t>
      </w:r>
      <w:r w:rsidR="00B533E3">
        <w:t xml:space="preserve">across </w:t>
      </w:r>
      <w:r w:rsidR="006437B8">
        <w:t xml:space="preserve">the </w:t>
      </w:r>
      <w:r w:rsidR="00B533E3">
        <w:t xml:space="preserve">three </w:t>
      </w:r>
      <w:r w:rsidR="006437B8">
        <w:t xml:space="preserve">models is conducted based on the predictive log-likelihood (LL) </w:t>
      </w:r>
      <w:r w:rsidR="005431DD">
        <w:t xml:space="preserve">and BIC </w:t>
      </w:r>
      <w:r w:rsidR="006437B8">
        <w:t>values.</w:t>
      </w:r>
      <w:r w:rsidR="005431DD">
        <w:t xml:space="preserve"> </w:t>
      </w:r>
    </w:p>
    <w:p w14:paraId="21817C72" w14:textId="62C67A88" w:rsidR="00A31F72" w:rsidRDefault="001B3110" w:rsidP="001F241D">
      <w:r>
        <w:tab/>
        <w:t xml:space="preserve">The validation exercise is </w:t>
      </w:r>
      <w:r w:rsidR="00AB1560">
        <w:t xml:space="preserve">initially </w:t>
      </w:r>
      <w:r>
        <w:t xml:space="preserve">conducted with the </w:t>
      </w:r>
      <w:r w:rsidR="00AB1560">
        <w:t xml:space="preserve">4000 record RECS estimation sample and 1686 record RECS validation sample. </w:t>
      </w:r>
      <w:r w:rsidR="00FC1182">
        <w:t xml:space="preserve">However, </w:t>
      </w:r>
      <w:r w:rsidR="00B33BFB">
        <w:t>we realize that sample size in estimation could play a critical role in model performances</w:t>
      </w:r>
      <w:r w:rsidR="0036675F">
        <w:t xml:space="preserve"> </w:t>
      </w:r>
      <w:r w:rsidR="0036675F">
        <w:fldChar w:fldCharType="begin" w:fldLock="1"/>
      </w:r>
      <w:r w:rsidR="00D60DFA">
        <w:instrText>ADDIN CSL_CITATION {"citationItems":[{"id":"ITEM-1","itemData":{"DOI":"10.1016/j.trb.2021.09.008","ISSN":"01912615","abstract":"There is limited adoption of research modeling crash severity frequency considering different crash types due to the challenge associated with analyzing large number of dependent variables. The proposed research contributes to burgeoning econometric and safety literature by developing a joint modeling approach that can accommodate for several dependent variables within a parsimonious structure. By recasting the analysis levels for dependent variables, the proposed approach allows for flexible consideration of crashes by type and severity within a single framework. Specifically, we employ a Panel Mixed Negative Binomial- Generalized Ordered Probit Fractional Spilt (PMNB-GOPFS) model where the first component (NB) accommodates for crash frequency by crash type and the later component (GOPFS) studies the fraction of severity outcome for different crash types. The proposed model system increases interaction between dependent variables through observed variables thus reducing the dependency on unobserved interactions across dependent variables. Thus, the proposed approach allows for the estimation of parsimonious specifications reducing the need for computationally intensive simulation based estimation. The proposed system is also flexible to accommodate for common unobserved effects including: 1) common unobserved factors simultaneously affecting crash counts of different crash types; 2) common unobserved factors simultaneously affecting crash severity proportions of different crash types; and 3) common unobserved factors that simultaneously impact crash counts and severity proportions by different crash types. The model system performance is illustrated using a simulation study. The empirical analysis was conducted using zonal level crash count data for the year 2016 from Central Florida while considering a comprehensive set of exogenous variables including roadway, built environment, land-use, traffic and sociodemographic characteristics. To illustrate the applicability of our proposed system, we carried out a comparison exercise between our proposed joint PMNB-GOPFS and the traditional multivariate system for predicting crash counts across different crash severities. The resulting goodness of fit measures clearly highlight the superior/equivalent performance of the proposed PMNB-GOPFS model over the traditional RPMNB model with less than half the number of parameters. The proposed framework can predict several dimensions including total crash counts, tot…","author":[{"dropping-particle":"","family":"Bhowmik","given":"Tanmoy","non-dropping-particle":"","parse-names":false,"suffix":""},{"dropping-particle":"","family":"Yasmin","given":"Shamsunnahar","non-dropping-particle":"","parse-names":false,"suffix":""},{"dropping-particle":"","family":"Eluru","given":"Naveen","non-dropping-particle":"","parse-names":false,"suffix":""}],"container-title":"Transportation Research Part B: Methodological","id":"ITEM-1","issued":{"date-parts":[["2021","11","1"]]},"page":"172-203","publisher":"Pergamon","title":"A New Econometric Approach for Modeling Several Count Variables: A Case Study of Crash Frequency Analysis by Crash Type and Severity","type":"article-journal","volume":"153"},"uris":["http://www.mendeley.com/documents/?uuid=359800a4-48bd-364c-86bd-eb8e3f5672c5"]}],"mendeley":{"formattedCitation":"(&lt;i&gt;59&lt;/i&gt;)","plainTextFormattedCitation":"(59)","previouslyFormattedCitation":"(&lt;i&gt;59&lt;/i&gt;)"},"properties":{"noteIndex":0},"schema":"https://github.com/citation-style-language/schema/raw/master/csl-citation.json"}</w:instrText>
      </w:r>
      <w:r w:rsidR="0036675F">
        <w:fldChar w:fldCharType="separate"/>
      </w:r>
      <w:r w:rsidR="00D60DFA" w:rsidRPr="00D60DFA">
        <w:rPr>
          <w:noProof/>
        </w:rPr>
        <w:t>(</w:t>
      </w:r>
      <w:r w:rsidR="00D60DFA" w:rsidRPr="00D60DFA">
        <w:rPr>
          <w:i/>
          <w:noProof/>
        </w:rPr>
        <w:t>59</w:t>
      </w:r>
      <w:r w:rsidR="00D60DFA" w:rsidRPr="00D60DFA">
        <w:rPr>
          <w:noProof/>
        </w:rPr>
        <w:t>)</w:t>
      </w:r>
      <w:r w:rsidR="0036675F">
        <w:fldChar w:fldCharType="end"/>
      </w:r>
      <w:r w:rsidR="00B33BFB">
        <w:t xml:space="preserve"> and hence we considered the influence of different sample sizes in model estimation by estimating the two model systems for different samples. </w:t>
      </w:r>
      <w:r w:rsidR="00AB1560">
        <w:t xml:space="preserve">Subsequently, to </w:t>
      </w:r>
      <w:r w:rsidR="005239F0">
        <w:t xml:space="preserve">account for </w:t>
      </w:r>
      <w:r w:rsidR="00297849">
        <w:t xml:space="preserve">the impact of </w:t>
      </w:r>
      <w:r w:rsidR="005239F0">
        <w:t>RECS sample size, we also conduct the validation exercise for different estimation and validation samples. In particular, from the RECS data, we randomly draw samples with 1,000; 2,000; 3,000; 4,000 and 5,000 households for estimation and for each estimation sample, the remaining households are considered as the hold-</w:t>
      </w:r>
      <w:r w:rsidR="005239F0">
        <w:lastRenderedPageBreak/>
        <w:t xml:space="preserve">out samples. For example, RECS survey data provides information on 5,686 households. Out of these, for the first scenario, we considered 1,000 households as our estimation sample and the remaining 4,686 households are used for our validation exercise. </w:t>
      </w:r>
      <w:r w:rsidR="002D2D55">
        <w:t>For all these estimation and hold-out samples, we fused 15 records (K-15) from the NHTS dataset to the RECS dataset based on similar census division and location of the household. For the fused dataset</w:t>
      </w:r>
      <w:r w:rsidR="00B33BFB">
        <w:t>,</w:t>
      </w:r>
      <w:r w:rsidR="002D2D55">
        <w:t xml:space="preserve"> SLR</w:t>
      </w:r>
      <w:r w:rsidR="00087DDB">
        <w:t>, EWLR</w:t>
      </w:r>
      <w:r w:rsidR="002D2D55">
        <w:t xml:space="preserve"> and LWLR models are </w:t>
      </w:r>
      <w:r w:rsidR="008261F6">
        <w:t>estimated,</w:t>
      </w:r>
      <w:r w:rsidR="002D2D55">
        <w:t xml:space="preserve"> and their performances based on predictive LL is compared. Further, as discussed earlier, for each record in the RECS data, there could be several potential matching records from the NHTS database and selecting 15 randomly out of these might introduce bias. Therefore, within each estimation and hold-out samples, we create 15 fused datasets (N), estimate (for estimation sample)/predict (for validation sample) the LL for each dataset across each model and finally compare the two models based on the average LL measures. </w:t>
      </w:r>
      <w:r w:rsidR="00C37652">
        <w:t xml:space="preserve">The validation results are presented in Table 3. </w:t>
      </w:r>
    </w:p>
    <w:p w14:paraId="4EB5A02B" w14:textId="77777777" w:rsidR="00A31F72" w:rsidRDefault="00A31F72" w:rsidP="00A31F72">
      <w:pPr>
        <w:sectPr w:rsidR="00A31F72" w:rsidSect="00687862">
          <w:pgSz w:w="12240" w:h="15840" w:code="1"/>
          <w:pgMar w:top="1440" w:right="1440" w:bottom="1440" w:left="1440" w:header="720" w:footer="720" w:gutter="0"/>
          <w:lnNumType w:countBy="1" w:restart="continuous"/>
          <w:cols w:space="708"/>
          <w:titlePg/>
          <w:docGrid w:linePitch="360"/>
        </w:sectPr>
      </w:pPr>
    </w:p>
    <w:p w14:paraId="489074EB" w14:textId="52CFB396" w:rsidR="00A31F72" w:rsidRPr="000B26F3" w:rsidRDefault="00A31F72" w:rsidP="00A31F72">
      <w:pPr>
        <w:rPr>
          <w:b/>
          <w:bCs/>
        </w:rPr>
      </w:pPr>
      <w:r w:rsidRPr="000B26F3">
        <w:rPr>
          <w:b/>
          <w:bCs/>
        </w:rPr>
        <w:lastRenderedPageBreak/>
        <w:t>Table 3: Model Validation Results</w:t>
      </w:r>
    </w:p>
    <w:tbl>
      <w:tblPr>
        <w:tblW w:w="496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40"/>
        <w:gridCol w:w="1159"/>
        <w:gridCol w:w="938"/>
        <w:gridCol w:w="1079"/>
        <w:gridCol w:w="1080"/>
        <w:gridCol w:w="1313"/>
        <w:gridCol w:w="1491"/>
        <w:gridCol w:w="976"/>
        <w:gridCol w:w="1152"/>
        <w:gridCol w:w="1007"/>
        <w:gridCol w:w="1313"/>
        <w:gridCol w:w="1491"/>
      </w:tblGrid>
      <w:tr w:rsidR="001E065A" w:rsidRPr="00F46D04" w14:paraId="02D3D960" w14:textId="77777777" w:rsidTr="00D62150">
        <w:trPr>
          <w:cantSplit/>
          <w:trHeight w:val="288"/>
        </w:trPr>
        <w:tc>
          <w:tcPr>
            <w:tcW w:w="840" w:type="dxa"/>
            <w:vMerge w:val="restart"/>
            <w:tcBorders>
              <w:top w:val="double" w:sz="4" w:space="0" w:color="auto"/>
              <w:bottom w:val="single" w:sz="4" w:space="0" w:color="auto"/>
              <w:right w:val="double" w:sz="4" w:space="0" w:color="auto"/>
            </w:tcBorders>
            <w:shd w:val="clear" w:color="auto" w:fill="auto"/>
            <w:noWrap/>
            <w:vAlign w:val="center"/>
            <w:hideMark/>
          </w:tcPr>
          <w:p w14:paraId="5B9B47B0" w14:textId="77777777" w:rsidR="00B22E96" w:rsidRDefault="00B22E96" w:rsidP="000B26F3">
            <w:pPr>
              <w:spacing w:line="240" w:lineRule="auto"/>
              <w:jc w:val="center"/>
              <w:rPr>
                <w:rFonts w:eastAsia="Times New Roman" w:cs="Times New Roman"/>
                <w:b/>
                <w:bCs/>
                <w:sz w:val="20"/>
                <w:szCs w:val="20"/>
                <w:lang w:val="en-US"/>
              </w:rPr>
            </w:pPr>
            <w:r>
              <w:rPr>
                <w:rFonts w:eastAsia="Times New Roman" w:cs="Times New Roman"/>
                <w:b/>
                <w:bCs/>
                <w:sz w:val="20"/>
                <w:szCs w:val="20"/>
                <w:lang w:val="en-US"/>
              </w:rPr>
              <w:t>Energy</w:t>
            </w:r>
          </w:p>
          <w:p w14:paraId="7D2757C4" w14:textId="2367AE6D" w:rsidR="001E065A" w:rsidRPr="00E0488B" w:rsidRDefault="008D59B1" w:rsidP="000B26F3">
            <w:pPr>
              <w:spacing w:line="240" w:lineRule="auto"/>
              <w:jc w:val="center"/>
              <w:rPr>
                <w:rFonts w:eastAsia="Times New Roman" w:cs="Times New Roman"/>
                <w:b/>
                <w:bCs/>
                <w:sz w:val="20"/>
                <w:szCs w:val="20"/>
                <w:lang w:val="en-US"/>
              </w:rPr>
            </w:pPr>
            <w:r>
              <w:rPr>
                <w:rFonts w:eastAsia="Times New Roman" w:cs="Times New Roman"/>
                <w:b/>
                <w:bCs/>
                <w:sz w:val="20"/>
                <w:szCs w:val="20"/>
                <w:lang w:val="en-US"/>
              </w:rPr>
              <w:t>Source</w:t>
            </w:r>
          </w:p>
        </w:tc>
        <w:tc>
          <w:tcPr>
            <w:tcW w:w="1159" w:type="dxa"/>
            <w:vMerge w:val="restart"/>
            <w:tcBorders>
              <w:top w:val="double" w:sz="4" w:space="0" w:color="auto"/>
              <w:left w:val="double" w:sz="4" w:space="0" w:color="auto"/>
              <w:bottom w:val="single" w:sz="4" w:space="0" w:color="auto"/>
            </w:tcBorders>
            <w:shd w:val="clear" w:color="auto" w:fill="auto"/>
            <w:vAlign w:val="center"/>
            <w:hideMark/>
          </w:tcPr>
          <w:p w14:paraId="695EE9C5" w14:textId="77777777" w:rsidR="001E065A" w:rsidRPr="00E0488B" w:rsidRDefault="001E065A" w:rsidP="000B26F3">
            <w:pPr>
              <w:spacing w:line="240" w:lineRule="auto"/>
              <w:jc w:val="center"/>
              <w:rPr>
                <w:rFonts w:eastAsia="Times New Roman" w:cs="Times New Roman"/>
                <w:b/>
                <w:bCs/>
                <w:color w:val="000000"/>
                <w:sz w:val="20"/>
                <w:szCs w:val="20"/>
                <w:lang w:val="en-US"/>
              </w:rPr>
            </w:pPr>
            <w:r w:rsidRPr="00E0488B">
              <w:rPr>
                <w:rFonts w:eastAsia="Times New Roman" w:cs="Times New Roman"/>
                <w:b/>
                <w:bCs/>
                <w:color w:val="000000"/>
                <w:sz w:val="20"/>
                <w:szCs w:val="20"/>
                <w:lang w:val="en-US"/>
              </w:rPr>
              <w:t>Sample size</w:t>
            </w:r>
          </w:p>
        </w:tc>
        <w:tc>
          <w:tcPr>
            <w:tcW w:w="5901" w:type="dxa"/>
            <w:gridSpan w:val="5"/>
            <w:tcBorders>
              <w:top w:val="double" w:sz="4" w:space="0" w:color="auto"/>
              <w:bottom w:val="single" w:sz="4" w:space="0" w:color="auto"/>
              <w:right w:val="double" w:sz="4" w:space="0" w:color="auto"/>
            </w:tcBorders>
            <w:shd w:val="clear" w:color="auto" w:fill="auto"/>
            <w:noWrap/>
            <w:vAlign w:val="center"/>
            <w:hideMark/>
          </w:tcPr>
          <w:p w14:paraId="6AD0FCAC" w14:textId="70DE1C39" w:rsidR="001E065A" w:rsidRPr="00E0488B" w:rsidRDefault="001E065A" w:rsidP="000B26F3">
            <w:pPr>
              <w:spacing w:line="240" w:lineRule="auto"/>
              <w:jc w:val="center"/>
              <w:rPr>
                <w:rFonts w:eastAsia="Times New Roman" w:cs="Times New Roman"/>
                <w:b/>
                <w:bCs/>
                <w:color w:val="000000"/>
                <w:sz w:val="20"/>
                <w:szCs w:val="20"/>
                <w:lang w:val="en-US"/>
              </w:rPr>
            </w:pPr>
            <w:r w:rsidRPr="00E0488B">
              <w:rPr>
                <w:rFonts w:eastAsia="Times New Roman" w:cs="Times New Roman"/>
                <w:b/>
                <w:bCs/>
                <w:color w:val="000000"/>
                <w:sz w:val="20"/>
                <w:szCs w:val="20"/>
                <w:lang w:val="en-US"/>
              </w:rPr>
              <w:t>Avg. LL</w:t>
            </w:r>
            <w:r w:rsidRPr="00E0488B">
              <w:rPr>
                <w:rFonts w:eastAsia="Times New Roman" w:cs="Times New Roman"/>
                <w:b/>
                <w:bCs/>
                <w:color w:val="000000"/>
                <w:sz w:val="20"/>
                <w:szCs w:val="20"/>
                <w:vertAlign w:val="superscript"/>
                <w:lang w:val="en-US"/>
              </w:rPr>
              <w:t>*</w:t>
            </w:r>
            <w:r w:rsidRPr="00E0488B">
              <w:rPr>
                <w:rFonts w:eastAsia="Times New Roman" w:cs="Times New Roman"/>
                <w:b/>
                <w:bCs/>
                <w:color w:val="000000"/>
                <w:sz w:val="20"/>
                <w:szCs w:val="20"/>
                <w:lang w:val="en-US"/>
              </w:rPr>
              <w:t xml:space="preserve"> comparison for </w:t>
            </w:r>
            <w:r>
              <w:rPr>
                <w:rFonts w:eastAsia="Times New Roman" w:cs="Times New Roman"/>
                <w:b/>
                <w:bCs/>
                <w:color w:val="000000"/>
                <w:sz w:val="20"/>
                <w:szCs w:val="20"/>
                <w:lang w:val="en-US"/>
              </w:rPr>
              <w:t>Estimation Sample</w:t>
            </w:r>
          </w:p>
        </w:tc>
        <w:tc>
          <w:tcPr>
            <w:tcW w:w="5939" w:type="dxa"/>
            <w:gridSpan w:val="5"/>
            <w:tcBorders>
              <w:top w:val="double" w:sz="4" w:space="0" w:color="auto"/>
              <w:bottom w:val="single" w:sz="4" w:space="0" w:color="auto"/>
            </w:tcBorders>
          </w:tcPr>
          <w:p w14:paraId="627021F7" w14:textId="13EDA647" w:rsidR="001E065A" w:rsidRPr="00E0488B" w:rsidRDefault="001E065A" w:rsidP="000B26F3">
            <w:pPr>
              <w:spacing w:line="240" w:lineRule="auto"/>
              <w:jc w:val="center"/>
              <w:rPr>
                <w:rFonts w:eastAsia="Times New Roman" w:cs="Times New Roman"/>
                <w:b/>
                <w:bCs/>
                <w:color w:val="000000"/>
                <w:sz w:val="20"/>
                <w:szCs w:val="20"/>
                <w:lang w:val="en-US"/>
              </w:rPr>
            </w:pPr>
            <w:r w:rsidRPr="00E0488B">
              <w:rPr>
                <w:rFonts w:eastAsia="Times New Roman" w:cs="Times New Roman"/>
                <w:b/>
                <w:bCs/>
                <w:color w:val="000000"/>
                <w:sz w:val="20"/>
                <w:szCs w:val="20"/>
                <w:lang w:val="en-US"/>
              </w:rPr>
              <w:t>Avg. LL comparison for</w:t>
            </w:r>
            <w:r>
              <w:rPr>
                <w:rFonts w:eastAsia="Times New Roman" w:cs="Times New Roman"/>
                <w:b/>
                <w:bCs/>
                <w:color w:val="000000"/>
                <w:sz w:val="20"/>
                <w:szCs w:val="20"/>
                <w:lang w:val="en-US"/>
              </w:rPr>
              <w:t xml:space="preserve"> Validation Sample</w:t>
            </w:r>
          </w:p>
        </w:tc>
      </w:tr>
      <w:tr w:rsidR="00B22E96" w:rsidRPr="00F46D04" w14:paraId="72CFF412" w14:textId="77777777" w:rsidTr="00D62150">
        <w:trPr>
          <w:cantSplit/>
          <w:trHeight w:val="288"/>
        </w:trPr>
        <w:tc>
          <w:tcPr>
            <w:tcW w:w="840" w:type="dxa"/>
            <w:vMerge/>
            <w:tcBorders>
              <w:top w:val="single" w:sz="4" w:space="0" w:color="auto"/>
              <w:bottom w:val="single" w:sz="4" w:space="0" w:color="auto"/>
              <w:right w:val="double" w:sz="4" w:space="0" w:color="auto"/>
            </w:tcBorders>
            <w:shd w:val="clear" w:color="auto" w:fill="auto"/>
            <w:noWrap/>
            <w:vAlign w:val="center"/>
            <w:hideMark/>
          </w:tcPr>
          <w:p w14:paraId="1446E6C8" w14:textId="77777777" w:rsidR="001E065A" w:rsidRPr="00E0488B" w:rsidRDefault="001E065A" w:rsidP="000B26F3">
            <w:pPr>
              <w:spacing w:line="240" w:lineRule="auto"/>
              <w:jc w:val="center"/>
              <w:rPr>
                <w:rFonts w:eastAsia="Times New Roman" w:cs="Times New Roman"/>
                <w:color w:val="000000"/>
                <w:sz w:val="20"/>
                <w:szCs w:val="20"/>
                <w:lang w:val="en-US"/>
              </w:rPr>
            </w:pPr>
          </w:p>
        </w:tc>
        <w:tc>
          <w:tcPr>
            <w:tcW w:w="1159" w:type="dxa"/>
            <w:vMerge/>
            <w:tcBorders>
              <w:top w:val="single" w:sz="4" w:space="0" w:color="auto"/>
              <w:left w:val="double" w:sz="4" w:space="0" w:color="auto"/>
              <w:bottom w:val="single" w:sz="4" w:space="0" w:color="auto"/>
            </w:tcBorders>
            <w:vAlign w:val="center"/>
            <w:hideMark/>
          </w:tcPr>
          <w:p w14:paraId="7F105541" w14:textId="77777777" w:rsidR="001E065A" w:rsidRPr="00E0488B" w:rsidRDefault="001E065A" w:rsidP="000B26F3">
            <w:pPr>
              <w:spacing w:line="240" w:lineRule="auto"/>
              <w:jc w:val="center"/>
              <w:rPr>
                <w:rFonts w:eastAsia="Times New Roman" w:cs="Times New Roman"/>
                <w:color w:val="000000"/>
                <w:sz w:val="20"/>
                <w:szCs w:val="20"/>
                <w:lang w:val="en-US"/>
              </w:rPr>
            </w:pPr>
          </w:p>
        </w:tc>
        <w:tc>
          <w:tcPr>
            <w:tcW w:w="938" w:type="dxa"/>
            <w:shd w:val="clear" w:color="auto" w:fill="auto"/>
            <w:noWrap/>
            <w:vAlign w:val="center"/>
            <w:hideMark/>
          </w:tcPr>
          <w:p w14:paraId="30A3A436" w14:textId="77777777" w:rsidR="001E065A" w:rsidRPr="00E0488B" w:rsidRDefault="001E065A" w:rsidP="000B26F3">
            <w:pPr>
              <w:spacing w:line="240" w:lineRule="auto"/>
              <w:jc w:val="center"/>
              <w:rPr>
                <w:rFonts w:eastAsia="Times New Roman" w:cs="Times New Roman"/>
                <w:i/>
                <w:iCs/>
                <w:color w:val="000000"/>
                <w:sz w:val="20"/>
                <w:szCs w:val="20"/>
                <w:lang w:val="en-US"/>
              </w:rPr>
            </w:pPr>
            <w:r w:rsidRPr="00E0488B">
              <w:rPr>
                <w:rFonts w:eastAsia="Times New Roman" w:cs="Times New Roman"/>
                <w:i/>
                <w:iCs/>
                <w:color w:val="000000"/>
                <w:sz w:val="20"/>
                <w:szCs w:val="20"/>
                <w:lang w:val="en-US"/>
              </w:rPr>
              <w:t>SLR</w:t>
            </w:r>
          </w:p>
        </w:tc>
        <w:tc>
          <w:tcPr>
            <w:tcW w:w="1079" w:type="dxa"/>
            <w:shd w:val="clear" w:color="auto" w:fill="auto"/>
            <w:noWrap/>
            <w:vAlign w:val="center"/>
          </w:tcPr>
          <w:p w14:paraId="10DF805D" w14:textId="77777777" w:rsidR="001E065A" w:rsidRPr="00E0488B" w:rsidRDefault="001E065A" w:rsidP="000B26F3">
            <w:pPr>
              <w:spacing w:line="240" w:lineRule="auto"/>
              <w:jc w:val="center"/>
              <w:rPr>
                <w:rFonts w:eastAsia="Times New Roman" w:cs="Times New Roman"/>
                <w:i/>
                <w:iCs/>
                <w:color w:val="000000"/>
                <w:sz w:val="20"/>
                <w:szCs w:val="20"/>
                <w:lang w:val="en-US"/>
              </w:rPr>
            </w:pPr>
            <w:r>
              <w:rPr>
                <w:rFonts w:eastAsia="Times New Roman" w:cs="Times New Roman"/>
                <w:i/>
                <w:iCs/>
                <w:color w:val="000000"/>
                <w:sz w:val="20"/>
                <w:szCs w:val="20"/>
                <w:lang w:val="en-US"/>
              </w:rPr>
              <w:t>EWLR</w:t>
            </w:r>
          </w:p>
        </w:tc>
        <w:tc>
          <w:tcPr>
            <w:tcW w:w="1080" w:type="dxa"/>
            <w:tcBorders>
              <w:top w:val="single" w:sz="4" w:space="0" w:color="auto"/>
              <w:bottom w:val="single" w:sz="4" w:space="0" w:color="auto"/>
              <w:right w:val="single" w:sz="4" w:space="0" w:color="auto"/>
            </w:tcBorders>
            <w:shd w:val="clear" w:color="auto" w:fill="auto"/>
            <w:noWrap/>
            <w:vAlign w:val="center"/>
          </w:tcPr>
          <w:p w14:paraId="694C33F8" w14:textId="77777777" w:rsidR="001E065A" w:rsidRPr="00E0488B" w:rsidRDefault="001E065A" w:rsidP="000B26F3">
            <w:pPr>
              <w:spacing w:line="240" w:lineRule="auto"/>
              <w:jc w:val="center"/>
              <w:rPr>
                <w:rFonts w:eastAsia="Times New Roman" w:cs="Times New Roman"/>
                <w:i/>
                <w:iCs/>
                <w:color w:val="000000"/>
                <w:sz w:val="20"/>
                <w:szCs w:val="20"/>
                <w:vertAlign w:val="superscript"/>
                <w:lang w:val="en-US"/>
              </w:rPr>
            </w:pPr>
            <w:r w:rsidRPr="00E0488B">
              <w:rPr>
                <w:rFonts w:eastAsia="Times New Roman" w:cs="Times New Roman"/>
                <w:i/>
                <w:iCs/>
                <w:color w:val="000000"/>
                <w:sz w:val="20"/>
                <w:szCs w:val="20"/>
                <w:lang w:val="en-US"/>
              </w:rPr>
              <w:t>LWLR</w:t>
            </w:r>
          </w:p>
        </w:tc>
        <w:tc>
          <w:tcPr>
            <w:tcW w:w="1313" w:type="dxa"/>
            <w:tcBorders>
              <w:top w:val="single" w:sz="4" w:space="0" w:color="auto"/>
              <w:left w:val="single" w:sz="4" w:space="0" w:color="auto"/>
              <w:bottom w:val="single" w:sz="4" w:space="0" w:color="auto"/>
              <w:right w:val="double" w:sz="4" w:space="0" w:color="auto"/>
            </w:tcBorders>
            <w:vAlign w:val="center"/>
          </w:tcPr>
          <w:p w14:paraId="2B72962C" w14:textId="77777777" w:rsidR="001E065A" w:rsidRDefault="001E065A" w:rsidP="000B26F3">
            <w:pPr>
              <w:spacing w:line="240" w:lineRule="auto"/>
              <w:jc w:val="center"/>
              <w:rPr>
                <w:rFonts w:eastAsia="Times New Roman" w:cs="Times New Roman"/>
                <w:i/>
                <w:iCs/>
                <w:color w:val="000000"/>
                <w:sz w:val="20"/>
                <w:szCs w:val="20"/>
                <w:lang w:val="en-US"/>
              </w:rPr>
            </w:pPr>
            <w:r w:rsidRPr="00E0488B">
              <w:rPr>
                <w:rFonts w:eastAsia="Times New Roman" w:cs="Times New Roman"/>
                <w:i/>
                <w:iCs/>
                <w:color w:val="000000"/>
                <w:sz w:val="20"/>
                <w:szCs w:val="20"/>
                <w:lang w:val="en-US"/>
              </w:rPr>
              <w:t>Improvement</w:t>
            </w:r>
          </w:p>
          <w:p w14:paraId="65F7F118" w14:textId="77777777" w:rsidR="001E065A" w:rsidRPr="00E0488B" w:rsidRDefault="001E065A" w:rsidP="000B26F3">
            <w:pPr>
              <w:spacing w:line="240" w:lineRule="auto"/>
              <w:jc w:val="center"/>
              <w:rPr>
                <w:rFonts w:eastAsia="Times New Roman" w:cs="Times New Roman"/>
                <w:i/>
                <w:iCs/>
                <w:color w:val="000000"/>
                <w:sz w:val="20"/>
                <w:szCs w:val="20"/>
                <w:lang w:val="en-US"/>
              </w:rPr>
            </w:pPr>
            <w:r>
              <w:rPr>
                <w:rFonts w:eastAsia="Times New Roman" w:cs="Times New Roman"/>
                <w:i/>
                <w:iCs/>
                <w:color w:val="000000"/>
                <w:sz w:val="20"/>
                <w:szCs w:val="20"/>
                <w:lang w:val="en-US"/>
              </w:rPr>
              <w:t>(EWLR~SLR)</w:t>
            </w:r>
          </w:p>
        </w:tc>
        <w:tc>
          <w:tcPr>
            <w:tcW w:w="1491" w:type="dxa"/>
            <w:tcBorders>
              <w:top w:val="single" w:sz="4" w:space="0" w:color="auto"/>
              <w:bottom w:val="single" w:sz="4" w:space="0" w:color="auto"/>
              <w:right w:val="double" w:sz="4" w:space="0" w:color="auto"/>
            </w:tcBorders>
            <w:vAlign w:val="center"/>
          </w:tcPr>
          <w:p w14:paraId="73E9211F" w14:textId="77777777" w:rsidR="001E065A" w:rsidRDefault="001E065A" w:rsidP="000B26F3">
            <w:pPr>
              <w:spacing w:line="240" w:lineRule="auto"/>
              <w:jc w:val="center"/>
              <w:rPr>
                <w:rFonts w:eastAsia="Times New Roman" w:cs="Times New Roman"/>
                <w:i/>
                <w:iCs/>
                <w:color w:val="000000"/>
                <w:sz w:val="20"/>
                <w:szCs w:val="20"/>
                <w:lang w:val="en-US"/>
              </w:rPr>
            </w:pPr>
            <w:r w:rsidRPr="00E0488B">
              <w:rPr>
                <w:rFonts w:eastAsia="Times New Roman" w:cs="Times New Roman"/>
                <w:i/>
                <w:iCs/>
                <w:color w:val="000000"/>
                <w:sz w:val="20"/>
                <w:szCs w:val="20"/>
                <w:lang w:val="en-US"/>
              </w:rPr>
              <w:t>Improvement</w:t>
            </w:r>
          </w:p>
          <w:p w14:paraId="51A8A8AF" w14:textId="77777777" w:rsidR="001E065A" w:rsidRPr="00E0488B" w:rsidRDefault="001E065A" w:rsidP="000B26F3">
            <w:pPr>
              <w:spacing w:line="240" w:lineRule="auto"/>
              <w:jc w:val="center"/>
              <w:rPr>
                <w:rFonts w:eastAsia="Times New Roman" w:cs="Times New Roman"/>
                <w:i/>
                <w:iCs/>
                <w:color w:val="000000"/>
                <w:sz w:val="20"/>
                <w:szCs w:val="20"/>
                <w:lang w:val="en-US"/>
              </w:rPr>
            </w:pPr>
            <w:r>
              <w:rPr>
                <w:rFonts w:eastAsia="Times New Roman" w:cs="Times New Roman"/>
                <w:i/>
                <w:iCs/>
                <w:color w:val="000000"/>
                <w:sz w:val="20"/>
                <w:szCs w:val="20"/>
                <w:lang w:val="en-US"/>
              </w:rPr>
              <w:t>(LWLR~EWLR)</w:t>
            </w:r>
          </w:p>
        </w:tc>
        <w:tc>
          <w:tcPr>
            <w:tcW w:w="976" w:type="dxa"/>
            <w:tcBorders>
              <w:top w:val="single" w:sz="4" w:space="0" w:color="auto"/>
              <w:left w:val="double" w:sz="4" w:space="0" w:color="auto"/>
              <w:bottom w:val="single" w:sz="4" w:space="0" w:color="auto"/>
            </w:tcBorders>
            <w:shd w:val="clear" w:color="auto" w:fill="auto"/>
            <w:noWrap/>
            <w:vAlign w:val="center"/>
            <w:hideMark/>
          </w:tcPr>
          <w:p w14:paraId="4E5C1651" w14:textId="77777777" w:rsidR="001E065A" w:rsidRPr="00E0488B" w:rsidRDefault="001E065A" w:rsidP="000B26F3">
            <w:pPr>
              <w:spacing w:line="240" w:lineRule="auto"/>
              <w:jc w:val="center"/>
              <w:rPr>
                <w:rFonts w:eastAsia="Times New Roman" w:cs="Times New Roman"/>
                <w:i/>
                <w:iCs/>
                <w:color w:val="000000"/>
                <w:sz w:val="20"/>
                <w:szCs w:val="20"/>
                <w:lang w:val="en-US"/>
              </w:rPr>
            </w:pPr>
            <w:r w:rsidRPr="00E0488B">
              <w:rPr>
                <w:rFonts w:eastAsia="Times New Roman" w:cs="Times New Roman"/>
                <w:i/>
                <w:iCs/>
                <w:color w:val="000000"/>
                <w:sz w:val="20"/>
                <w:szCs w:val="20"/>
                <w:lang w:val="en-US"/>
              </w:rPr>
              <w:t>SLR</w:t>
            </w:r>
          </w:p>
        </w:tc>
        <w:tc>
          <w:tcPr>
            <w:tcW w:w="1152" w:type="dxa"/>
            <w:shd w:val="clear" w:color="auto" w:fill="auto"/>
            <w:noWrap/>
            <w:vAlign w:val="center"/>
            <w:hideMark/>
          </w:tcPr>
          <w:p w14:paraId="3DD10BF9" w14:textId="77777777" w:rsidR="001E065A" w:rsidRPr="00E0488B" w:rsidRDefault="001E065A" w:rsidP="000B26F3">
            <w:pPr>
              <w:spacing w:line="240" w:lineRule="auto"/>
              <w:jc w:val="center"/>
              <w:rPr>
                <w:rFonts w:eastAsia="Times New Roman" w:cs="Times New Roman"/>
                <w:i/>
                <w:iCs/>
                <w:color w:val="000000"/>
                <w:sz w:val="20"/>
                <w:szCs w:val="20"/>
                <w:lang w:val="en-US"/>
              </w:rPr>
            </w:pPr>
            <w:r>
              <w:rPr>
                <w:rFonts w:eastAsia="Times New Roman" w:cs="Times New Roman"/>
                <w:i/>
                <w:iCs/>
                <w:color w:val="000000"/>
                <w:sz w:val="20"/>
                <w:szCs w:val="20"/>
                <w:lang w:val="en-US"/>
              </w:rPr>
              <w:t>EWLR</w:t>
            </w:r>
          </w:p>
        </w:tc>
        <w:tc>
          <w:tcPr>
            <w:tcW w:w="1007" w:type="dxa"/>
            <w:shd w:val="clear" w:color="auto" w:fill="auto"/>
            <w:noWrap/>
            <w:vAlign w:val="center"/>
            <w:hideMark/>
          </w:tcPr>
          <w:p w14:paraId="17C5348A" w14:textId="77777777" w:rsidR="001E065A" w:rsidRPr="00E0488B" w:rsidRDefault="001E065A" w:rsidP="000B26F3">
            <w:pPr>
              <w:spacing w:line="240" w:lineRule="auto"/>
              <w:jc w:val="center"/>
              <w:rPr>
                <w:rFonts w:eastAsia="Times New Roman" w:cs="Times New Roman"/>
                <w:i/>
                <w:iCs/>
                <w:color w:val="000000"/>
                <w:sz w:val="20"/>
                <w:szCs w:val="20"/>
                <w:lang w:val="en-US"/>
              </w:rPr>
            </w:pPr>
            <w:r>
              <w:rPr>
                <w:rFonts w:eastAsia="Times New Roman" w:cs="Times New Roman"/>
                <w:i/>
                <w:iCs/>
                <w:color w:val="000000"/>
                <w:sz w:val="20"/>
                <w:szCs w:val="20"/>
                <w:lang w:val="en-US"/>
              </w:rPr>
              <w:t>LWLR</w:t>
            </w:r>
            <w:r w:rsidRPr="00E0488B">
              <w:rPr>
                <w:rFonts w:eastAsia="Times New Roman" w:cs="Times New Roman"/>
                <w:i/>
                <w:iCs/>
                <w:color w:val="000000"/>
                <w:sz w:val="20"/>
                <w:szCs w:val="20"/>
                <w:lang w:val="en-US"/>
              </w:rPr>
              <w:t>.</w:t>
            </w:r>
          </w:p>
        </w:tc>
        <w:tc>
          <w:tcPr>
            <w:tcW w:w="1313" w:type="dxa"/>
            <w:vAlign w:val="center"/>
          </w:tcPr>
          <w:p w14:paraId="037D46E3" w14:textId="77777777" w:rsidR="001E065A" w:rsidRDefault="001E065A" w:rsidP="000B26F3">
            <w:pPr>
              <w:spacing w:line="240" w:lineRule="auto"/>
              <w:jc w:val="center"/>
              <w:rPr>
                <w:rFonts w:eastAsia="Times New Roman" w:cs="Times New Roman"/>
                <w:i/>
                <w:iCs/>
                <w:color w:val="000000"/>
                <w:sz w:val="20"/>
                <w:szCs w:val="20"/>
                <w:lang w:val="en-US"/>
              </w:rPr>
            </w:pPr>
            <w:r w:rsidRPr="00E0488B">
              <w:rPr>
                <w:rFonts w:eastAsia="Times New Roman" w:cs="Times New Roman"/>
                <w:i/>
                <w:iCs/>
                <w:color w:val="000000"/>
                <w:sz w:val="20"/>
                <w:szCs w:val="20"/>
                <w:lang w:val="en-US"/>
              </w:rPr>
              <w:t>Improvement</w:t>
            </w:r>
          </w:p>
          <w:p w14:paraId="78152124" w14:textId="77777777" w:rsidR="001E065A" w:rsidRPr="00E0488B" w:rsidRDefault="001E065A" w:rsidP="000B26F3">
            <w:pPr>
              <w:spacing w:line="240" w:lineRule="auto"/>
              <w:jc w:val="center"/>
              <w:rPr>
                <w:rFonts w:eastAsia="Times New Roman" w:cs="Times New Roman"/>
                <w:i/>
                <w:iCs/>
                <w:color w:val="000000"/>
                <w:sz w:val="20"/>
                <w:szCs w:val="20"/>
                <w:lang w:val="en-US"/>
              </w:rPr>
            </w:pPr>
            <w:r>
              <w:rPr>
                <w:rFonts w:eastAsia="Times New Roman" w:cs="Times New Roman"/>
                <w:i/>
                <w:iCs/>
                <w:color w:val="000000"/>
                <w:sz w:val="20"/>
                <w:szCs w:val="20"/>
                <w:lang w:val="en-US"/>
              </w:rPr>
              <w:t>(EWLR~SLR)</w:t>
            </w:r>
          </w:p>
        </w:tc>
        <w:tc>
          <w:tcPr>
            <w:tcW w:w="1491" w:type="dxa"/>
            <w:vAlign w:val="center"/>
          </w:tcPr>
          <w:p w14:paraId="5DA5687F" w14:textId="77777777" w:rsidR="001E065A" w:rsidRDefault="001E065A" w:rsidP="000B26F3">
            <w:pPr>
              <w:spacing w:line="240" w:lineRule="auto"/>
              <w:jc w:val="center"/>
              <w:rPr>
                <w:rFonts w:eastAsia="Times New Roman" w:cs="Times New Roman"/>
                <w:i/>
                <w:iCs/>
                <w:color w:val="000000"/>
                <w:sz w:val="20"/>
                <w:szCs w:val="20"/>
                <w:lang w:val="en-US"/>
              </w:rPr>
            </w:pPr>
            <w:r w:rsidRPr="00E0488B">
              <w:rPr>
                <w:rFonts w:eastAsia="Times New Roman" w:cs="Times New Roman"/>
                <w:i/>
                <w:iCs/>
                <w:color w:val="000000"/>
                <w:sz w:val="20"/>
                <w:szCs w:val="20"/>
                <w:lang w:val="en-US"/>
              </w:rPr>
              <w:t>Improvement</w:t>
            </w:r>
          </w:p>
          <w:p w14:paraId="2DA6CB3F" w14:textId="77777777" w:rsidR="001E065A" w:rsidRPr="00E0488B" w:rsidRDefault="001E065A" w:rsidP="000B26F3">
            <w:pPr>
              <w:spacing w:line="240" w:lineRule="auto"/>
              <w:jc w:val="center"/>
              <w:rPr>
                <w:rFonts w:eastAsia="Times New Roman" w:cs="Times New Roman"/>
                <w:i/>
                <w:iCs/>
                <w:color w:val="000000"/>
                <w:sz w:val="20"/>
                <w:szCs w:val="20"/>
                <w:lang w:val="en-US"/>
              </w:rPr>
            </w:pPr>
            <w:r>
              <w:rPr>
                <w:rFonts w:eastAsia="Times New Roman" w:cs="Times New Roman"/>
                <w:i/>
                <w:iCs/>
                <w:color w:val="000000"/>
                <w:sz w:val="20"/>
                <w:szCs w:val="20"/>
                <w:lang w:val="en-US"/>
              </w:rPr>
              <w:t>(LWLR~EWLR)</w:t>
            </w:r>
          </w:p>
        </w:tc>
      </w:tr>
      <w:tr w:rsidR="00D62150" w:rsidRPr="00F46D04" w14:paraId="63E96461" w14:textId="77777777" w:rsidTr="00914730">
        <w:trPr>
          <w:cantSplit/>
          <w:trHeight w:val="144"/>
        </w:trPr>
        <w:tc>
          <w:tcPr>
            <w:tcW w:w="840" w:type="dxa"/>
            <w:vMerge w:val="restart"/>
            <w:tcBorders>
              <w:top w:val="single" w:sz="4" w:space="0" w:color="auto"/>
              <w:bottom w:val="single" w:sz="4" w:space="0" w:color="auto"/>
              <w:right w:val="double" w:sz="4" w:space="0" w:color="auto"/>
            </w:tcBorders>
            <w:shd w:val="clear" w:color="auto" w:fill="auto"/>
            <w:noWrap/>
            <w:textDirection w:val="btLr"/>
            <w:vAlign w:val="center"/>
            <w:hideMark/>
          </w:tcPr>
          <w:p w14:paraId="2ED33B9E" w14:textId="5FEFB393" w:rsidR="00D62150" w:rsidRPr="001E065A" w:rsidRDefault="00D62150" w:rsidP="000B26F3">
            <w:pPr>
              <w:spacing w:line="240" w:lineRule="auto"/>
              <w:jc w:val="center"/>
              <w:rPr>
                <w:rFonts w:eastAsia="Times New Roman" w:cs="Times New Roman"/>
                <w:b/>
                <w:bCs/>
                <w:color w:val="000000"/>
                <w:sz w:val="20"/>
                <w:szCs w:val="20"/>
                <w:lang w:val="en-US"/>
              </w:rPr>
            </w:pPr>
            <w:r w:rsidRPr="001C5B75">
              <w:rPr>
                <w:rFonts w:eastAsia="Times New Roman" w:cs="Times New Roman"/>
                <w:b/>
                <w:bCs/>
                <w:color w:val="000000"/>
                <w:szCs w:val="24"/>
                <w:lang w:val="en-US"/>
              </w:rPr>
              <w:t>Electricity</w:t>
            </w:r>
          </w:p>
        </w:tc>
        <w:tc>
          <w:tcPr>
            <w:tcW w:w="1159" w:type="dxa"/>
            <w:tcBorders>
              <w:top w:val="single" w:sz="4" w:space="0" w:color="auto"/>
              <w:left w:val="double" w:sz="4" w:space="0" w:color="auto"/>
              <w:bottom w:val="single" w:sz="4" w:space="0" w:color="auto"/>
            </w:tcBorders>
            <w:shd w:val="clear" w:color="auto" w:fill="auto"/>
            <w:noWrap/>
            <w:vAlign w:val="center"/>
            <w:hideMark/>
          </w:tcPr>
          <w:p w14:paraId="59AAAF6E" w14:textId="619B3268" w:rsidR="00D62150"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Est.* 1000</w:t>
            </w:r>
          </w:p>
          <w:p w14:paraId="78A2F795" w14:textId="3D3F16F3" w:rsidR="00D62150" w:rsidRPr="00E0488B"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Val</w:t>
            </w:r>
            <w:r>
              <w:rPr>
                <w:rFonts w:eastAsia="Times New Roman" w:cs="Times New Roman"/>
                <w:color w:val="000000"/>
                <w:sz w:val="20"/>
                <w:szCs w:val="20"/>
                <w:vertAlign w:val="superscript"/>
                <w:lang w:val="en-US"/>
              </w:rPr>
              <w:t>**</w:t>
            </w:r>
            <w:r w:rsidRPr="00201822">
              <w:rPr>
                <w:rFonts w:eastAsia="Times New Roman" w:cs="Times New Roman"/>
                <w:color w:val="000000"/>
                <w:sz w:val="14"/>
                <w:szCs w:val="14"/>
                <w:lang w:val="en-US"/>
              </w:rPr>
              <w:t xml:space="preserve"> </w:t>
            </w:r>
            <w:r>
              <w:rPr>
                <w:rFonts w:eastAsia="Times New Roman" w:cs="Times New Roman"/>
                <w:color w:val="000000"/>
                <w:sz w:val="20"/>
                <w:szCs w:val="20"/>
                <w:lang w:val="en-US"/>
              </w:rPr>
              <w:t>4686</w:t>
            </w:r>
          </w:p>
        </w:tc>
        <w:tc>
          <w:tcPr>
            <w:tcW w:w="938" w:type="dxa"/>
            <w:shd w:val="clear" w:color="auto" w:fill="auto"/>
            <w:noWrap/>
            <w:vAlign w:val="center"/>
            <w:hideMark/>
          </w:tcPr>
          <w:p w14:paraId="1F011182"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-766.69</w:t>
            </w:r>
          </w:p>
        </w:tc>
        <w:tc>
          <w:tcPr>
            <w:tcW w:w="1079" w:type="dxa"/>
            <w:shd w:val="clear" w:color="auto" w:fill="auto"/>
            <w:noWrap/>
            <w:vAlign w:val="center"/>
          </w:tcPr>
          <w:p w14:paraId="07095DCE"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-717.79</w:t>
            </w:r>
          </w:p>
        </w:tc>
        <w:tc>
          <w:tcPr>
            <w:tcW w:w="1080" w:type="dxa"/>
            <w:tcBorders>
              <w:top w:val="single" w:sz="4" w:space="0" w:color="auto"/>
              <w:bottom w:val="single" w:sz="4" w:space="0" w:color="auto"/>
              <w:right w:val="single" w:sz="4" w:space="0" w:color="auto"/>
            </w:tcBorders>
            <w:shd w:val="clear" w:color="auto" w:fill="auto"/>
            <w:noWrap/>
            <w:vAlign w:val="center"/>
          </w:tcPr>
          <w:p w14:paraId="0D605672"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-708.68</w:t>
            </w:r>
          </w:p>
        </w:tc>
        <w:tc>
          <w:tcPr>
            <w:tcW w:w="1313" w:type="dxa"/>
            <w:tcBorders>
              <w:top w:val="single" w:sz="4" w:space="0" w:color="auto"/>
              <w:left w:val="single" w:sz="4" w:space="0" w:color="auto"/>
              <w:bottom w:val="single" w:sz="4" w:space="0" w:color="auto"/>
              <w:right w:val="double" w:sz="4" w:space="0" w:color="auto"/>
            </w:tcBorders>
            <w:vAlign w:val="center"/>
          </w:tcPr>
          <w:p w14:paraId="43E10624" w14:textId="77777777" w:rsidR="00D62150" w:rsidRPr="00E0488B" w:rsidRDefault="00D62150" w:rsidP="000B26F3">
            <w:pPr>
              <w:spacing w:line="240" w:lineRule="auto"/>
              <w:jc w:val="center"/>
              <w:rPr>
                <w:rFonts w:cs="Times New Roman"/>
                <w:sz w:val="20"/>
                <w:szCs w:val="20"/>
              </w:rPr>
            </w:pPr>
            <w:r w:rsidRPr="00906512">
              <w:rPr>
                <w:rFonts w:cs="Times New Roman"/>
                <w:sz w:val="20"/>
                <w:szCs w:val="20"/>
              </w:rPr>
              <w:t>97.80</w:t>
            </w:r>
          </w:p>
        </w:tc>
        <w:tc>
          <w:tcPr>
            <w:tcW w:w="1491" w:type="dxa"/>
            <w:tcBorders>
              <w:top w:val="single" w:sz="4" w:space="0" w:color="auto"/>
              <w:bottom w:val="single" w:sz="4" w:space="0" w:color="auto"/>
              <w:right w:val="double" w:sz="4" w:space="0" w:color="auto"/>
            </w:tcBorders>
            <w:vAlign w:val="center"/>
          </w:tcPr>
          <w:p w14:paraId="2AB56BCB" w14:textId="77777777" w:rsidR="00D62150" w:rsidRPr="00E0488B" w:rsidRDefault="00D62150" w:rsidP="000B26F3">
            <w:pPr>
              <w:spacing w:line="240" w:lineRule="auto"/>
              <w:jc w:val="center"/>
              <w:rPr>
                <w:rFonts w:cs="Times New Roman"/>
                <w:sz w:val="20"/>
                <w:szCs w:val="20"/>
              </w:rPr>
            </w:pPr>
            <w:r w:rsidRPr="00906512">
              <w:rPr>
                <w:rFonts w:cs="Times New Roman"/>
                <w:sz w:val="20"/>
                <w:szCs w:val="20"/>
              </w:rPr>
              <w:t>18.22</w:t>
            </w:r>
          </w:p>
        </w:tc>
        <w:tc>
          <w:tcPr>
            <w:tcW w:w="976" w:type="dxa"/>
            <w:tcBorders>
              <w:top w:val="single" w:sz="4" w:space="0" w:color="auto"/>
              <w:left w:val="double" w:sz="4" w:space="0" w:color="auto"/>
              <w:bottom w:val="single" w:sz="4" w:space="0" w:color="auto"/>
            </w:tcBorders>
            <w:shd w:val="clear" w:color="auto" w:fill="auto"/>
            <w:noWrap/>
            <w:vAlign w:val="center"/>
            <w:hideMark/>
          </w:tcPr>
          <w:p w14:paraId="0CF526FC" w14:textId="1F770495" w:rsidR="00D62150" w:rsidRPr="00D62150" w:rsidRDefault="00D62150" w:rsidP="000B26F3">
            <w:pPr>
              <w:spacing w:line="240" w:lineRule="auto"/>
              <w:jc w:val="center"/>
              <w:rPr>
                <w:rFonts w:cs="Times New Roman"/>
                <w:sz w:val="20"/>
                <w:szCs w:val="20"/>
              </w:rPr>
            </w:pPr>
            <w:r w:rsidRPr="00906512">
              <w:rPr>
                <w:rFonts w:cs="Times New Roman"/>
                <w:sz w:val="20"/>
                <w:szCs w:val="20"/>
              </w:rPr>
              <w:t>-3566.73</w:t>
            </w:r>
          </w:p>
        </w:tc>
        <w:tc>
          <w:tcPr>
            <w:tcW w:w="1152" w:type="dxa"/>
            <w:shd w:val="clear" w:color="auto" w:fill="auto"/>
            <w:noWrap/>
            <w:vAlign w:val="center"/>
            <w:hideMark/>
          </w:tcPr>
          <w:p w14:paraId="33E55C07" w14:textId="38399BE3" w:rsidR="00D62150" w:rsidRPr="00D62150" w:rsidRDefault="00D62150" w:rsidP="000B26F3">
            <w:pPr>
              <w:spacing w:line="240" w:lineRule="auto"/>
              <w:jc w:val="center"/>
              <w:rPr>
                <w:rFonts w:cs="Times New Roman"/>
                <w:sz w:val="20"/>
                <w:szCs w:val="20"/>
              </w:rPr>
            </w:pPr>
            <w:r w:rsidRPr="00906512">
              <w:rPr>
                <w:rFonts w:cs="Times New Roman"/>
                <w:sz w:val="20"/>
                <w:szCs w:val="20"/>
              </w:rPr>
              <w:t>-3398.23</w:t>
            </w:r>
          </w:p>
        </w:tc>
        <w:tc>
          <w:tcPr>
            <w:tcW w:w="1007" w:type="dxa"/>
            <w:shd w:val="clear" w:color="auto" w:fill="auto"/>
            <w:noWrap/>
            <w:vAlign w:val="center"/>
            <w:hideMark/>
          </w:tcPr>
          <w:p w14:paraId="01084127" w14:textId="403E8C35" w:rsidR="00D62150" w:rsidRPr="00D62150" w:rsidRDefault="00D62150" w:rsidP="000B26F3">
            <w:pPr>
              <w:spacing w:line="240" w:lineRule="auto"/>
              <w:jc w:val="center"/>
              <w:rPr>
                <w:rFonts w:cs="Times New Roman"/>
                <w:sz w:val="20"/>
                <w:szCs w:val="20"/>
              </w:rPr>
            </w:pPr>
            <w:r w:rsidRPr="00906512">
              <w:rPr>
                <w:rFonts w:cs="Times New Roman"/>
                <w:sz w:val="20"/>
                <w:szCs w:val="20"/>
              </w:rPr>
              <w:t>-3351.86</w:t>
            </w:r>
          </w:p>
        </w:tc>
        <w:tc>
          <w:tcPr>
            <w:tcW w:w="1313" w:type="dxa"/>
            <w:vAlign w:val="center"/>
          </w:tcPr>
          <w:p w14:paraId="34B82905" w14:textId="1BCD6328" w:rsidR="00D62150" w:rsidRPr="00D62150" w:rsidRDefault="00D62150" w:rsidP="000B26F3">
            <w:pPr>
              <w:spacing w:line="240" w:lineRule="auto"/>
              <w:jc w:val="center"/>
              <w:rPr>
                <w:rFonts w:cs="Times New Roman"/>
                <w:sz w:val="20"/>
                <w:szCs w:val="20"/>
              </w:rPr>
            </w:pPr>
            <w:r w:rsidRPr="00906512">
              <w:rPr>
                <w:rFonts w:cs="Times New Roman"/>
                <w:sz w:val="20"/>
                <w:szCs w:val="20"/>
              </w:rPr>
              <w:t>337.00</w:t>
            </w:r>
          </w:p>
        </w:tc>
        <w:tc>
          <w:tcPr>
            <w:tcW w:w="1491" w:type="dxa"/>
            <w:vAlign w:val="center"/>
          </w:tcPr>
          <w:p w14:paraId="180A72F8" w14:textId="0F746BAA" w:rsidR="00D62150" w:rsidRPr="00D62150" w:rsidRDefault="00D62150" w:rsidP="000B26F3">
            <w:pPr>
              <w:spacing w:line="240" w:lineRule="auto"/>
              <w:jc w:val="center"/>
              <w:rPr>
                <w:rFonts w:cs="Times New Roman"/>
                <w:sz w:val="20"/>
                <w:szCs w:val="20"/>
              </w:rPr>
            </w:pPr>
            <w:r w:rsidRPr="00906512">
              <w:rPr>
                <w:rFonts w:cs="Times New Roman"/>
                <w:sz w:val="20"/>
                <w:szCs w:val="20"/>
              </w:rPr>
              <w:t>92.73</w:t>
            </w:r>
          </w:p>
        </w:tc>
      </w:tr>
      <w:tr w:rsidR="00D62150" w:rsidRPr="00F46D04" w14:paraId="52A38400" w14:textId="77777777" w:rsidTr="00914730">
        <w:trPr>
          <w:cantSplit/>
          <w:trHeight w:val="144"/>
        </w:trPr>
        <w:tc>
          <w:tcPr>
            <w:tcW w:w="840" w:type="dxa"/>
            <w:vMerge/>
            <w:tcBorders>
              <w:top w:val="single" w:sz="4" w:space="0" w:color="auto"/>
              <w:bottom w:val="single" w:sz="4" w:space="0" w:color="auto"/>
              <w:right w:val="double" w:sz="4" w:space="0" w:color="auto"/>
            </w:tcBorders>
            <w:vAlign w:val="center"/>
            <w:hideMark/>
          </w:tcPr>
          <w:p w14:paraId="0BBCBBFD" w14:textId="77777777" w:rsidR="00D62150" w:rsidRPr="00E0488B" w:rsidRDefault="00D62150" w:rsidP="000B26F3">
            <w:pPr>
              <w:spacing w:line="240" w:lineRule="auto"/>
              <w:jc w:val="center"/>
              <w:rPr>
                <w:rFonts w:eastAsia="Times New Roman" w:cs="Times New Roman"/>
                <w:color w:val="000000"/>
                <w:sz w:val="20"/>
                <w:szCs w:val="20"/>
                <w:lang w:val="en-US"/>
              </w:rPr>
            </w:pPr>
          </w:p>
        </w:tc>
        <w:tc>
          <w:tcPr>
            <w:tcW w:w="1159" w:type="dxa"/>
            <w:tcBorders>
              <w:top w:val="single" w:sz="4" w:space="0" w:color="auto"/>
              <w:left w:val="double" w:sz="4" w:space="0" w:color="auto"/>
              <w:bottom w:val="single" w:sz="4" w:space="0" w:color="auto"/>
            </w:tcBorders>
            <w:shd w:val="clear" w:color="auto" w:fill="auto"/>
            <w:noWrap/>
            <w:vAlign w:val="center"/>
            <w:hideMark/>
          </w:tcPr>
          <w:p w14:paraId="78360ADC" w14:textId="07D2AA90" w:rsidR="00D62150"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Est. 2000</w:t>
            </w:r>
          </w:p>
          <w:p w14:paraId="62849381" w14:textId="0EF59D5A" w:rsidR="00D62150" w:rsidRPr="00E0488B"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Val. 3686</w:t>
            </w:r>
          </w:p>
        </w:tc>
        <w:tc>
          <w:tcPr>
            <w:tcW w:w="938" w:type="dxa"/>
            <w:shd w:val="clear" w:color="auto" w:fill="auto"/>
            <w:noWrap/>
            <w:vAlign w:val="center"/>
            <w:hideMark/>
          </w:tcPr>
          <w:p w14:paraId="131B975B"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-1543.77</w:t>
            </w:r>
          </w:p>
        </w:tc>
        <w:tc>
          <w:tcPr>
            <w:tcW w:w="1079" w:type="dxa"/>
            <w:shd w:val="clear" w:color="auto" w:fill="auto"/>
            <w:noWrap/>
            <w:vAlign w:val="center"/>
          </w:tcPr>
          <w:p w14:paraId="248A2938"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-1471.97</w:t>
            </w:r>
          </w:p>
        </w:tc>
        <w:tc>
          <w:tcPr>
            <w:tcW w:w="1080" w:type="dxa"/>
            <w:tcBorders>
              <w:top w:val="single" w:sz="4" w:space="0" w:color="auto"/>
              <w:bottom w:val="single" w:sz="4" w:space="0" w:color="auto"/>
              <w:right w:val="single" w:sz="4" w:space="0" w:color="auto"/>
            </w:tcBorders>
            <w:shd w:val="clear" w:color="auto" w:fill="auto"/>
            <w:noWrap/>
            <w:vAlign w:val="center"/>
          </w:tcPr>
          <w:p w14:paraId="635C14CB"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-1451.86</w:t>
            </w:r>
          </w:p>
        </w:tc>
        <w:tc>
          <w:tcPr>
            <w:tcW w:w="1313" w:type="dxa"/>
            <w:tcBorders>
              <w:top w:val="single" w:sz="4" w:space="0" w:color="auto"/>
              <w:left w:val="single" w:sz="4" w:space="0" w:color="auto"/>
              <w:bottom w:val="single" w:sz="4" w:space="0" w:color="auto"/>
              <w:right w:val="double" w:sz="4" w:space="0" w:color="auto"/>
            </w:tcBorders>
            <w:vAlign w:val="center"/>
          </w:tcPr>
          <w:p w14:paraId="5E96AC93" w14:textId="77777777" w:rsidR="00D62150" w:rsidRPr="00E0488B" w:rsidRDefault="00D62150" w:rsidP="000B26F3">
            <w:pPr>
              <w:spacing w:line="240" w:lineRule="auto"/>
              <w:jc w:val="center"/>
              <w:rPr>
                <w:rFonts w:cs="Times New Roman"/>
                <w:sz w:val="20"/>
                <w:szCs w:val="20"/>
              </w:rPr>
            </w:pPr>
            <w:r w:rsidRPr="00906512">
              <w:rPr>
                <w:rFonts w:cs="Times New Roman"/>
                <w:sz w:val="20"/>
                <w:szCs w:val="20"/>
              </w:rPr>
              <w:t>143.61</w:t>
            </w:r>
          </w:p>
        </w:tc>
        <w:tc>
          <w:tcPr>
            <w:tcW w:w="1491" w:type="dxa"/>
            <w:tcBorders>
              <w:top w:val="single" w:sz="4" w:space="0" w:color="auto"/>
              <w:bottom w:val="single" w:sz="4" w:space="0" w:color="auto"/>
              <w:right w:val="double" w:sz="4" w:space="0" w:color="auto"/>
            </w:tcBorders>
            <w:vAlign w:val="center"/>
          </w:tcPr>
          <w:p w14:paraId="556774C5" w14:textId="77777777" w:rsidR="00D62150" w:rsidRPr="00E0488B" w:rsidRDefault="00D62150" w:rsidP="000B26F3">
            <w:pPr>
              <w:spacing w:line="240" w:lineRule="auto"/>
              <w:jc w:val="center"/>
              <w:rPr>
                <w:rFonts w:cs="Times New Roman"/>
                <w:sz w:val="20"/>
                <w:szCs w:val="20"/>
              </w:rPr>
            </w:pPr>
            <w:r w:rsidRPr="00906512">
              <w:rPr>
                <w:rFonts w:cs="Times New Roman"/>
                <w:sz w:val="20"/>
                <w:szCs w:val="20"/>
              </w:rPr>
              <w:t>40.21</w:t>
            </w:r>
          </w:p>
        </w:tc>
        <w:tc>
          <w:tcPr>
            <w:tcW w:w="976" w:type="dxa"/>
            <w:tcBorders>
              <w:top w:val="single" w:sz="4" w:space="0" w:color="auto"/>
              <w:left w:val="double" w:sz="4" w:space="0" w:color="auto"/>
              <w:bottom w:val="single" w:sz="4" w:space="0" w:color="auto"/>
            </w:tcBorders>
            <w:shd w:val="clear" w:color="auto" w:fill="auto"/>
            <w:noWrap/>
            <w:vAlign w:val="center"/>
            <w:hideMark/>
          </w:tcPr>
          <w:p w14:paraId="7CF77C95" w14:textId="0B402009" w:rsidR="00D62150" w:rsidRPr="00D62150" w:rsidRDefault="00D62150" w:rsidP="000B26F3">
            <w:pPr>
              <w:spacing w:line="240" w:lineRule="auto"/>
              <w:jc w:val="center"/>
              <w:rPr>
                <w:rFonts w:cs="Times New Roman"/>
                <w:sz w:val="20"/>
                <w:szCs w:val="20"/>
              </w:rPr>
            </w:pPr>
            <w:r w:rsidRPr="00906512">
              <w:rPr>
                <w:rFonts w:cs="Times New Roman"/>
                <w:sz w:val="20"/>
                <w:szCs w:val="20"/>
              </w:rPr>
              <w:t>-2784.64</w:t>
            </w:r>
          </w:p>
        </w:tc>
        <w:tc>
          <w:tcPr>
            <w:tcW w:w="1152" w:type="dxa"/>
            <w:shd w:val="clear" w:color="auto" w:fill="auto"/>
            <w:noWrap/>
            <w:vAlign w:val="center"/>
            <w:hideMark/>
          </w:tcPr>
          <w:p w14:paraId="3D736A39" w14:textId="126996EA" w:rsidR="00D62150" w:rsidRPr="00D62150" w:rsidRDefault="00D62150" w:rsidP="000B26F3">
            <w:pPr>
              <w:spacing w:line="240" w:lineRule="auto"/>
              <w:jc w:val="center"/>
              <w:rPr>
                <w:rFonts w:cs="Times New Roman"/>
                <w:sz w:val="20"/>
                <w:szCs w:val="20"/>
              </w:rPr>
            </w:pPr>
            <w:r w:rsidRPr="00906512">
              <w:rPr>
                <w:rFonts w:cs="Times New Roman"/>
                <w:sz w:val="20"/>
                <w:szCs w:val="20"/>
              </w:rPr>
              <w:t>-2643.57</w:t>
            </w:r>
          </w:p>
        </w:tc>
        <w:tc>
          <w:tcPr>
            <w:tcW w:w="1007" w:type="dxa"/>
            <w:shd w:val="clear" w:color="auto" w:fill="auto"/>
            <w:noWrap/>
            <w:vAlign w:val="center"/>
            <w:hideMark/>
          </w:tcPr>
          <w:p w14:paraId="0FBEDD8F" w14:textId="6384543F" w:rsidR="00D62150" w:rsidRPr="00D62150" w:rsidRDefault="00D62150" w:rsidP="000B26F3">
            <w:pPr>
              <w:spacing w:line="240" w:lineRule="auto"/>
              <w:jc w:val="center"/>
              <w:rPr>
                <w:rFonts w:cs="Times New Roman"/>
                <w:sz w:val="20"/>
                <w:szCs w:val="20"/>
              </w:rPr>
            </w:pPr>
            <w:r w:rsidRPr="00906512">
              <w:rPr>
                <w:rFonts w:cs="Times New Roman"/>
                <w:sz w:val="20"/>
                <w:szCs w:val="20"/>
              </w:rPr>
              <w:t>-2607.82</w:t>
            </w:r>
          </w:p>
        </w:tc>
        <w:tc>
          <w:tcPr>
            <w:tcW w:w="1313" w:type="dxa"/>
            <w:vAlign w:val="center"/>
          </w:tcPr>
          <w:p w14:paraId="28466A0D" w14:textId="435DF946" w:rsidR="00D62150" w:rsidRPr="00D62150" w:rsidRDefault="00D62150" w:rsidP="000B26F3">
            <w:pPr>
              <w:spacing w:line="240" w:lineRule="auto"/>
              <w:jc w:val="center"/>
              <w:rPr>
                <w:rFonts w:cs="Times New Roman"/>
                <w:sz w:val="20"/>
                <w:szCs w:val="20"/>
              </w:rPr>
            </w:pPr>
            <w:r w:rsidRPr="00906512">
              <w:rPr>
                <w:rFonts w:cs="Times New Roman"/>
                <w:sz w:val="20"/>
                <w:szCs w:val="20"/>
              </w:rPr>
              <w:t>282.16</w:t>
            </w:r>
          </w:p>
        </w:tc>
        <w:tc>
          <w:tcPr>
            <w:tcW w:w="1491" w:type="dxa"/>
            <w:vAlign w:val="center"/>
          </w:tcPr>
          <w:p w14:paraId="305F49EB" w14:textId="78526B21" w:rsidR="00D62150" w:rsidRPr="00D62150" w:rsidRDefault="00D62150" w:rsidP="000B26F3">
            <w:pPr>
              <w:spacing w:line="240" w:lineRule="auto"/>
              <w:jc w:val="center"/>
              <w:rPr>
                <w:rFonts w:cs="Times New Roman"/>
                <w:sz w:val="20"/>
                <w:szCs w:val="20"/>
              </w:rPr>
            </w:pPr>
            <w:r w:rsidRPr="00906512">
              <w:rPr>
                <w:rFonts w:cs="Times New Roman"/>
                <w:sz w:val="20"/>
                <w:szCs w:val="20"/>
              </w:rPr>
              <w:t>71.49</w:t>
            </w:r>
          </w:p>
        </w:tc>
      </w:tr>
      <w:tr w:rsidR="00D62150" w:rsidRPr="00F46D04" w14:paraId="5DD6D989" w14:textId="77777777" w:rsidTr="00914730">
        <w:trPr>
          <w:cantSplit/>
          <w:trHeight w:val="144"/>
        </w:trPr>
        <w:tc>
          <w:tcPr>
            <w:tcW w:w="840" w:type="dxa"/>
            <w:vMerge/>
            <w:tcBorders>
              <w:top w:val="single" w:sz="4" w:space="0" w:color="auto"/>
              <w:bottom w:val="single" w:sz="4" w:space="0" w:color="auto"/>
              <w:right w:val="double" w:sz="4" w:space="0" w:color="auto"/>
            </w:tcBorders>
            <w:vAlign w:val="center"/>
            <w:hideMark/>
          </w:tcPr>
          <w:p w14:paraId="660BE6B7" w14:textId="77777777" w:rsidR="00D62150" w:rsidRPr="00E0488B" w:rsidRDefault="00D62150" w:rsidP="000B26F3">
            <w:pPr>
              <w:spacing w:line="240" w:lineRule="auto"/>
              <w:jc w:val="center"/>
              <w:rPr>
                <w:rFonts w:eastAsia="Times New Roman" w:cs="Times New Roman"/>
                <w:color w:val="000000"/>
                <w:sz w:val="20"/>
                <w:szCs w:val="20"/>
                <w:lang w:val="en-US"/>
              </w:rPr>
            </w:pPr>
          </w:p>
        </w:tc>
        <w:tc>
          <w:tcPr>
            <w:tcW w:w="1159" w:type="dxa"/>
            <w:tcBorders>
              <w:top w:val="single" w:sz="4" w:space="0" w:color="auto"/>
              <w:left w:val="double" w:sz="4" w:space="0" w:color="auto"/>
              <w:bottom w:val="single" w:sz="4" w:space="0" w:color="auto"/>
            </w:tcBorders>
            <w:shd w:val="clear" w:color="auto" w:fill="auto"/>
            <w:noWrap/>
            <w:vAlign w:val="center"/>
            <w:hideMark/>
          </w:tcPr>
          <w:p w14:paraId="7301A285" w14:textId="0DD41A85" w:rsidR="00D62150"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Est. 3000</w:t>
            </w:r>
          </w:p>
          <w:p w14:paraId="719ED7D7" w14:textId="29D67FB1" w:rsidR="00D62150" w:rsidRPr="00E0488B"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Val. 2686</w:t>
            </w:r>
          </w:p>
        </w:tc>
        <w:tc>
          <w:tcPr>
            <w:tcW w:w="938" w:type="dxa"/>
            <w:shd w:val="clear" w:color="auto" w:fill="auto"/>
            <w:noWrap/>
            <w:vAlign w:val="center"/>
            <w:hideMark/>
          </w:tcPr>
          <w:p w14:paraId="75CB3961"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-2274.54</w:t>
            </w:r>
          </w:p>
        </w:tc>
        <w:tc>
          <w:tcPr>
            <w:tcW w:w="1079" w:type="dxa"/>
            <w:shd w:val="clear" w:color="auto" w:fill="auto"/>
            <w:noWrap/>
            <w:vAlign w:val="center"/>
          </w:tcPr>
          <w:p w14:paraId="10653C32"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-2147.40</w:t>
            </w:r>
          </w:p>
        </w:tc>
        <w:tc>
          <w:tcPr>
            <w:tcW w:w="1080" w:type="dxa"/>
            <w:tcBorders>
              <w:top w:val="single" w:sz="4" w:space="0" w:color="auto"/>
              <w:bottom w:val="single" w:sz="4" w:space="0" w:color="auto"/>
              <w:right w:val="single" w:sz="4" w:space="0" w:color="auto"/>
            </w:tcBorders>
            <w:shd w:val="clear" w:color="auto" w:fill="auto"/>
            <w:noWrap/>
            <w:vAlign w:val="center"/>
          </w:tcPr>
          <w:p w14:paraId="16C30AAE"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-2120.08</w:t>
            </w:r>
          </w:p>
        </w:tc>
        <w:tc>
          <w:tcPr>
            <w:tcW w:w="1313" w:type="dxa"/>
            <w:tcBorders>
              <w:top w:val="single" w:sz="4" w:space="0" w:color="auto"/>
              <w:left w:val="single" w:sz="4" w:space="0" w:color="auto"/>
              <w:bottom w:val="single" w:sz="4" w:space="0" w:color="auto"/>
              <w:right w:val="double" w:sz="4" w:space="0" w:color="auto"/>
            </w:tcBorders>
            <w:vAlign w:val="center"/>
          </w:tcPr>
          <w:p w14:paraId="537D77BF" w14:textId="77777777" w:rsidR="00D62150" w:rsidRPr="00E0488B" w:rsidRDefault="00D62150" w:rsidP="000B26F3">
            <w:pPr>
              <w:spacing w:line="240" w:lineRule="auto"/>
              <w:jc w:val="center"/>
              <w:rPr>
                <w:rFonts w:cs="Times New Roman"/>
                <w:sz w:val="20"/>
                <w:szCs w:val="20"/>
              </w:rPr>
            </w:pPr>
            <w:r w:rsidRPr="00906512">
              <w:rPr>
                <w:rFonts w:cs="Times New Roman"/>
                <w:sz w:val="20"/>
                <w:szCs w:val="20"/>
              </w:rPr>
              <w:t>254.29</w:t>
            </w:r>
          </w:p>
        </w:tc>
        <w:tc>
          <w:tcPr>
            <w:tcW w:w="1491" w:type="dxa"/>
            <w:tcBorders>
              <w:top w:val="single" w:sz="4" w:space="0" w:color="auto"/>
              <w:bottom w:val="single" w:sz="4" w:space="0" w:color="auto"/>
              <w:right w:val="double" w:sz="4" w:space="0" w:color="auto"/>
            </w:tcBorders>
            <w:vAlign w:val="center"/>
          </w:tcPr>
          <w:p w14:paraId="0F67BF9E" w14:textId="77777777" w:rsidR="00D62150" w:rsidRPr="00E0488B" w:rsidRDefault="00D62150" w:rsidP="000B26F3">
            <w:pPr>
              <w:spacing w:line="240" w:lineRule="auto"/>
              <w:jc w:val="center"/>
              <w:rPr>
                <w:rFonts w:cs="Times New Roman"/>
                <w:sz w:val="20"/>
                <w:szCs w:val="20"/>
              </w:rPr>
            </w:pPr>
            <w:r w:rsidRPr="00906512">
              <w:rPr>
                <w:rFonts w:cs="Times New Roman"/>
                <w:sz w:val="20"/>
                <w:szCs w:val="20"/>
              </w:rPr>
              <w:t>54.62</w:t>
            </w:r>
          </w:p>
        </w:tc>
        <w:tc>
          <w:tcPr>
            <w:tcW w:w="976" w:type="dxa"/>
            <w:tcBorders>
              <w:top w:val="single" w:sz="4" w:space="0" w:color="auto"/>
              <w:left w:val="double" w:sz="4" w:space="0" w:color="auto"/>
              <w:bottom w:val="single" w:sz="4" w:space="0" w:color="auto"/>
            </w:tcBorders>
            <w:shd w:val="clear" w:color="auto" w:fill="auto"/>
            <w:noWrap/>
            <w:vAlign w:val="center"/>
            <w:hideMark/>
          </w:tcPr>
          <w:p w14:paraId="1A2ED316" w14:textId="3F9C292C" w:rsidR="00D62150" w:rsidRPr="00D62150" w:rsidRDefault="00D62150" w:rsidP="000B26F3">
            <w:pPr>
              <w:spacing w:line="240" w:lineRule="auto"/>
              <w:jc w:val="center"/>
              <w:rPr>
                <w:rFonts w:cs="Times New Roman"/>
                <w:sz w:val="20"/>
                <w:szCs w:val="20"/>
              </w:rPr>
            </w:pPr>
            <w:r w:rsidRPr="00906512">
              <w:rPr>
                <w:rFonts w:cs="Times New Roman"/>
                <w:sz w:val="20"/>
                <w:szCs w:val="20"/>
              </w:rPr>
              <w:t>-2048.79</w:t>
            </w:r>
          </w:p>
        </w:tc>
        <w:tc>
          <w:tcPr>
            <w:tcW w:w="1152" w:type="dxa"/>
            <w:shd w:val="clear" w:color="auto" w:fill="auto"/>
            <w:noWrap/>
            <w:vAlign w:val="center"/>
            <w:hideMark/>
          </w:tcPr>
          <w:p w14:paraId="1164BFCC" w14:textId="24CFE640" w:rsidR="00D62150" w:rsidRPr="00D62150" w:rsidRDefault="00D62150" w:rsidP="000B26F3">
            <w:pPr>
              <w:spacing w:line="240" w:lineRule="auto"/>
              <w:jc w:val="center"/>
              <w:rPr>
                <w:rFonts w:cs="Times New Roman"/>
                <w:sz w:val="20"/>
                <w:szCs w:val="20"/>
              </w:rPr>
            </w:pPr>
            <w:r w:rsidRPr="00906512">
              <w:rPr>
                <w:rFonts w:cs="Times New Roman"/>
                <w:sz w:val="20"/>
                <w:szCs w:val="20"/>
              </w:rPr>
              <w:t>-1954.14</w:t>
            </w:r>
          </w:p>
        </w:tc>
        <w:tc>
          <w:tcPr>
            <w:tcW w:w="1007" w:type="dxa"/>
            <w:shd w:val="clear" w:color="auto" w:fill="auto"/>
            <w:noWrap/>
            <w:vAlign w:val="center"/>
            <w:hideMark/>
          </w:tcPr>
          <w:p w14:paraId="611EAF8D" w14:textId="443AD036" w:rsidR="00D62150" w:rsidRPr="00D62150" w:rsidRDefault="00D62150" w:rsidP="000B26F3">
            <w:pPr>
              <w:spacing w:line="240" w:lineRule="auto"/>
              <w:jc w:val="center"/>
              <w:rPr>
                <w:rFonts w:cs="Times New Roman"/>
                <w:sz w:val="20"/>
                <w:szCs w:val="20"/>
              </w:rPr>
            </w:pPr>
            <w:r w:rsidRPr="00906512">
              <w:rPr>
                <w:rFonts w:cs="Times New Roman"/>
                <w:sz w:val="20"/>
                <w:szCs w:val="20"/>
              </w:rPr>
              <w:t>-1921.53</w:t>
            </w:r>
          </w:p>
        </w:tc>
        <w:tc>
          <w:tcPr>
            <w:tcW w:w="1313" w:type="dxa"/>
            <w:vAlign w:val="center"/>
          </w:tcPr>
          <w:p w14:paraId="7141A822" w14:textId="3906F0A7" w:rsidR="00D62150" w:rsidRPr="00D62150" w:rsidRDefault="00D62150" w:rsidP="000B26F3">
            <w:pPr>
              <w:spacing w:line="240" w:lineRule="auto"/>
              <w:jc w:val="center"/>
              <w:rPr>
                <w:rFonts w:cs="Times New Roman"/>
                <w:sz w:val="20"/>
                <w:szCs w:val="20"/>
              </w:rPr>
            </w:pPr>
            <w:r w:rsidRPr="00906512">
              <w:rPr>
                <w:rFonts w:cs="Times New Roman"/>
                <w:sz w:val="20"/>
                <w:szCs w:val="20"/>
              </w:rPr>
              <w:t>189.31</w:t>
            </w:r>
          </w:p>
        </w:tc>
        <w:tc>
          <w:tcPr>
            <w:tcW w:w="1491" w:type="dxa"/>
            <w:vAlign w:val="center"/>
          </w:tcPr>
          <w:p w14:paraId="7EDC207A" w14:textId="0DA272F2" w:rsidR="00D62150" w:rsidRPr="00D62150" w:rsidRDefault="00D62150" w:rsidP="000B26F3">
            <w:pPr>
              <w:spacing w:line="240" w:lineRule="auto"/>
              <w:jc w:val="center"/>
              <w:rPr>
                <w:rFonts w:cs="Times New Roman"/>
                <w:sz w:val="20"/>
                <w:szCs w:val="20"/>
              </w:rPr>
            </w:pPr>
            <w:r w:rsidRPr="00906512">
              <w:rPr>
                <w:rFonts w:cs="Times New Roman"/>
                <w:sz w:val="20"/>
                <w:szCs w:val="20"/>
              </w:rPr>
              <w:t>65.22</w:t>
            </w:r>
          </w:p>
        </w:tc>
      </w:tr>
      <w:tr w:rsidR="00D62150" w:rsidRPr="00F46D04" w14:paraId="07DA3ED2" w14:textId="77777777" w:rsidTr="00914730">
        <w:trPr>
          <w:cantSplit/>
          <w:trHeight w:val="144"/>
        </w:trPr>
        <w:tc>
          <w:tcPr>
            <w:tcW w:w="840" w:type="dxa"/>
            <w:vMerge/>
            <w:tcBorders>
              <w:top w:val="single" w:sz="4" w:space="0" w:color="auto"/>
              <w:bottom w:val="single" w:sz="4" w:space="0" w:color="auto"/>
              <w:right w:val="double" w:sz="4" w:space="0" w:color="auto"/>
            </w:tcBorders>
            <w:vAlign w:val="center"/>
            <w:hideMark/>
          </w:tcPr>
          <w:p w14:paraId="1664484B" w14:textId="77777777" w:rsidR="00D62150" w:rsidRPr="00E0488B" w:rsidRDefault="00D62150" w:rsidP="000B26F3">
            <w:pPr>
              <w:spacing w:line="240" w:lineRule="auto"/>
              <w:jc w:val="center"/>
              <w:rPr>
                <w:rFonts w:eastAsia="Times New Roman" w:cs="Times New Roman"/>
                <w:color w:val="000000"/>
                <w:sz w:val="20"/>
                <w:szCs w:val="20"/>
                <w:lang w:val="en-US"/>
              </w:rPr>
            </w:pPr>
          </w:p>
        </w:tc>
        <w:tc>
          <w:tcPr>
            <w:tcW w:w="1159" w:type="dxa"/>
            <w:tcBorders>
              <w:top w:val="single" w:sz="4" w:space="0" w:color="auto"/>
              <w:left w:val="double" w:sz="4" w:space="0" w:color="auto"/>
              <w:bottom w:val="single" w:sz="4" w:space="0" w:color="auto"/>
            </w:tcBorders>
            <w:shd w:val="clear" w:color="auto" w:fill="auto"/>
            <w:noWrap/>
            <w:vAlign w:val="center"/>
            <w:hideMark/>
          </w:tcPr>
          <w:p w14:paraId="0765D669" w14:textId="43D03027" w:rsidR="00D62150"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Est. 4000</w:t>
            </w:r>
          </w:p>
          <w:p w14:paraId="203631D3" w14:textId="76A5955D" w:rsidR="00D62150" w:rsidRPr="00E0488B"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Val. 1686</w:t>
            </w:r>
          </w:p>
        </w:tc>
        <w:tc>
          <w:tcPr>
            <w:tcW w:w="938" w:type="dxa"/>
            <w:shd w:val="clear" w:color="auto" w:fill="auto"/>
            <w:noWrap/>
            <w:vAlign w:val="center"/>
            <w:hideMark/>
          </w:tcPr>
          <w:p w14:paraId="5A22378E" w14:textId="7C71E773" w:rsidR="00D62150" w:rsidRPr="00906512" w:rsidRDefault="00603F85" w:rsidP="000B26F3">
            <w:pPr>
              <w:spacing w:line="240" w:lineRule="auto"/>
              <w:jc w:val="center"/>
              <w:rPr>
                <w:rFonts w:cs="Times New Roman"/>
                <w:sz w:val="20"/>
                <w:szCs w:val="20"/>
              </w:rPr>
            </w:pPr>
            <w:r w:rsidRPr="00603F85">
              <w:rPr>
                <w:rFonts w:cs="Times New Roman"/>
                <w:sz w:val="20"/>
                <w:szCs w:val="20"/>
              </w:rPr>
              <w:t>-2997.01</w:t>
            </w:r>
          </w:p>
        </w:tc>
        <w:tc>
          <w:tcPr>
            <w:tcW w:w="1079" w:type="dxa"/>
            <w:shd w:val="clear" w:color="auto" w:fill="auto"/>
            <w:noWrap/>
            <w:vAlign w:val="center"/>
          </w:tcPr>
          <w:p w14:paraId="6DBA1C7F" w14:textId="493F3A4A" w:rsidR="00D62150" w:rsidRPr="00906512" w:rsidRDefault="00197B0D" w:rsidP="000B26F3">
            <w:pPr>
              <w:spacing w:line="240" w:lineRule="auto"/>
              <w:jc w:val="center"/>
              <w:rPr>
                <w:rFonts w:cs="Times New Roman"/>
                <w:sz w:val="20"/>
                <w:szCs w:val="20"/>
              </w:rPr>
            </w:pPr>
            <w:r w:rsidRPr="00197B0D">
              <w:rPr>
                <w:rFonts w:cs="Times New Roman"/>
                <w:sz w:val="20"/>
                <w:szCs w:val="20"/>
              </w:rPr>
              <w:t>-2814.00</w:t>
            </w:r>
          </w:p>
        </w:tc>
        <w:tc>
          <w:tcPr>
            <w:tcW w:w="1080" w:type="dxa"/>
            <w:tcBorders>
              <w:top w:val="single" w:sz="4" w:space="0" w:color="auto"/>
              <w:bottom w:val="single" w:sz="4" w:space="0" w:color="auto"/>
              <w:right w:val="single" w:sz="4" w:space="0" w:color="auto"/>
            </w:tcBorders>
            <w:shd w:val="clear" w:color="auto" w:fill="auto"/>
            <w:noWrap/>
            <w:vAlign w:val="center"/>
          </w:tcPr>
          <w:p w14:paraId="17E43325" w14:textId="2AE878AA" w:rsidR="00D62150" w:rsidRPr="00906512" w:rsidRDefault="00197B0D" w:rsidP="000B26F3">
            <w:pPr>
              <w:spacing w:line="240" w:lineRule="auto"/>
              <w:jc w:val="center"/>
              <w:rPr>
                <w:rFonts w:cs="Times New Roman"/>
                <w:sz w:val="20"/>
                <w:szCs w:val="20"/>
              </w:rPr>
            </w:pPr>
            <w:r w:rsidRPr="00197B0D">
              <w:rPr>
                <w:rFonts w:cs="Times New Roman"/>
                <w:sz w:val="20"/>
                <w:szCs w:val="20"/>
              </w:rPr>
              <w:t>-2776.67</w:t>
            </w:r>
          </w:p>
        </w:tc>
        <w:tc>
          <w:tcPr>
            <w:tcW w:w="1313" w:type="dxa"/>
            <w:tcBorders>
              <w:top w:val="single" w:sz="4" w:space="0" w:color="auto"/>
              <w:left w:val="single" w:sz="4" w:space="0" w:color="auto"/>
              <w:bottom w:val="single" w:sz="4" w:space="0" w:color="auto"/>
              <w:right w:val="double" w:sz="4" w:space="0" w:color="auto"/>
            </w:tcBorders>
            <w:vAlign w:val="center"/>
          </w:tcPr>
          <w:p w14:paraId="288AC16C" w14:textId="22965F48" w:rsidR="00D62150" w:rsidRPr="00E0488B" w:rsidRDefault="00D62150" w:rsidP="000B26F3">
            <w:pPr>
              <w:spacing w:line="240" w:lineRule="auto"/>
              <w:jc w:val="center"/>
              <w:rPr>
                <w:rFonts w:cs="Times New Roman"/>
                <w:sz w:val="20"/>
                <w:szCs w:val="20"/>
              </w:rPr>
            </w:pPr>
            <w:r w:rsidRPr="00906512">
              <w:rPr>
                <w:rFonts w:cs="Times New Roman"/>
                <w:sz w:val="20"/>
                <w:szCs w:val="20"/>
              </w:rPr>
              <w:t>3</w:t>
            </w:r>
            <w:r w:rsidR="002A3331">
              <w:rPr>
                <w:rFonts w:cs="Times New Roman"/>
                <w:sz w:val="20"/>
                <w:szCs w:val="20"/>
              </w:rPr>
              <w:t>6</w:t>
            </w:r>
            <w:r w:rsidRPr="00906512">
              <w:rPr>
                <w:rFonts w:cs="Times New Roman"/>
                <w:sz w:val="20"/>
                <w:szCs w:val="20"/>
              </w:rPr>
              <w:t>6.</w:t>
            </w:r>
            <w:r w:rsidR="002A3331">
              <w:rPr>
                <w:rFonts w:cs="Times New Roman"/>
                <w:sz w:val="20"/>
                <w:szCs w:val="20"/>
              </w:rPr>
              <w:t>02</w:t>
            </w:r>
          </w:p>
        </w:tc>
        <w:tc>
          <w:tcPr>
            <w:tcW w:w="1491" w:type="dxa"/>
            <w:tcBorders>
              <w:top w:val="single" w:sz="4" w:space="0" w:color="auto"/>
              <w:bottom w:val="single" w:sz="4" w:space="0" w:color="auto"/>
              <w:right w:val="double" w:sz="4" w:space="0" w:color="auto"/>
            </w:tcBorders>
            <w:vAlign w:val="center"/>
          </w:tcPr>
          <w:p w14:paraId="6E2B21CD" w14:textId="77D7C55A" w:rsidR="00D62150" w:rsidRPr="00E0488B" w:rsidRDefault="003D2558" w:rsidP="000B26F3">
            <w:pPr>
              <w:spacing w:line="240" w:lineRule="auto"/>
              <w:jc w:val="center"/>
              <w:rPr>
                <w:rFonts w:cs="Times New Roman"/>
                <w:sz w:val="20"/>
                <w:szCs w:val="20"/>
              </w:rPr>
            </w:pPr>
            <w:r>
              <w:rPr>
                <w:rFonts w:cs="Times New Roman"/>
                <w:sz w:val="20"/>
                <w:szCs w:val="20"/>
              </w:rPr>
              <w:t>74</w:t>
            </w:r>
            <w:r w:rsidR="00D62150" w:rsidRPr="00906512">
              <w:rPr>
                <w:rFonts w:cs="Times New Roman"/>
                <w:sz w:val="20"/>
                <w:szCs w:val="20"/>
              </w:rPr>
              <w:t>.</w:t>
            </w:r>
            <w:r>
              <w:rPr>
                <w:rFonts w:cs="Times New Roman"/>
                <w:sz w:val="20"/>
                <w:szCs w:val="20"/>
              </w:rPr>
              <w:t>66</w:t>
            </w:r>
          </w:p>
        </w:tc>
        <w:tc>
          <w:tcPr>
            <w:tcW w:w="976" w:type="dxa"/>
            <w:tcBorders>
              <w:top w:val="single" w:sz="4" w:space="0" w:color="auto"/>
              <w:left w:val="double" w:sz="4" w:space="0" w:color="auto"/>
              <w:bottom w:val="single" w:sz="4" w:space="0" w:color="auto"/>
            </w:tcBorders>
            <w:shd w:val="clear" w:color="auto" w:fill="auto"/>
            <w:noWrap/>
            <w:vAlign w:val="center"/>
            <w:hideMark/>
          </w:tcPr>
          <w:p w14:paraId="07BC9FF3" w14:textId="6FA43DC0" w:rsidR="00D62150" w:rsidRPr="00D62150" w:rsidRDefault="00D62150" w:rsidP="000B26F3">
            <w:pPr>
              <w:spacing w:line="240" w:lineRule="auto"/>
              <w:jc w:val="center"/>
              <w:rPr>
                <w:rFonts w:cs="Times New Roman"/>
                <w:sz w:val="20"/>
                <w:szCs w:val="20"/>
              </w:rPr>
            </w:pPr>
            <w:r w:rsidRPr="00906512">
              <w:rPr>
                <w:rFonts w:cs="Times New Roman"/>
                <w:sz w:val="20"/>
                <w:szCs w:val="20"/>
              </w:rPr>
              <w:t>-1288.75</w:t>
            </w:r>
          </w:p>
        </w:tc>
        <w:tc>
          <w:tcPr>
            <w:tcW w:w="1152" w:type="dxa"/>
            <w:shd w:val="clear" w:color="auto" w:fill="auto"/>
            <w:noWrap/>
            <w:vAlign w:val="center"/>
            <w:hideMark/>
          </w:tcPr>
          <w:p w14:paraId="6A50E519" w14:textId="1617D528" w:rsidR="00D62150" w:rsidRPr="00D62150" w:rsidRDefault="00D62150" w:rsidP="000B26F3">
            <w:pPr>
              <w:spacing w:line="240" w:lineRule="auto"/>
              <w:jc w:val="center"/>
              <w:rPr>
                <w:rFonts w:cs="Times New Roman"/>
                <w:sz w:val="20"/>
                <w:szCs w:val="20"/>
              </w:rPr>
            </w:pPr>
            <w:r w:rsidRPr="00906512">
              <w:rPr>
                <w:rFonts w:cs="Times New Roman"/>
                <w:sz w:val="20"/>
                <w:szCs w:val="20"/>
              </w:rPr>
              <w:t>-1245.62</w:t>
            </w:r>
          </w:p>
        </w:tc>
        <w:tc>
          <w:tcPr>
            <w:tcW w:w="1007" w:type="dxa"/>
            <w:shd w:val="clear" w:color="auto" w:fill="auto"/>
            <w:noWrap/>
            <w:vAlign w:val="center"/>
            <w:hideMark/>
          </w:tcPr>
          <w:p w14:paraId="3C71D649" w14:textId="12E7A927" w:rsidR="00D62150" w:rsidRPr="00D62150" w:rsidRDefault="00D62150" w:rsidP="000B26F3">
            <w:pPr>
              <w:spacing w:line="240" w:lineRule="auto"/>
              <w:jc w:val="center"/>
              <w:rPr>
                <w:rFonts w:cs="Times New Roman"/>
                <w:sz w:val="20"/>
                <w:szCs w:val="20"/>
              </w:rPr>
            </w:pPr>
            <w:r w:rsidRPr="00906512">
              <w:rPr>
                <w:rFonts w:cs="Times New Roman"/>
                <w:sz w:val="20"/>
                <w:szCs w:val="20"/>
              </w:rPr>
              <w:t>-1233.79</w:t>
            </w:r>
          </w:p>
        </w:tc>
        <w:tc>
          <w:tcPr>
            <w:tcW w:w="1313" w:type="dxa"/>
            <w:vAlign w:val="center"/>
          </w:tcPr>
          <w:p w14:paraId="76367F11" w14:textId="28C514C3" w:rsidR="00D62150" w:rsidRPr="00D62150" w:rsidRDefault="00D62150" w:rsidP="000B26F3">
            <w:pPr>
              <w:spacing w:line="240" w:lineRule="auto"/>
              <w:jc w:val="center"/>
              <w:rPr>
                <w:rFonts w:cs="Times New Roman"/>
                <w:sz w:val="20"/>
                <w:szCs w:val="20"/>
              </w:rPr>
            </w:pPr>
            <w:r w:rsidRPr="00906512">
              <w:rPr>
                <w:rFonts w:cs="Times New Roman"/>
                <w:sz w:val="20"/>
                <w:szCs w:val="20"/>
              </w:rPr>
              <w:t>86.26</w:t>
            </w:r>
          </w:p>
        </w:tc>
        <w:tc>
          <w:tcPr>
            <w:tcW w:w="1491" w:type="dxa"/>
            <w:vAlign w:val="center"/>
          </w:tcPr>
          <w:p w14:paraId="23B59322" w14:textId="228E7192" w:rsidR="00D62150" w:rsidRPr="00D62150" w:rsidRDefault="00D62150" w:rsidP="000B26F3">
            <w:pPr>
              <w:spacing w:line="240" w:lineRule="auto"/>
              <w:jc w:val="center"/>
              <w:rPr>
                <w:rFonts w:cs="Times New Roman"/>
                <w:sz w:val="20"/>
                <w:szCs w:val="20"/>
              </w:rPr>
            </w:pPr>
            <w:r w:rsidRPr="00906512">
              <w:rPr>
                <w:rFonts w:cs="Times New Roman"/>
                <w:sz w:val="20"/>
                <w:szCs w:val="20"/>
              </w:rPr>
              <w:t>23.67</w:t>
            </w:r>
          </w:p>
        </w:tc>
      </w:tr>
      <w:tr w:rsidR="00D62150" w:rsidRPr="00F46D04" w14:paraId="4004A493" w14:textId="77777777" w:rsidTr="00914730">
        <w:trPr>
          <w:cantSplit/>
          <w:trHeight w:val="144"/>
        </w:trPr>
        <w:tc>
          <w:tcPr>
            <w:tcW w:w="840" w:type="dxa"/>
            <w:vMerge/>
            <w:tcBorders>
              <w:top w:val="single" w:sz="4" w:space="0" w:color="auto"/>
              <w:bottom w:val="single" w:sz="4" w:space="0" w:color="auto"/>
              <w:right w:val="double" w:sz="4" w:space="0" w:color="auto"/>
            </w:tcBorders>
            <w:vAlign w:val="center"/>
            <w:hideMark/>
          </w:tcPr>
          <w:p w14:paraId="5AA8ABFE" w14:textId="77777777" w:rsidR="00D62150" w:rsidRPr="00E0488B" w:rsidRDefault="00D62150" w:rsidP="000B26F3">
            <w:pPr>
              <w:spacing w:line="240" w:lineRule="auto"/>
              <w:jc w:val="center"/>
              <w:rPr>
                <w:rFonts w:eastAsia="Times New Roman" w:cs="Times New Roman"/>
                <w:color w:val="000000"/>
                <w:sz w:val="20"/>
                <w:szCs w:val="20"/>
                <w:lang w:val="en-US"/>
              </w:rPr>
            </w:pPr>
          </w:p>
        </w:tc>
        <w:tc>
          <w:tcPr>
            <w:tcW w:w="1159" w:type="dxa"/>
            <w:tcBorders>
              <w:top w:val="single" w:sz="4" w:space="0" w:color="auto"/>
              <w:left w:val="double" w:sz="4" w:space="0" w:color="auto"/>
              <w:bottom w:val="single" w:sz="4" w:space="0" w:color="auto"/>
            </w:tcBorders>
            <w:shd w:val="clear" w:color="auto" w:fill="auto"/>
            <w:noWrap/>
            <w:vAlign w:val="center"/>
            <w:hideMark/>
          </w:tcPr>
          <w:p w14:paraId="39D1EDEF" w14:textId="05C3484C" w:rsidR="00D62150"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Est. 5000</w:t>
            </w:r>
          </w:p>
          <w:p w14:paraId="13DB27D6" w14:textId="2FB94D8C" w:rsidR="00D62150" w:rsidRPr="00E0488B"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Val. 686</w:t>
            </w:r>
          </w:p>
        </w:tc>
        <w:tc>
          <w:tcPr>
            <w:tcW w:w="938" w:type="dxa"/>
            <w:shd w:val="clear" w:color="auto" w:fill="auto"/>
            <w:noWrap/>
            <w:vAlign w:val="center"/>
            <w:hideMark/>
          </w:tcPr>
          <w:p w14:paraId="5993FA2F"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-3805.91</w:t>
            </w:r>
          </w:p>
        </w:tc>
        <w:tc>
          <w:tcPr>
            <w:tcW w:w="1079" w:type="dxa"/>
            <w:shd w:val="clear" w:color="auto" w:fill="auto"/>
            <w:noWrap/>
            <w:vAlign w:val="center"/>
          </w:tcPr>
          <w:p w14:paraId="1CF1B4D1"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-3609.82</w:t>
            </w:r>
          </w:p>
        </w:tc>
        <w:tc>
          <w:tcPr>
            <w:tcW w:w="1080" w:type="dxa"/>
            <w:tcBorders>
              <w:top w:val="single" w:sz="4" w:space="0" w:color="auto"/>
              <w:bottom w:val="single" w:sz="4" w:space="0" w:color="auto"/>
              <w:right w:val="single" w:sz="4" w:space="0" w:color="auto"/>
            </w:tcBorders>
            <w:shd w:val="clear" w:color="auto" w:fill="auto"/>
            <w:noWrap/>
            <w:vAlign w:val="center"/>
          </w:tcPr>
          <w:p w14:paraId="7FB2844C" w14:textId="77777777" w:rsidR="00D62150" w:rsidRPr="00906512" w:rsidRDefault="00D62150" w:rsidP="000B26F3">
            <w:pPr>
              <w:spacing w:line="240" w:lineRule="auto"/>
              <w:jc w:val="center"/>
              <w:rPr>
                <w:rFonts w:cs="Times New Roman"/>
                <w:sz w:val="20"/>
                <w:szCs w:val="20"/>
              </w:rPr>
            </w:pPr>
            <w:r w:rsidRPr="00906512">
              <w:rPr>
                <w:rFonts w:cs="Times New Roman"/>
                <w:sz w:val="20"/>
                <w:szCs w:val="20"/>
              </w:rPr>
              <w:t>-3557.94</w:t>
            </w:r>
          </w:p>
        </w:tc>
        <w:tc>
          <w:tcPr>
            <w:tcW w:w="1313" w:type="dxa"/>
            <w:tcBorders>
              <w:top w:val="single" w:sz="4" w:space="0" w:color="auto"/>
              <w:left w:val="single" w:sz="4" w:space="0" w:color="auto"/>
              <w:bottom w:val="single" w:sz="4" w:space="0" w:color="auto"/>
              <w:right w:val="double" w:sz="4" w:space="0" w:color="auto"/>
            </w:tcBorders>
            <w:vAlign w:val="center"/>
          </w:tcPr>
          <w:p w14:paraId="7E8A57A9" w14:textId="77777777" w:rsidR="00D62150" w:rsidRPr="00E0488B" w:rsidRDefault="00D62150" w:rsidP="000B26F3">
            <w:pPr>
              <w:spacing w:line="240" w:lineRule="auto"/>
              <w:jc w:val="center"/>
              <w:rPr>
                <w:rFonts w:cs="Times New Roman"/>
                <w:sz w:val="20"/>
                <w:szCs w:val="20"/>
              </w:rPr>
            </w:pPr>
            <w:r w:rsidRPr="00906512">
              <w:rPr>
                <w:rFonts w:cs="Times New Roman"/>
                <w:sz w:val="20"/>
                <w:szCs w:val="20"/>
              </w:rPr>
              <w:t>392.19</w:t>
            </w:r>
          </w:p>
        </w:tc>
        <w:tc>
          <w:tcPr>
            <w:tcW w:w="1491" w:type="dxa"/>
            <w:tcBorders>
              <w:top w:val="single" w:sz="4" w:space="0" w:color="auto"/>
              <w:bottom w:val="single" w:sz="4" w:space="0" w:color="auto"/>
              <w:right w:val="double" w:sz="4" w:space="0" w:color="auto"/>
            </w:tcBorders>
            <w:vAlign w:val="center"/>
          </w:tcPr>
          <w:p w14:paraId="1C51D892" w14:textId="77777777" w:rsidR="00D62150" w:rsidRPr="00E0488B" w:rsidRDefault="00D62150" w:rsidP="000B26F3">
            <w:pPr>
              <w:spacing w:line="240" w:lineRule="auto"/>
              <w:jc w:val="center"/>
              <w:rPr>
                <w:rFonts w:cs="Times New Roman"/>
                <w:sz w:val="20"/>
                <w:szCs w:val="20"/>
              </w:rPr>
            </w:pPr>
            <w:r w:rsidRPr="00906512">
              <w:rPr>
                <w:rFonts w:cs="Times New Roman"/>
                <w:sz w:val="20"/>
                <w:szCs w:val="20"/>
              </w:rPr>
              <w:t>103.76</w:t>
            </w:r>
          </w:p>
        </w:tc>
        <w:tc>
          <w:tcPr>
            <w:tcW w:w="976" w:type="dxa"/>
            <w:tcBorders>
              <w:top w:val="single" w:sz="4" w:space="0" w:color="auto"/>
              <w:left w:val="double" w:sz="4" w:space="0" w:color="auto"/>
              <w:bottom w:val="single" w:sz="4" w:space="0" w:color="auto"/>
            </w:tcBorders>
            <w:shd w:val="clear" w:color="auto" w:fill="auto"/>
            <w:noWrap/>
            <w:vAlign w:val="center"/>
            <w:hideMark/>
          </w:tcPr>
          <w:p w14:paraId="0AEE1B5B" w14:textId="3755C3CD" w:rsidR="00D62150" w:rsidRPr="00D62150" w:rsidRDefault="00D62150" w:rsidP="000B26F3">
            <w:pPr>
              <w:spacing w:line="240" w:lineRule="auto"/>
              <w:jc w:val="center"/>
              <w:rPr>
                <w:rFonts w:cs="Times New Roman"/>
                <w:sz w:val="20"/>
                <w:szCs w:val="20"/>
              </w:rPr>
            </w:pPr>
            <w:r w:rsidRPr="00906512">
              <w:rPr>
                <w:rFonts w:cs="Times New Roman"/>
                <w:sz w:val="20"/>
                <w:szCs w:val="20"/>
              </w:rPr>
              <w:t>-511.79</w:t>
            </w:r>
          </w:p>
        </w:tc>
        <w:tc>
          <w:tcPr>
            <w:tcW w:w="1152" w:type="dxa"/>
            <w:shd w:val="clear" w:color="auto" w:fill="auto"/>
            <w:noWrap/>
            <w:vAlign w:val="center"/>
            <w:hideMark/>
          </w:tcPr>
          <w:p w14:paraId="6B9C1C04" w14:textId="3095A2DE" w:rsidR="00D62150" w:rsidRPr="00D62150" w:rsidRDefault="00D62150" w:rsidP="000B26F3">
            <w:pPr>
              <w:spacing w:line="240" w:lineRule="auto"/>
              <w:jc w:val="center"/>
              <w:rPr>
                <w:rFonts w:cs="Times New Roman"/>
                <w:sz w:val="20"/>
                <w:szCs w:val="20"/>
              </w:rPr>
            </w:pPr>
            <w:r w:rsidRPr="00906512">
              <w:rPr>
                <w:rFonts w:cs="Times New Roman"/>
                <w:sz w:val="20"/>
                <w:szCs w:val="20"/>
              </w:rPr>
              <w:t>-481.86</w:t>
            </w:r>
          </w:p>
        </w:tc>
        <w:tc>
          <w:tcPr>
            <w:tcW w:w="1007" w:type="dxa"/>
            <w:shd w:val="clear" w:color="auto" w:fill="auto"/>
            <w:noWrap/>
            <w:vAlign w:val="center"/>
            <w:hideMark/>
          </w:tcPr>
          <w:p w14:paraId="5EEBBADD" w14:textId="4CE1024F" w:rsidR="00D62150" w:rsidRPr="00D62150" w:rsidRDefault="00D62150" w:rsidP="000B26F3">
            <w:pPr>
              <w:spacing w:line="240" w:lineRule="auto"/>
              <w:jc w:val="center"/>
              <w:rPr>
                <w:rFonts w:cs="Times New Roman"/>
                <w:sz w:val="20"/>
                <w:szCs w:val="20"/>
              </w:rPr>
            </w:pPr>
            <w:r w:rsidRPr="00906512">
              <w:rPr>
                <w:rFonts w:cs="Times New Roman"/>
                <w:sz w:val="20"/>
                <w:szCs w:val="20"/>
              </w:rPr>
              <w:t>-472.56</w:t>
            </w:r>
          </w:p>
        </w:tc>
        <w:tc>
          <w:tcPr>
            <w:tcW w:w="1313" w:type="dxa"/>
            <w:vAlign w:val="center"/>
          </w:tcPr>
          <w:p w14:paraId="146CA267" w14:textId="17E4F038" w:rsidR="00D62150" w:rsidRPr="00D62150" w:rsidRDefault="00D62150" w:rsidP="000B26F3">
            <w:pPr>
              <w:spacing w:line="240" w:lineRule="auto"/>
              <w:jc w:val="center"/>
              <w:rPr>
                <w:rFonts w:cs="Times New Roman"/>
                <w:sz w:val="20"/>
                <w:szCs w:val="20"/>
              </w:rPr>
            </w:pPr>
            <w:r w:rsidRPr="00906512">
              <w:rPr>
                <w:rFonts w:cs="Times New Roman"/>
                <w:sz w:val="20"/>
                <w:szCs w:val="20"/>
              </w:rPr>
              <w:t>59.86</w:t>
            </w:r>
          </w:p>
        </w:tc>
        <w:tc>
          <w:tcPr>
            <w:tcW w:w="1491" w:type="dxa"/>
            <w:vAlign w:val="center"/>
          </w:tcPr>
          <w:p w14:paraId="269F1566" w14:textId="6D637B9C" w:rsidR="00D62150" w:rsidRPr="00D62150" w:rsidRDefault="00D62150" w:rsidP="000B26F3">
            <w:pPr>
              <w:spacing w:line="240" w:lineRule="auto"/>
              <w:jc w:val="center"/>
              <w:rPr>
                <w:rFonts w:cs="Times New Roman"/>
                <w:sz w:val="20"/>
                <w:szCs w:val="20"/>
              </w:rPr>
            </w:pPr>
            <w:r w:rsidRPr="00906512">
              <w:rPr>
                <w:rFonts w:cs="Times New Roman"/>
                <w:sz w:val="20"/>
                <w:szCs w:val="20"/>
              </w:rPr>
              <w:t>18.61</w:t>
            </w:r>
          </w:p>
        </w:tc>
      </w:tr>
      <w:tr w:rsidR="00D62150" w:rsidRPr="00F46D04" w14:paraId="4BD0C9D4" w14:textId="77777777" w:rsidTr="00914730">
        <w:trPr>
          <w:cantSplit/>
          <w:trHeight w:val="144"/>
        </w:trPr>
        <w:tc>
          <w:tcPr>
            <w:tcW w:w="840" w:type="dxa"/>
            <w:vMerge w:val="restart"/>
            <w:tcBorders>
              <w:top w:val="single" w:sz="4" w:space="0" w:color="auto"/>
              <w:bottom w:val="single" w:sz="4" w:space="0" w:color="auto"/>
              <w:right w:val="double" w:sz="4" w:space="0" w:color="auto"/>
            </w:tcBorders>
            <w:shd w:val="clear" w:color="auto" w:fill="auto"/>
            <w:noWrap/>
            <w:textDirection w:val="btLr"/>
            <w:vAlign w:val="center"/>
            <w:hideMark/>
          </w:tcPr>
          <w:p w14:paraId="0D2A6FED" w14:textId="0308130D" w:rsidR="00D62150" w:rsidRPr="00E0488B" w:rsidRDefault="00D62150" w:rsidP="000B26F3">
            <w:pPr>
              <w:spacing w:line="240" w:lineRule="auto"/>
              <w:jc w:val="center"/>
              <w:rPr>
                <w:rFonts w:eastAsia="Times New Roman" w:cs="Times New Roman"/>
                <w:color w:val="000000"/>
                <w:sz w:val="20"/>
                <w:szCs w:val="20"/>
                <w:lang w:val="en-US"/>
              </w:rPr>
            </w:pPr>
            <w:r w:rsidRPr="001C5B75">
              <w:rPr>
                <w:rFonts w:eastAsia="Times New Roman" w:cs="Times New Roman"/>
                <w:b/>
                <w:bCs/>
                <w:color w:val="000000"/>
                <w:szCs w:val="24"/>
                <w:lang w:val="en-US"/>
              </w:rPr>
              <w:t>Natural Gas</w:t>
            </w:r>
          </w:p>
        </w:tc>
        <w:tc>
          <w:tcPr>
            <w:tcW w:w="1159" w:type="dxa"/>
            <w:tcBorders>
              <w:top w:val="single" w:sz="4" w:space="0" w:color="auto"/>
              <w:left w:val="double" w:sz="4" w:space="0" w:color="auto"/>
              <w:bottom w:val="single" w:sz="4" w:space="0" w:color="auto"/>
            </w:tcBorders>
            <w:shd w:val="clear" w:color="auto" w:fill="auto"/>
            <w:noWrap/>
            <w:vAlign w:val="center"/>
            <w:hideMark/>
          </w:tcPr>
          <w:p w14:paraId="6044CE1B" w14:textId="77777777" w:rsidR="00D62150"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Est. 1000</w:t>
            </w:r>
          </w:p>
          <w:p w14:paraId="30148661" w14:textId="4AA3BBB9" w:rsidR="00D62150" w:rsidRPr="00E0488B"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Val. 4686</w:t>
            </w:r>
          </w:p>
        </w:tc>
        <w:tc>
          <w:tcPr>
            <w:tcW w:w="938" w:type="dxa"/>
            <w:shd w:val="clear" w:color="auto" w:fill="auto"/>
            <w:noWrap/>
            <w:vAlign w:val="center"/>
            <w:hideMark/>
          </w:tcPr>
          <w:p w14:paraId="1E740252" w14:textId="4518690B" w:rsidR="00D62150" w:rsidRPr="00906512" w:rsidRDefault="00D62150" w:rsidP="000B26F3">
            <w:pPr>
              <w:spacing w:line="240" w:lineRule="auto"/>
              <w:jc w:val="center"/>
              <w:rPr>
                <w:rFonts w:cs="Times New Roman"/>
                <w:sz w:val="20"/>
                <w:szCs w:val="20"/>
              </w:rPr>
            </w:pPr>
            <w:r w:rsidRPr="001C452E">
              <w:rPr>
                <w:rFonts w:cs="Times New Roman"/>
                <w:sz w:val="20"/>
                <w:szCs w:val="20"/>
              </w:rPr>
              <w:t>-1232.66</w:t>
            </w:r>
          </w:p>
        </w:tc>
        <w:tc>
          <w:tcPr>
            <w:tcW w:w="1079" w:type="dxa"/>
            <w:shd w:val="clear" w:color="auto" w:fill="auto"/>
            <w:noWrap/>
            <w:vAlign w:val="center"/>
          </w:tcPr>
          <w:p w14:paraId="6389B76A" w14:textId="31C57548" w:rsidR="00D62150" w:rsidRPr="00906512" w:rsidRDefault="00D62150" w:rsidP="000B26F3">
            <w:pPr>
              <w:spacing w:line="240" w:lineRule="auto"/>
              <w:jc w:val="center"/>
              <w:rPr>
                <w:rFonts w:cs="Times New Roman"/>
                <w:sz w:val="20"/>
                <w:szCs w:val="20"/>
              </w:rPr>
            </w:pPr>
            <w:r w:rsidRPr="001C452E">
              <w:rPr>
                <w:rFonts w:cs="Times New Roman"/>
                <w:sz w:val="20"/>
                <w:szCs w:val="20"/>
              </w:rPr>
              <w:t>-1203.77</w:t>
            </w:r>
          </w:p>
        </w:tc>
        <w:tc>
          <w:tcPr>
            <w:tcW w:w="1080" w:type="dxa"/>
            <w:tcBorders>
              <w:top w:val="single" w:sz="4" w:space="0" w:color="auto"/>
              <w:bottom w:val="single" w:sz="4" w:space="0" w:color="auto"/>
              <w:right w:val="single" w:sz="4" w:space="0" w:color="auto"/>
            </w:tcBorders>
            <w:shd w:val="clear" w:color="auto" w:fill="auto"/>
            <w:noWrap/>
            <w:vAlign w:val="center"/>
          </w:tcPr>
          <w:p w14:paraId="354E3D1E" w14:textId="1834C10A" w:rsidR="00D62150" w:rsidRPr="00906512" w:rsidRDefault="00D62150" w:rsidP="000B26F3">
            <w:pPr>
              <w:spacing w:line="240" w:lineRule="auto"/>
              <w:jc w:val="center"/>
              <w:rPr>
                <w:rFonts w:cs="Times New Roman"/>
                <w:sz w:val="20"/>
                <w:szCs w:val="20"/>
              </w:rPr>
            </w:pPr>
            <w:r w:rsidRPr="001C452E">
              <w:rPr>
                <w:rFonts w:cs="Times New Roman"/>
                <w:sz w:val="20"/>
                <w:szCs w:val="20"/>
              </w:rPr>
              <w:t>-1202.05</w:t>
            </w:r>
          </w:p>
        </w:tc>
        <w:tc>
          <w:tcPr>
            <w:tcW w:w="1313" w:type="dxa"/>
            <w:tcBorders>
              <w:top w:val="single" w:sz="4" w:space="0" w:color="auto"/>
              <w:left w:val="single" w:sz="4" w:space="0" w:color="auto"/>
              <w:bottom w:val="single" w:sz="4" w:space="0" w:color="auto"/>
              <w:right w:val="double" w:sz="4" w:space="0" w:color="auto"/>
            </w:tcBorders>
            <w:vAlign w:val="center"/>
          </w:tcPr>
          <w:p w14:paraId="158B790C" w14:textId="0093F2BE" w:rsidR="00D62150" w:rsidRPr="00906512" w:rsidRDefault="00D62150" w:rsidP="000B26F3">
            <w:pPr>
              <w:spacing w:line="240" w:lineRule="auto"/>
              <w:jc w:val="center"/>
              <w:rPr>
                <w:rFonts w:cs="Times New Roman"/>
                <w:sz w:val="20"/>
                <w:szCs w:val="20"/>
              </w:rPr>
            </w:pPr>
            <w:r w:rsidRPr="001C452E">
              <w:rPr>
                <w:rFonts w:cs="Times New Roman"/>
                <w:sz w:val="20"/>
                <w:szCs w:val="20"/>
              </w:rPr>
              <w:t>57.78</w:t>
            </w:r>
          </w:p>
        </w:tc>
        <w:tc>
          <w:tcPr>
            <w:tcW w:w="1491" w:type="dxa"/>
            <w:tcBorders>
              <w:top w:val="single" w:sz="4" w:space="0" w:color="auto"/>
              <w:bottom w:val="single" w:sz="4" w:space="0" w:color="auto"/>
              <w:right w:val="double" w:sz="4" w:space="0" w:color="auto"/>
            </w:tcBorders>
            <w:vAlign w:val="center"/>
          </w:tcPr>
          <w:p w14:paraId="22AF9056" w14:textId="4E7EE00E" w:rsidR="00D62150" w:rsidRPr="00906512" w:rsidRDefault="00D62150" w:rsidP="000B26F3">
            <w:pPr>
              <w:spacing w:line="240" w:lineRule="auto"/>
              <w:jc w:val="center"/>
              <w:rPr>
                <w:rFonts w:cs="Times New Roman"/>
                <w:sz w:val="20"/>
                <w:szCs w:val="20"/>
              </w:rPr>
            </w:pPr>
            <w:r w:rsidRPr="001C452E">
              <w:rPr>
                <w:rFonts w:cs="Times New Roman"/>
                <w:sz w:val="20"/>
                <w:szCs w:val="20"/>
              </w:rPr>
              <w:t>3.45</w:t>
            </w:r>
          </w:p>
        </w:tc>
        <w:tc>
          <w:tcPr>
            <w:tcW w:w="976" w:type="dxa"/>
            <w:tcBorders>
              <w:top w:val="single" w:sz="4" w:space="0" w:color="auto"/>
              <w:left w:val="double" w:sz="4" w:space="0" w:color="auto"/>
              <w:bottom w:val="single" w:sz="4" w:space="0" w:color="auto"/>
            </w:tcBorders>
            <w:shd w:val="clear" w:color="auto" w:fill="auto"/>
            <w:noWrap/>
            <w:vAlign w:val="center"/>
            <w:hideMark/>
          </w:tcPr>
          <w:p w14:paraId="4440F7F4" w14:textId="163DE119" w:rsidR="00D62150" w:rsidRPr="001C452E" w:rsidRDefault="00D62150" w:rsidP="000B26F3">
            <w:pPr>
              <w:spacing w:line="240" w:lineRule="auto"/>
              <w:jc w:val="center"/>
              <w:rPr>
                <w:rFonts w:cs="Times New Roman"/>
                <w:sz w:val="20"/>
                <w:szCs w:val="20"/>
              </w:rPr>
            </w:pPr>
            <w:r w:rsidRPr="001C452E">
              <w:rPr>
                <w:rFonts w:cs="Times New Roman"/>
                <w:sz w:val="20"/>
                <w:szCs w:val="20"/>
              </w:rPr>
              <w:t>-5716.43</w:t>
            </w:r>
          </w:p>
        </w:tc>
        <w:tc>
          <w:tcPr>
            <w:tcW w:w="1152" w:type="dxa"/>
            <w:shd w:val="clear" w:color="auto" w:fill="auto"/>
            <w:noWrap/>
            <w:vAlign w:val="center"/>
            <w:hideMark/>
          </w:tcPr>
          <w:p w14:paraId="0B7514C6" w14:textId="67F37903" w:rsidR="00D62150" w:rsidRPr="001C452E" w:rsidRDefault="00D62150" w:rsidP="000B26F3">
            <w:pPr>
              <w:spacing w:line="240" w:lineRule="auto"/>
              <w:jc w:val="center"/>
              <w:rPr>
                <w:rFonts w:cs="Times New Roman"/>
                <w:sz w:val="20"/>
                <w:szCs w:val="20"/>
              </w:rPr>
            </w:pPr>
            <w:r w:rsidRPr="001C452E">
              <w:rPr>
                <w:rFonts w:cs="Times New Roman"/>
                <w:sz w:val="20"/>
                <w:szCs w:val="20"/>
              </w:rPr>
              <w:t>-5534.19</w:t>
            </w:r>
          </w:p>
        </w:tc>
        <w:tc>
          <w:tcPr>
            <w:tcW w:w="1007" w:type="dxa"/>
            <w:shd w:val="clear" w:color="auto" w:fill="auto"/>
            <w:noWrap/>
            <w:vAlign w:val="center"/>
            <w:hideMark/>
          </w:tcPr>
          <w:p w14:paraId="25AAAE32" w14:textId="11EDE98B" w:rsidR="00D62150" w:rsidRPr="001C452E" w:rsidRDefault="00D62150" w:rsidP="000B26F3">
            <w:pPr>
              <w:spacing w:line="240" w:lineRule="auto"/>
              <w:jc w:val="center"/>
              <w:rPr>
                <w:rFonts w:cs="Times New Roman"/>
                <w:sz w:val="20"/>
                <w:szCs w:val="20"/>
              </w:rPr>
            </w:pPr>
            <w:r w:rsidRPr="001C452E">
              <w:rPr>
                <w:rFonts w:cs="Times New Roman"/>
                <w:sz w:val="20"/>
                <w:szCs w:val="20"/>
              </w:rPr>
              <w:t>-5527.69</w:t>
            </w:r>
          </w:p>
        </w:tc>
        <w:tc>
          <w:tcPr>
            <w:tcW w:w="1313" w:type="dxa"/>
            <w:vAlign w:val="center"/>
          </w:tcPr>
          <w:p w14:paraId="1FE98BD5" w14:textId="02DBD6E0" w:rsidR="00D62150" w:rsidRPr="00E0488B" w:rsidRDefault="00D62150" w:rsidP="000B26F3">
            <w:pPr>
              <w:spacing w:line="240" w:lineRule="auto"/>
              <w:jc w:val="center"/>
              <w:rPr>
                <w:rFonts w:cs="Times New Roman"/>
                <w:sz w:val="20"/>
                <w:szCs w:val="20"/>
              </w:rPr>
            </w:pPr>
            <w:r w:rsidRPr="001C452E">
              <w:rPr>
                <w:rFonts w:cs="Times New Roman"/>
                <w:sz w:val="20"/>
                <w:szCs w:val="20"/>
              </w:rPr>
              <w:t>364.48</w:t>
            </w:r>
          </w:p>
        </w:tc>
        <w:tc>
          <w:tcPr>
            <w:tcW w:w="1491" w:type="dxa"/>
            <w:vAlign w:val="center"/>
          </w:tcPr>
          <w:p w14:paraId="5DA631C9" w14:textId="0C79D039" w:rsidR="00D62150" w:rsidRPr="00E0488B" w:rsidRDefault="00D62150" w:rsidP="000B26F3">
            <w:pPr>
              <w:spacing w:line="240" w:lineRule="auto"/>
              <w:jc w:val="center"/>
              <w:rPr>
                <w:rFonts w:cs="Times New Roman"/>
                <w:sz w:val="20"/>
                <w:szCs w:val="20"/>
              </w:rPr>
            </w:pPr>
            <w:r w:rsidRPr="001C452E">
              <w:rPr>
                <w:rFonts w:cs="Times New Roman"/>
                <w:sz w:val="20"/>
                <w:szCs w:val="20"/>
              </w:rPr>
              <w:t>13.01</w:t>
            </w:r>
          </w:p>
        </w:tc>
      </w:tr>
      <w:tr w:rsidR="00D62150" w:rsidRPr="00F46D04" w14:paraId="1D742F6A" w14:textId="77777777" w:rsidTr="00914730">
        <w:trPr>
          <w:cantSplit/>
          <w:trHeight w:val="144"/>
        </w:trPr>
        <w:tc>
          <w:tcPr>
            <w:tcW w:w="840" w:type="dxa"/>
            <w:vMerge/>
            <w:tcBorders>
              <w:top w:val="single" w:sz="4" w:space="0" w:color="auto"/>
              <w:bottom w:val="single" w:sz="4" w:space="0" w:color="auto"/>
              <w:right w:val="double" w:sz="4" w:space="0" w:color="auto"/>
            </w:tcBorders>
            <w:vAlign w:val="center"/>
            <w:hideMark/>
          </w:tcPr>
          <w:p w14:paraId="23DBB3BE" w14:textId="77777777" w:rsidR="00D62150" w:rsidRPr="00E0488B" w:rsidRDefault="00D62150" w:rsidP="000B26F3">
            <w:pPr>
              <w:spacing w:line="240" w:lineRule="auto"/>
              <w:jc w:val="center"/>
              <w:rPr>
                <w:rFonts w:eastAsia="Times New Roman" w:cs="Times New Roman"/>
                <w:color w:val="000000"/>
                <w:sz w:val="20"/>
                <w:szCs w:val="20"/>
                <w:lang w:val="en-US"/>
              </w:rPr>
            </w:pPr>
          </w:p>
        </w:tc>
        <w:tc>
          <w:tcPr>
            <w:tcW w:w="1159" w:type="dxa"/>
            <w:tcBorders>
              <w:top w:val="single" w:sz="4" w:space="0" w:color="auto"/>
              <w:left w:val="double" w:sz="4" w:space="0" w:color="auto"/>
              <w:bottom w:val="single" w:sz="4" w:space="0" w:color="auto"/>
            </w:tcBorders>
            <w:shd w:val="clear" w:color="auto" w:fill="auto"/>
            <w:noWrap/>
            <w:vAlign w:val="center"/>
            <w:hideMark/>
          </w:tcPr>
          <w:p w14:paraId="7F0CDA19" w14:textId="77777777" w:rsidR="00D62150"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Est. 2000</w:t>
            </w:r>
          </w:p>
          <w:p w14:paraId="3E8B3ED0" w14:textId="2B17E60C" w:rsidR="00D62150" w:rsidRPr="00E0488B"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Val. 3686</w:t>
            </w:r>
          </w:p>
        </w:tc>
        <w:tc>
          <w:tcPr>
            <w:tcW w:w="938" w:type="dxa"/>
            <w:shd w:val="clear" w:color="auto" w:fill="auto"/>
            <w:noWrap/>
            <w:vAlign w:val="center"/>
            <w:hideMark/>
          </w:tcPr>
          <w:p w14:paraId="7EF593A4" w14:textId="17036331" w:rsidR="00D62150" w:rsidRPr="00906512" w:rsidRDefault="00D62150" w:rsidP="000B26F3">
            <w:pPr>
              <w:spacing w:line="240" w:lineRule="auto"/>
              <w:jc w:val="center"/>
              <w:rPr>
                <w:rFonts w:cs="Times New Roman"/>
                <w:sz w:val="20"/>
                <w:szCs w:val="20"/>
              </w:rPr>
            </w:pPr>
            <w:r w:rsidRPr="001C452E">
              <w:rPr>
                <w:rFonts w:cs="Times New Roman"/>
                <w:sz w:val="20"/>
                <w:szCs w:val="20"/>
              </w:rPr>
              <w:t>-2358.39</w:t>
            </w:r>
          </w:p>
        </w:tc>
        <w:tc>
          <w:tcPr>
            <w:tcW w:w="1079" w:type="dxa"/>
            <w:shd w:val="clear" w:color="auto" w:fill="auto"/>
            <w:noWrap/>
            <w:vAlign w:val="center"/>
          </w:tcPr>
          <w:p w14:paraId="2E2DF1DE" w14:textId="5B311EE9" w:rsidR="00D62150" w:rsidRPr="00906512" w:rsidRDefault="00D62150" w:rsidP="000B26F3">
            <w:pPr>
              <w:spacing w:line="240" w:lineRule="auto"/>
              <w:jc w:val="center"/>
              <w:rPr>
                <w:rFonts w:cs="Times New Roman"/>
                <w:sz w:val="20"/>
                <w:szCs w:val="20"/>
              </w:rPr>
            </w:pPr>
            <w:r w:rsidRPr="001C452E">
              <w:rPr>
                <w:rFonts w:cs="Times New Roman"/>
                <w:sz w:val="20"/>
                <w:szCs w:val="20"/>
              </w:rPr>
              <w:t>-2305.03</w:t>
            </w:r>
          </w:p>
        </w:tc>
        <w:tc>
          <w:tcPr>
            <w:tcW w:w="1080" w:type="dxa"/>
            <w:tcBorders>
              <w:top w:val="single" w:sz="4" w:space="0" w:color="auto"/>
              <w:bottom w:val="single" w:sz="4" w:space="0" w:color="auto"/>
              <w:right w:val="single" w:sz="4" w:space="0" w:color="auto"/>
            </w:tcBorders>
            <w:shd w:val="clear" w:color="auto" w:fill="auto"/>
            <w:noWrap/>
            <w:vAlign w:val="center"/>
          </w:tcPr>
          <w:p w14:paraId="33A48BB8" w14:textId="52AC98AE" w:rsidR="00D62150" w:rsidRPr="00906512" w:rsidRDefault="00D62150" w:rsidP="000B26F3">
            <w:pPr>
              <w:spacing w:line="240" w:lineRule="auto"/>
              <w:jc w:val="center"/>
              <w:rPr>
                <w:rFonts w:cs="Times New Roman"/>
                <w:sz w:val="20"/>
                <w:szCs w:val="20"/>
              </w:rPr>
            </w:pPr>
            <w:r w:rsidRPr="001C452E">
              <w:rPr>
                <w:rFonts w:cs="Times New Roman"/>
                <w:sz w:val="20"/>
                <w:szCs w:val="20"/>
              </w:rPr>
              <w:t>-2300.19</w:t>
            </w:r>
          </w:p>
        </w:tc>
        <w:tc>
          <w:tcPr>
            <w:tcW w:w="1313" w:type="dxa"/>
            <w:tcBorders>
              <w:top w:val="single" w:sz="4" w:space="0" w:color="auto"/>
              <w:left w:val="single" w:sz="4" w:space="0" w:color="auto"/>
              <w:bottom w:val="single" w:sz="4" w:space="0" w:color="auto"/>
              <w:right w:val="double" w:sz="4" w:space="0" w:color="auto"/>
            </w:tcBorders>
            <w:vAlign w:val="center"/>
          </w:tcPr>
          <w:p w14:paraId="4A90E2EA" w14:textId="00F3492B" w:rsidR="00D62150" w:rsidRPr="00906512" w:rsidRDefault="00D62150" w:rsidP="000B26F3">
            <w:pPr>
              <w:spacing w:line="240" w:lineRule="auto"/>
              <w:jc w:val="center"/>
              <w:rPr>
                <w:rFonts w:cs="Times New Roman"/>
                <w:sz w:val="20"/>
                <w:szCs w:val="20"/>
              </w:rPr>
            </w:pPr>
            <w:r w:rsidRPr="001C452E">
              <w:rPr>
                <w:rFonts w:cs="Times New Roman"/>
                <w:sz w:val="20"/>
                <w:szCs w:val="20"/>
              </w:rPr>
              <w:t>106.72</w:t>
            </w:r>
          </w:p>
        </w:tc>
        <w:tc>
          <w:tcPr>
            <w:tcW w:w="1491" w:type="dxa"/>
            <w:tcBorders>
              <w:top w:val="single" w:sz="4" w:space="0" w:color="auto"/>
              <w:bottom w:val="single" w:sz="4" w:space="0" w:color="auto"/>
              <w:right w:val="double" w:sz="4" w:space="0" w:color="auto"/>
            </w:tcBorders>
            <w:vAlign w:val="center"/>
          </w:tcPr>
          <w:p w14:paraId="335E1961" w14:textId="1CDC4234" w:rsidR="00D62150" w:rsidRPr="00906512" w:rsidRDefault="00D62150" w:rsidP="000B26F3">
            <w:pPr>
              <w:spacing w:line="240" w:lineRule="auto"/>
              <w:jc w:val="center"/>
              <w:rPr>
                <w:rFonts w:cs="Times New Roman"/>
                <w:sz w:val="20"/>
                <w:szCs w:val="20"/>
              </w:rPr>
            </w:pPr>
            <w:r w:rsidRPr="001C452E">
              <w:rPr>
                <w:rFonts w:cs="Times New Roman"/>
                <w:sz w:val="20"/>
                <w:szCs w:val="20"/>
              </w:rPr>
              <w:t>9.69</w:t>
            </w:r>
          </w:p>
        </w:tc>
        <w:tc>
          <w:tcPr>
            <w:tcW w:w="976" w:type="dxa"/>
            <w:tcBorders>
              <w:top w:val="single" w:sz="4" w:space="0" w:color="auto"/>
              <w:left w:val="double" w:sz="4" w:space="0" w:color="auto"/>
              <w:bottom w:val="single" w:sz="4" w:space="0" w:color="auto"/>
            </w:tcBorders>
            <w:shd w:val="clear" w:color="auto" w:fill="auto"/>
            <w:noWrap/>
            <w:vAlign w:val="center"/>
            <w:hideMark/>
          </w:tcPr>
          <w:p w14:paraId="3C006712" w14:textId="0125AA6B" w:rsidR="00D62150" w:rsidRPr="001C452E" w:rsidRDefault="00D62150" w:rsidP="000B26F3">
            <w:pPr>
              <w:spacing w:line="240" w:lineRule="auto"/>
              <w:jc w:val="center"/>
              <w:rPr>
                <w:rFonts w:cs="Times New Roman"/>
                <w:sz w:val="20"/>
                <w:szCs w:val="20"/>
              </w:rPr>
            </w:pPr>
            <w:r w:rsidRPr="001C452E">
              <w:rPr>
                <w:rFonts w:cs="Times New Roman"/>
                <w:sz w:val="20"/>
                <w:szCs w:val="20"/>
              </w:rPr>
              <w:t>-4584.61</w:t>
            </w:r>
          </w:p>
        </w:tc>
        <w:tc>
          <w:tcPr>
            <w:tcW w:w="1152" w:type="dxa"/>
            <w:shd w:val="clear" w:color="auto" w:fill="auto"/>
            <w:noWrap/>
            <w:vAlign w:val="center"/>
            <w:hideMark/>
          </w:tcPr>
          <w:p w14:paraId="767EE64B" w14:textId="417EA56A" w:rsidR="00D62150" w:rsidRPr="001C452E" w:rsidRDefault="00D62150" w:rsidP="000B26F3">
            <w:pPr>
              <w:spacing w:line="240" w:lineRule="auto"/>
              <w:jc w:val="center"/>
              <w:rPr>
                <w:rFonts w:cs="Times New Roman"/>
                <w:sz w:val="20"/>
                <w:szCs w:val="20"/>
              </w:rPr>
            </w:pPr>
            <w:r w:rsidRPr="001C452E">
              <w:rPr>
                <w:rFonts w:cs="Times New Roman"/>
                <w:sz w:val="20"/>
                <w:szCs w:val="20"/>
              </w:rPr>
              <w:t>-4407.48</w:t>
            </w:r>
          </w:p>
        </w:tc>
        <w:tc>
          <w:tcPr>
            <w:tcW w:w="1007" w:type="dxa"/>
            <w:shd w:val="clear" w:color="auto" w:fill="auto"/>
            <w:noWrap/>
            <w:vAlign w:val="center"/>
            <w:hideMark/>
          </w:tcPr>
          <w:p w14:paraId="7D55B365" w14:textId="3E27C2C0" w:rsidR="00D62150" w:rsidRPr="001C452E" w:rsidRDefault="00D62150" w:rsidP="000B26F3">
            <w:pPr>
              <w:spacing w:line="240" w:lineRule="auto"/>
              <w:jc w:val="center"/>
              <w:rPr>
                <w:rFonts w:cs="Times New Roman"/>
                <w:sz w:val="20"/>
                <w:szCs w:val="20"/>
              </w:rPr>
            </w:pPr>
            <w:r w:rsidRPr="001C452E">
              <w:rPr>
                <w:rFonts w:cs="Times New Roman"/>
                <w:sz w:val="20"/>
                <w:szCs w:val="20"/>
              </w:rPr>
              <w:t>-4402.18</w:t>
            </w:r>
          </w:p>
        </w:tc>
        <w:tc>
          <w:tcPr>
            <w:tcW w:w="1313" w:type="dxa"/>
            <w:vAlign w:val="center"/>
          </w:tcPr>
          <w:p w14:paraId="5BD0161C" w14:textId="0A64DD84" w:rsidR="00D62150" w:rsidRPr="00E0488B" w:rsidRDefault="00D62150" w:rsidP="000B26F3">
            <w:pPr>
              <w:spacing w:line="240" w:lineRule="auto"/>
              <w:jc w:val="center"/>
              <w:rPr>
                <w:rFonts w:cs="Times New Roman"/>
                <w:sz w:val="20"/>
                <w:szCs w:val="20"/>
              </w:rPr>
            </w:pPr>
            <w:r w:rsidRPr="001C452E">
              <w:rPr>
                <w:rFonts w:cs="Times New Roman"/>
                <w:sz w:val="20"/>
                <w:szCs w:val="20"/>
              </w:rPr>
              <w:t>354.26</w:t>
            </w:r>
          </w:p>
        </w:tc>
        <w:tc>
          <w:tcPr>
            <w:tcW w:w="1491" w:type="dxa"/>
            <w:vAlign w:val="center"/>
          </w:tcPr>
          <w:p w14:paraId="58ED2A14" w14:textId="4CF67114" w:rsidR="00D62150" w:rsidRPr="00E0488B" w:rsidRDefault="00D62150" w:rsidP="000B26F3">
            <w:pPr>
              <w:spacing w:line="240" w:lineRule="auto"/>
              <w:jc w:val="center"/>
              <w:rPr>
                <w:rFonts w:cs="Times New Roman"/>
                <w:sz w:val="20"/>
                <w:szCs w:val="20"/>
              </w:rPr>
            </w:pPr>
            <w:r w:rsidRPr="001C452E">
              <w:rPr>
                <w:rFonts w:cs="Times New Roman"/>
                <w:sz w:val="20"/>
                <w:szCs w:val="20"/>
              </w:rPr>
              <w:t>10.59</w:t>
            </w:r>
          </w:p>
        </w:tc>
      </w:tr>
      <w:tr w:rsidR="00D62150" w:rsidRPr="00F46D04" w14:paraId="15059BF5" w14:textId="77777777" w:rsidTr="00914730">
        <w:trPr>
          <w:cantSplit/>
          <w:trHeight w:val="144"/>
        </w:trPr>
        <w:tc>
          <w:tcPr>
            <w:tcW w:w="840" w:type="dxa"/>
            <w:vMerge/>
            <w:tcBorders>
              <w:top w:val="single" w:sz="4" w:space="0" w:color="auto"/>
              <w:bottom w:val="single" w:sz="4" w:space="0" w:color="auto"/>
              <w:right w:val="double" w:sz="4" w:space="0" w:color="auto"/>
            </w:tcBorders>
            <w:vAlign w:val="center"/>
            <w:hideMark/>
          </w:tcPr>
          <w:p w14:paraId="0D4BA970" w14:textId="77777777" w:rsidR="00D62150" w:rsidRPr="00E0488B" w:rsidRDefault="00D62150" w:rsidP="000B26F3">
            <w:pPr>
              <w:spacing w:line="240" w:lineRule="auto"/>
              <w:jc w:val="center"/>
              <w:rPr>
                <w:rFonts w:eastAsia="Times New Roman" w:cs="Times New Roman"/>
                <w:color w:val="000000"/>
                <w:sz w:val="20"/>
                <w:szCs w:val="20"/>
                <w:lang w:val="en-US"/>
              </w:rPr>
            </w:pPr>
          </w:p>
        </w:tc>
        <w:tc>
          <w:tcPr>
            <w:tcW w:w="1159" w:type="dxa"/>
            <w:tcBorders>
              <w:top w:val="single" w:sz="4" w:space="0" w:color="auto"/>
              <w:left w:val="double" w:sz="4" w:space="0" w:color="auto"/>
              <w:bottom w:val="single" w:sz="4" w:space="0" w:color="auto"/>
            </w:tcBorders>
            <w:shd w:val="clear" w:color="auto" w:fill="auto"/>
            <w:noWrap/>
            <w:vAlign w:val="center"/>
            <w:hideMark/>
          </w:tcPr>
          <w:p w14:paraId="2DFBB876" w14:textId="77777777" w:rsidR="00D62150"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Est. 3000</w:t>
            </w:r>
          </w:p>
          <w:p w14:paraId="2AAFDC72" w14:textId="2CE06581" w:rsidR="00D62150" w:rsidRPr="00E0488B"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Val. 2686</w:t>
            </w:r>
          </w:p>
        </w:tc>
        <w:tc>
          <w:tcPr>
            <w:tcW w:w="938" w:type="dxa"/>
            <w:shd w:val="clear" w:color="auto" w:fill="auto"/>
            <w:noWrap/>
            <w:vAlign w:val="center"/>
            <w:hideMark/>
          </w:tcPr>
          <w:p w14:paraId="37A8C214" w14:textId="03026C32" w:rsidR="00D62150" w:rsidRPr="00906512" w:rsidRDefault="00D62150" w:rsidP="000B26F3">
            <w:pPr>
              <w:spacing w:line="240" w:lineRule="auto"/>
              <w:jc w:val="center"/>
              <w:rPr>
                <w:rFonts w:cs="Times New Roman"/>
                <w:sz w:val="20"/>
                <w:szCs w:val="20"/>
              </w:rPr>
            </w:pPr>
            <w:r w:rsidRPr="001C452E">
              <w:rPr>
                <w:rFonts w:cs="Times New Roman"/>
                <w:sz w:val="20"/>
                <w:szCs w:val="20"/>
              </w:rPr>
              <w:t>-3557.13</w:t>
            </w:r>
          </w:p>
        </w:tc>
        <w:tc>
          <w:tcPr>
            <w:tcW w:w="1079" w:type="dxa"/>
            <w:shd w:val="clear" w:color="auto" w:fill="auto"/>
            <w:noWrap/>
            <w:vAlign w:val="center"/>
          </w:tcPr>
          <w:p w14:paraId="602A49BD" w14:textId="2AC5E55E" w:rsidR="00D62150" w:rsidRPr="00906512" w:rsidRDefault="00D62150" w:rsidP="000B26F3">
            <w:pPr>
              <w:spacing w:line="240" w:lineRule="auto"/>
              <w:jc w:val="center"/>
              <w:rPr>
                <w:rFonts w:cs="Times New Roman"/>
                <w:sz w:val="20"/>
                <w:szCs w:val="20"/>
              </w:rPr>
            </w:pPr>
            <w:r w:rsidRPr="001C452E">
              <w:rPr>
                <w:rFonts w:cs="Times New Roman"/>
                <w:sz w:val="20"/>
                <w:szCs w:val="20"/>
              </w:rPr>
              <w:t>-3444.75</w:t>
            </w:r>
          </w:p>
        </w:tc>
        <w:tc>
          <w:tcPr>
            <w:tcW w:w="1080" w:type="dxa"/>
            <w:tcBorders>
              <w:top w:val="single" w:sz="4" w:space="0" w:color="auto"/>
              <w:bottom w:val="single" w:sz="4" w:space="0" w:color="auto"/>
              <w:right w:val="single" w:sz="4" w:space="0" w:color="auto"/>
            </w:tcBorders>
            <w:shd w:val="clear" w:color="auto" w:fill="auto"/>
            <w:noWrap/>
            <w:vAlign w:val="center"/>
          </w:tcPr>
          <w:p w14:paraId="515BB4A5" w14:textId="7B01BCF2" w:rsidR="00D62150" w:rsidRPr="00906512" w:rsidRDefault="00D62150" w:rsidP="000B26F3">
            <w:pPr>
              <w:spacing w:line="240" w:lineRule="auto"/>
              <w:jc w:val="center"/>
              <w:rPr>
                <w:rFonts w:cs="Times New Roman"/>
                <w:sz w:val="20"/>
                <w:szCs w:val="20"/>
              </w:rPr>
            </w:pPr>
            <w:r w:rsidRPr="001C452E">
              <w:rPr>
                <w:rFonts w:cs="Times New Roman"/>
                <w:sz w:val="20"/>
                <w:szCs w:val="20"/>
              </w:rPr>
              <w:t>-3437.98</w:t>
            </w:r>
          </w:p>
        </w:tc>
        <w:tc>
          <w:tcPr>
            <w:tcW w:w="1313" w:type="dxa"/>
            <w:tcBorders>
              <w:top w:val="single" w:sz="4" w:space="0" w:color="auto"/>
              <w:left w:val="single" w:sz="4" w:space="0" w:color="auto"/>
              <w:bottom w:val="single" w:sz="4" w:space="0" w:color="auto"/>
              <w:right w:val="double" w:sz="4" w:space="0" w:color="auto"/>
            </w:tcBorders>
            <w:vAlign w:val="center"/>
          </w:tcPr>
          <w:p w14:paraId="462E07BD" w14:textId="6A82B44D" w:rsidR="00D62150" w:rsidRPr="00906512" w:rsidRDefault="00D62150" w:rsidP="000B26F3">
            <w:pPr>
              <w:spacing w:line="240" w:lineRule="auto"/>
              <w:jc w:val="center"/>
              <w:rPr>
                <w:rFonts w:cs="Times New Roman"/>
                <w:sz w:val="20"/>
                <w:szCs w:val="20"/>
              </w:rPr>
            </w:pPr>
            <w:r w:rsidRPr="001C452E">
              <w:rPr>
                <w:rFonts w:cs="Times New Roman"/>
                <w:sz w:val="20"/>
                <w:szCs w:val="20"/>
              </w:rPr>
              <w:t>224.78</w:t>
            </w:r>
          </w:p>
        </w:tc>
        <w:tc>
          <w:tcPr>
            <w:tcW w:w="1491" w:type="dxa"/>
            <w:tcBorders>
              <w:top w:val="single" w:sz="4" w:space="0" w:color="auto"/>
              <w:bottom w:val="single" w:sz="4" w:space="0" w:color="auto"/>
              <w:right w:val="double" w:sz="4" w:space="0" w:color="auto"/>
            </w:tcBorders>
            <w:vAlign w:val="center"/>
          </w:tcPr>
          <w:p w14:paraId="6EEBC9C7" w14:textId="001A4743" w:rsidR="00D62150" w:rsidRPr="00906512" w:rsidRDefault="00D62150" w:rsidP="000B26F3">
            <w:pPr>
              <w:spacing w:line="240" w:lineRule="auto"/>
              <w:jc w:val="center"/>
              <w:rPr>
                <w:rFonts w:cs="Times New Roman"/>
                <w:sz w:val="20"/>
                <w:szCs w:val="20"/>
              </w:rPr>
            </w:pPr>
            <w:r w:rsidRPr="001C452E">
              <w:rPr>
                <w:rFonts w:cs="Times New Roman"/>
                <w:sz w:val="20"/>
                <w:szCs w:val="20"/>
              </w:rPr>
              <w:t>13.53</w:t>
            </w:r>
          </w:p>
        </w:tc>
        <w:tc>
          <w:tcPr>
            <w:tcW w:w="976" w:type="dxa"/>
            <w:tcBorders>
              <w:top w:val="single" w:sz="4" w:space="0" w:color="auto"/>
              <w:left w:val="double" w:sz="4" w:space="0" w:color="auto"/>
              <w:bottom w:val="single" w:sz="4" w:space="0" w:color="auto"/>
            </w:tcBorders>
            <w:shd w:val="clear" w:color="auto" w:fill="auto"/>
            <w:noWrap/>
            <w:vAlign w:val="center"/>
            <w:hideMark/>
          </w:tcPr>
          <w:p w14:paraId="66A8DB9D" w14:textId="79531BB3" w:rsidR="00D62150" w:rsidRPr="001C452E" w:rsidRDefault="00D62150" w:rsidP="000B26F3">
            <w:pPr>
              <w:spacing w:line="240" w:lineRule="auto"/>
              <w:jc w:val="center"/>
              <w:rPr>
                <w:rFonts w:cs="Times New Roman"/>
                <w:sz w:val="20"/>
                <w:szCs w:val="20"/>
              </w:rPr>
            </w:pPr>
            <w:r w:rsidRPr="001C452E">
              <w:rPr>
                <w:rFonts w:cs="Times New Roman"/>
                <w:sz w:val="20"/>
                <w:szCs w:val="20"/>
              </w:rPr>
              <w:t>-3381.99</w:t>
            </w:r>
          </w:p>
        </w:tc>
        <w:tc>
          <w:tcPr>
            <w:tcW w:w="1152" w:type="dxa"/>
            <w:shd w:val="clear" w:color="auto" w:fill="auto"/>
            <w:noWrap/>
            <w:vAlign w:val="center"/>
            <w:hideMark/>
          </w:tcPr>
          <w:p w14:paraId="76FE0DD8" w14:textId="23620AF1" w:rsidR="00D62150" w:rsidRPr="001C452E" w:rsidRDefault="00D62150" w:rsidP="000B26F3">
            <w:pPr>
              <w:spacing w:line="240" w:lineRule="auto"/>
              <w:jc w:val="center"/>
              <w:rPr>
                <w:rFonts w:cs="Times New Roman"/>
                <w:sz w:val="20"/>
                <w:szCs w:val="20"/>
              </w:rPr>
            </w:pPr>
            <w:r w:rsidRPr="001C452E">
              <w:rPr>
                <w:rFonts w:cs="Times New Roman"/>
                <w:sz w:val="20"/>
                <w:szCs w:val="20"/>
              </w:rPr>
              <w:t>-3283.52</w:t>
            </w:r>
          </w:p>
        </w:tc>
        <w:tc>
          <w:tcPr>
            <w:tcW w:w="1007" w:type="dxa"/>
            <w:shd w:val="clear" w:color="auto" w:fill="auto"/>
            <w:noWrap/>
            <w:vAlign w:val="center"/>
            <w:hideMark/>
          </w:tcPr>
          <w:p w14:paraId="0B660252" w14:textId="5DB51C7A" w:rsidR="00D62150" w:rsidRPr="001C452E" w:rsidRDefault="00D62150" w:rsidP="000B26F3">
            <w:pPr>
              <w:spacing w:line="240" w:lineRule="auto"/>
              <w:jc w:val="center"/>
              <w:rPr>
                <w:rFonts w:cs="Times New Roman"/>
                <w:sz w:val="20"/>
                <w:szCs w:val="20"/>
              </w:rPr>
            </w:pPr>
            <w:r w:rsidRPr="001C452E">
              <w:rPr>
                <w:rFonts w:cs="Times New Roman"/>
                <w:sz w:val="20"/>
                <w:szCs w:val="20"/>
              </w:rPr>
              <w:t>-3280.42</w:t>
            </w:r>
          </w:p>
        </w:tc>
        <w:tc>
          <w:tcPr>
            <w:tcW w:w="1313" w:type="dxa"/>
            <w:vAlign w:val="center"/>
          </w:tcPr>
          <w:p w14:paraId="6373B829" w14:textId="422AB99D" w:rsidR="00D62150" w:rsidRPr="00E0488B" w:rsidRDefault="00D62150" w:rsidP="000B26F3">
            <w:pPr>
              <w:spacing w:line="240" w:lineRule="auto"/>
              <w:jc w:val="center"/>
              <w:rPr>
                <w:rFonts w:cs="Times New Roman"/>
                <w:sz w:val="20"/>
                <w:szCs w:val="20"/>
              </w:rPr>
            </w:pPr>
            <w:r w:rsidRPr="001C452E">
              <w:rPr>
                <w:rFonts w:cs="Times New Roman"/>
                <w:sz w:val="20"/>
                <w:szCs w:val="20"/>
              </w:rPr>
              <w:t>196.95</w:t>
            </w:r>
          </w:p>
        </w:tc>
        <w:tc>
          <w:tcPr>
            <w:tcW w:w="1491" w:type="dxa"/>
            <w:vAlign w:val="center"/>
          </w:tcPr>
          <w:p w14:paraId="696CFBD2" w14:textId="5FC8E672" w:rsidR="00D62150" w:rsidRPr="00E0488B" w:rsidRDefault="00D62150" w:rsidP="000B26F3">
            <w:pPr>
              <w:spacing w:line="240" w:lineRule="auto"/>
              <w:jc w:val="center"/>
              <w:rPr>
                <w:rFonts w:cs="Times New Roman"/>
                <w:sz w:val="20"/>
                <w:szCs w:val="20"/>
              </w:rPr>
            </w:pPr>
            <w:r w:rsidRPr="001C452E">
              <w:rPr>
                <w:rFonts w:cs="Times New Roman"/>
                <w:sz w:val="20"/>
                <w:szCs w:val="20"/>
              </w:rPr>
              <w:t>6.19</w:t>
            </w:r>
          </w:p>
        </w:tc>
      </w:tr>
      <w:tr w:rsidR="00760A1B" w:rsidRPr="00F46D04" w14:paraId="26AD2D55" w14:textId="77777777" w:rsidTr="00760A1B">
        <w:trPr>
          <w:cantSplit/>
          <w:trHeight w:val="144"/>
        </w:trPr>
        <w:tc>
          <w:tcPr>
            <w:tcW w:w="840" w:type="dxa"/>
            <w:vMerge/>
            <w:tcBorders>
              <w:top w:val="single" w:sz="4" w:space="0" w:color="auto"/>
              <w:bottom w:val="single" w:sz="4" w:space="0" w:color="auto"/>
              <w:right w:val="double" w:sz="4" w:space="0" w:color="auto"/>
            </w:tcBorders>
            <w:vAlign w:val="center"/>
            <w:hideMark/>
          </w:tcPr>
          <w:p w14:paraId="133CB25D" w14:textId="77777777" w:rsidR="00760A1B" w:rsidRPr="00E0488B" w:rsidRDefault="00760A1B" w:rsidP="000B26F3">
            <w:pPr>
              <w:spacing w:line="240" w:lineRule="auto"/>
              <w:jc w:val="center"/>
              <w:rPr>
                <w:rFonts w:eastAsia="Times New Roman" w:cs="Times New Roman"/>
                <w:color w:val="000000"/>
                <w:sz w:val="20"/>
                <w:szCs w:val="20"/>
                <w:lang w:val="en-US"/>
              </w:rPr>
            </w:pPr>
          </w:p>
        </w:tc>
        <w:tc>
          <w:tcPr>
            <w:tcW w:w="1159" w:type="dxa"/>
            <w:tcBorders>
              <w:top w:val="single" w:sz="4" w:space="0" w:color="auto"/>
              <w:left w:val="double" w:sz="4" w:space="0" w:color="auto"/>
              <w:bottom w:val="single" w:sz="4" w:space="0" w:color="auto"/>
            </w:tcBorders>
            <w:shd w:val="clear" w:color="auto" w:fill="auto"/>
            <w:noWrap/>
            <w:vAlign w:val="center"/>
            <w:hideMark/>
          </w:tcPr>
          <w:p w14:paraId="7B0B94FC" w14:textId="77777777" w:rsidR="00760A1B" w:rsidRDefault="00760A1B"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Est. 4000</w:t>
            </w:r>
          </w:p>
          <w:p w14:paraId="1A9361A5" w14:textId="065F941E" w:rsidR="00760A1B" w:rsidRPr="00E0488B" w:rsidRDefault="00760A1B"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Val. 1686</w:t>
            </w:r>
          </w:p>
        </w:tc>
        <w:tc>
          <w:tcPr>
            <w:tcW w:w="938" w:type="dxa"/>
            <w:shd w:val="clear" w:color="auto" w:fill="auto"/>
            <w:noWrap/>
            <w:vAlign w:val="center"/>
            <w:hideMark/>
          </w:tcPr>
          <w:p w14:paraId="2315B1D6" w14:textId="051C2DF4" w:rsidR="00760A1B" w:rsidRPr="00906512" w:rsidRDefault="00760A1B" w:rsidP="000B26F3">
            <w:pPr>
              <w:spacing w:line="240" w:lineRule="auto"/>
              <w:jc w:val="center"/>
              <w:rPr>
                <w:rFonts w:cs="Times New Roman"/>
                <w:sz w:val="20"/>
                <w:szCs w:val="20"/>
              </w:rPr>
            </w:pPr>
            <w:r w:rsidRPr="001C452E">
              <w:rPr>
                <w:rFonts w:cs="Times New Roman"/>
                <w:sz w:val="20"/>
                <w:szCs w:val="20"/>
              </w:rPr>
              <w:t>-4891.95</w:t>
            </w:r>
          </w:p>
        </w:tc>
        <w:tc>
          <w:tcPr>
            <w:tcW w:w="1079" w:type="dxa"/>
            <w:shd w:val="clear" w:color="auto" w:fill="auto"/>
            <w:noWrap/>
            <w:vAlign w:val="center"/>
          </w:tcPr>
          <w:p w14:paraId="12542FBE" w14:textId="31F99BF5" w:rsidR="00760A1B" w:rsidRPr="00906512" w:rsidRDefault="00760A1B" w:rsidP="000B26F3">
            <w:pPr>
              <w:spacing w:line="240" w:lineRule="auto"/>
              <w:jc w:val="center"/>
              <w:rPr>
                <w:rFonts w:cs="Times New Roman"/>
                <w:sz w:val="20"/>
                <w:szCs w:val="20"/>
              </w:rPr>
            </w:pPr>
            <w:r w:rsidRPr="001C452E">
              <w:rPr>
                <w:rFonts w:cs="Times New Roman"/>
                <w:sz w:val="20"/>
                <w:szCs w:val="20"/>
              </w:rPr>
              <w:t>-4722.44</w:t>
            </w:r>
          </w:p>
        </w:tc>
        <w:tc>
          <w:tcPr>
            <w:tcW w:w="1080" w:type="dxa"/>
            <w:tcBorders>
              <w:top w:val="single" w:sz="4" w:space="0" w:color="auto"/>
              <w:bottom w:val="single" w:sz="4" w:space="0" w:color="auto"/>
              <w:right w:val="single" w:sz="4" w:space="0" w:color="auto"/>
            </w:tcBorders>
            <w:shd w:val="clear" w:color="auto" w:fill="auto"/>
            <w:noWrap/>
            <w:vAlign w:val="center"/>
          </w:tcPr>
          <w:p w14:paraId="42B84D10" w14:textId="7D747B9E" w:rsidR="00760A1B" w:rsidRPr="00906512" w:rsidRDefault="00760A1B" w:rsidP="000B26F3">
            <w:pPr>
              <w:spacing w:line="240" w:lineRule="auto"/>
              <w:jc w:val="center"/>
              <w:rPr>
                <w:rFonts w:cs="Times New Roman"/>
                <w:sz w:val="20"/>
                <w:szCs w:val="20"/>
              </w:rPr>
            </w:pPr>
            <w:r w:rsidRPr="001C452E">
              <w:rPr>
                <w:rFonts w:cs="Times New Roman"/>
                <w:sz w:val="20"/>
                <w:szCs w:val="20"/>
              </w:rPr>
              <w:t>-4712.96</w:t>
            </w:r>
          </w:p>
        </w:tc>
        <w:tc>
          <w:tcPr>
            <w:tcW w:w="1313" w:type="dxa"/>
            <w:tcBorders>
              <w:top w:val="single" w:sz="4" w:space="0" w:color="auto"/>
              <w:left w:val="single" w:sz="4" w:space="0" w:color="auto"/>
              <w:bottom w:val="single" w:sz="4" w:space="0" w:color="auto"/>
              <w:right w:val="double" w:sz="4" w:space="0" w:color="auto"/>
            </w:tcBorders>
            <w:vAlign w:val="center"/>
          </w:tcPr>
          <w:p w14:paraId="33712BC4" w14:textId="2B2C4B5B" w:rsidR="00760A1B" w:rsidRPr="00906512" w:rsidRDefault="00760A1B" w:rsidP="000B26F3">
            <w:pPr>
              <w:spacing w:line="240" w:lineRule="auto"/>
              <w:jc w:val="center"/>
              <w:rPr>
                <w:rFonts w:cs="Times New Roman"/>
                <w:sz w:val="20"/>
                <w:szCs w:val="20"/>
              </w:rPr>
            </w:pPr>
            <w:r w:rsidRPr="001C452E">
              <w:rPr>
                <w:rFonts w:cs="Times New Roman"/>
                <w:sz w:val="20"/>
                <w:szCs w:val="20"/>
              </w:rPr>
              <w:t>339.01</w:t>
            </w:r>
          </w:p>
        </w:tc>
        <w:tc>
          <w:tcPr>
            <w:tcW w:w="1491" w:type="dxa"/>
            <w:tcBorders>
              <w:top w:val="single" w:sz="4" w:space="0" w:color="auto"/>
              <w:bottom w:val="single" w:sz="4" w:space="0" w:color="auto"/>
              <w:right w:val="double" w:sz="4" w:space="0" w:color="auto"/>
            </w:tcBorders>
            <w:vAlign w:val="center"/>
          </w:tcPr>
          <w:p w14:paraId="17A8C696" w14:textId="6CB8E220" w:rsidR="00760A1B" w:rsidRPr="00906512" w:rsidRDefault="00760A1B" w:rsidP="000B26F3">
            <w:pPr>
              <w:spacing w:line="240" w:lineRule="auto"/>
              <w:jc w:val="center"/>
              <w:rPr>
                <w:rFonts w:cs="Times New Roman"/>
                <w:sz w:val="20"/>
                <w:szCs w:val="20"/>
              </w:rPr>
            </w:pPr>
            <w:r w:rsidRPr="001C452E">
              <w:rPr>
                <w:rFonts w:cs="Times New Roman"/>
                <w:sz w:val="20"/>
                <w:szCs w:val="20"/>
              </w:rPr>
              <w:t>18.98</w:t>
            </w:r>
          </w:p>
        </w:tc>
        <w:tc>
          <w:tcPr>
            <w:tcW w:w="976" w:type="dxa"/>
            <w:tcBorders>
              <w:top w:val="single" w:sz="4" w:space="0" w:color="auto"/>
              <w:left w:val="double" w:sz="4" w:space="0" w:color="auto"/>
              <w:bottom w:val="single" w:sz="4" w:space="0" w:color="auto"/>
            </w:tcBorders>
            <w:shd w:val="clear" w:color="auto" w:fill="auto"/>
            <w:noWrap/>
            <w:vAlign w:val="center"/>
            <w:hideMark/>
          </w:tcPr>
          <w:p w14:paraId="40D72DCD" w14:textId="0A36D30B" w:rsidR="00760A1B" w:rsidRPr="001C452E" w:rsidRDefault="00760A1B" w:rsidP="000B26F3">
            <w:pPr>
              <w:spacing w:line="240" w:lineRule="auto"/>
              <w:jc w:val="center"/>
              <w:rPr>
                <w:rFonts w:cs="Times New Roman"/>
                <w:sz w:val="20"/>
                <w:szCs w:val="20"/>
              </w:rPr>
            </w:pPr>
            <w:r w:rsidRPr="001C452E">
              <w:rPr>
                <w:rFonts w:cs="Times New Roman"/>
                <w:sz w:val="20"/>
                <w:szCs w:val="20"/>
              </w:rPr>
              <w:t>-2035.04</w:t>
            </w:r>
          </w:p>
        </w:tc>
        <w:tc>
          <w:tcPr>
            <w:tcW w:w="1152" w:type="dxa"/>
            <w:shd w:val="clear" w:color="auto" w:fill="auto"/>
            <w:noWrap/>
            <w:vAlign w:val="center"/>
            <w:hideMark/>
          </w:tcPr>
          <w:p w14:paraId="1A04EBFD" w14:textId="7CA8B043" w:rsidR="00760A1B" w:rsidRPr="001C452E" w:rsidRDefault="00760A1B" w:rsidP="000B26F3">
            <w:pPr>
              <w:spacing w:line="240" w:lineRule="auto"/>
              <w:jc w:val="center"/>
              <w:rPr>
                <w:rFonts w:cs="Times New Roman"/>
                <w:sz w:val="20"/>
                <w:szCs w:val="20"/>
              </w:rPr>
            </w:pPr>
            <w:r w:rsidRPr="001C452E">
              <w:rPr>
                <w:rFonts w:cs="Times New Roman"/>
                <w:sz w:val="20"/>
                <w:szCs w:val="20"/>
              </w:rPr>
              <w:t>-1945.81</w:t>
            </w:r>
          </w:p>
        </w:tc>
        <w:tc>
          <w:tcPr>
            <w:tcW w:w="1007" w:type="dxa"/>
            <w:shd w:val="clear" w:color="auto" w:fill="auto"/>
            <w:noWrap/>
            <w:vAlign w:val="center"/>
            <w:hideMark/>
          </w:tcPr>
          <w:p w14:paraId="49DE0C92" w14:textId="197DEB50" w:rsidR="00760A1B" w:rsidRPr="001C452E" w:rsidRDefault="00760A1B" w:rsidP="000B26F3">
            <w:pPr>
              <w:spacing w:line="240" w:lineRule="auto"/>
              <w:jc w:val="center"/>
              <w:rPr>
                <w:rFonts w:cs="Times New Roman"/>
                <w:sz w:val="20"/>
                <w:szCs w:val="20"/>
              </w:rPr>
            </w:pPr>
            <w:r w:rsidRPr="001C452E">
              <w:rPr>
                <w:rFonts w:cs="Times New Roman"/>
                <w:sz w:val="20"/>
                <w:szCs w:val="20"/>
              </w:rPr>
              <w:t>-1943.74</w:t>
            </w:r>
          </w:p>
        </w:tc>
        <w:tc>
          <w:tcPr>
            <w:tcW w:w="1313" w:type="dxa"/>
            <w:vAlign w:val="center"/>
          </w:tcPr>
          <w:p w14:paraId="669517B3" w14:textId="6F0E565A" w:rsidR="00760A1B" w:rsidRPr="00E0488B" w:rsidRDefault="00760A1B" w:rsidP="000B26F3">
            <w:pPr>
              <w:spacing w:line="240" w:lineRule="auto"/>
              <w:jc w:val="center"/>
              <w:rPr>
                <w:rFonts w:cs="Times New Roman"/>
                <w:sz w:val="20"/>
                <w:szCs w:val="20"/>
              </w:rPr>
            </w:pPr>
            <w:r w:rsidRPr="001C452E">
              <w:rPr>
                <w:rFonts w:cs="Times New Roman"/>
                <w:sz w:val="20"/>
                <w:szCs w:val="20"/>
              </w:rPr>
              <w:t>178.48</w:t>
            </w:r>
          </w:p>
        </w:tc>
        <w:tc>
          <w:tcPr>
            <w:tcW w:w="1491" w:type="dxa"/>
            <w:vAlign w:val="center"/>
          </w:tcPr>
          <w:p w14:paraId="00BB25FE" w14:textId="504145FA" w:rsidR="00760A1B" w:rsidRPr="00E0488B" w:rsidRDefault="00760A1B" w:rsidP="000B26F3">
            <w:pPr>
              <w:spacing w:line="240" w:lineRule="auto"/>
              <w:jc w:val="center"/>
              <w:rPr>
                <w:rFonts w:cs="Times New Roman"/>
                <w:sz w:val="20"/>
                <w:szCs w:val="20"/>
              </w:rPr>
            </w:pPr>
            <w:r w:rsidRPr="001C452E">
              <w:rPr>
                <w:rFonts w:cs="Times New Roman"/>
                <w:sz w:val="20"/>
                <w:szCs w:val="20"/>
              </w:rPr>
              <w:t>4.14</w:t>
            </w:r>
          </w:p>
        </w:tc>
      </w:tr>
      <w:tr w:rsidR="00D62150" w:rsidRPr="00F46D04" w14:paraId="39CD3A3B" w14:textId="77777777" w:rsidTr="00914730">
        <w:trPr>
          <w:cantSplit/>
          <w:trHeight w:val="144"/>
        </w:trPr>
        <w:tc>
          <w:tcPr>
            <w:tcW w:w="840" w:type="dxa"/>
            <w:vMerge/>
            <w:tcBorders>
              <w:top w:val="single" w:sz="4" w:space="0" w:color="auto"/>
              <w:bottom w:val="double" w:sz="4" w:space="0" w:color="auto"/>
              <w:right w:val="double" w:sz="4" w:space="0" w:color="auto"/>
            </w:tcBorders>
            <w:vAlign w:val="center"/>
            <w:hideMark/>
          </w:tcPr>
          <w:p w14:paraId="5CB0E83A" w14:textId="77777777" w:rsidR="00D62150" w:rsidRPr="00E0488B" w:rsidRDefault="00D62150" w:rsidP="000B26F3">
            <w:pPr>
              <w:spacing w:line="240" w:lineRule="auto"/>
              <w:jc w:val="center"/>
              <w:rPr>
                <w:rFonts w:eastAsia="Times New Roman" w:cs="Times New Roman"/>
                <w:color w:val="000000"/>
                <w:sz w:val="20"/>
                <w:szCs w:val="20"/>
                <w:lang w:val="en-US"/>
              </w:rPr>
            </w:pPr>
          </w:p>
        </w:tc>
        <w:tc>
          <w:tcPr>
            <w:tcW w:w="1159" w:type="dxa"/>
            <w:tcBorders>
              <w:top w:val="single" w:sz="4" w:space="0" w:color="auto"/>
              <w:left w:val="double" w:sz="4" w:space="0" w:color="auto"/>
              <w:bottom w:val="double" w:sz="4" w:space="0" w:color="auto"/>
            </w:tcBorders>
            <w:shd w:val="clear" w:color="auto" w:fill="auto"/>
            <w:noWrap/>
            <w:vAlign w:val="center"/>
            <w:hideMark/>
          </w:tcPr>
          <w:p w14:paraId="79B12294" w14:textId="77777777" w:rsidR="00D62150"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Est. 5000</w:t>
            </w:r>
          </w:p>
          <w:p w14:paraId="09C9CFF4" w14:textId="1B8893CF" w:rsidR="00D62150" w:rsidRPr="00E0488B" w:rsidRDefault="00D62150" w:rsidP="000B26F3">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Val. 686</w:t>
            </w:r>
          </w:p>
        </w:tc>
        <w:tc>
          <w:tcPr>
            <w:tcW w:w="938" w:type="dxa"/>
            <w:shd w:val="clear" w:color="auto" w:fill="auto"/>
            <w:noWrap/>
            <w:vAlign w:val="center"/>
            <w:hideMark/>
          </w:tcPr>
          <w:p w14:paraId="1E3B7B64" w14:textId="4B9A1BB8" w:rsidR="00D62150" w:rsidRPr="00906512" w:rsidRDefault="00D62150" w:rsidP="000B26F3">
            <w:pPr>
              <w:spacing w:line="240" w:lineRule="auto"/>
              <w:jc w:val="center"/>
              <w:rPr>
                <w:rFonts w:cs="Times New Roman"/>
                <w:sz w:val="20"/>
                <w:szCs w:val="20"/>
              </w:rPr>
            </w:pPr>
            <w:r w:rsidRPr="001C452E">
              <w:rPr>
                <w:rFonts w:cs="Times New Roman"/>
                <w:sz w:val="20"/>
                <w:szCs w:val="20"/>
              </w:rPr>
              <w:t>-6086.97</w:t>
            </w:r>
          </w:p>
        </w:tc>
        <w:tc>
          <w:tcPr>
            <w:tcW w:w="1079" w:type="dxa"/>
            <w:shd w:val="clear" w:color="auto" w:fill="auto"/>
            <w:noWrap/>
            <w:vAlign w:val="center"/>
          </w:tcPr>
          <w:p w14:paraId="6AF96432" w14:textId="424D7D68" w:rsidR="00D62150" w:rsidRPr="00906512" w:rsidRDefault="00D62150" w:rsidP="000B26F3">
            <w:pPr>
              <w:spacing w:line="240" w:lineRule="auto"/>
              <w:jc w:val="center"/>
              <w:rPr>
                <w:rFonts w:cs="Times New Roman"/>
                <w:sz w:val="20"/>
                <w:szCs w:val="20"/>
              </w:rPr>
            </w:pPr>
            <w:r w:rsidRPr="001C452E">
              <w:rPr>
                <w:rFonts w:cs="Times New Roman"/>
                <w:sz w:val="20"/>
                <w:szCs w:val="20"/>
              </w:rPr>
              <w:t>-5881.82</w:t>
            </w:r>
          </w:p>
        </w:tc>
        <w:tc>
          <w:tcPr>
            <w:tcW w:w="1080" w:type="dxa"/>
            <w:tcBorders>
              <w:top w:val="single" w:sz="4" w:space="0" w:color="auto"/>
              <w:bottom w:val="double" w:sz="4" w:space="0" w:color="auto"/>
              <w:right w:val="single" w:sz="4" w:space="0" w:color="auto"/>
            </w:tcBorders>
            <w:shd w:val="clear" w:color="auto" w:fill="auto"/>
            <w:noWrap/>
            <w:vAlign w:val="center"/>
          </w:tcPr>
          <w:p w14:paraId="7C85CD31" w14:textId="3446DB1B" w:rsidR="00D62150" w:rsidRPr="00906512" w:rsidRDefault="00D62150" w:rsidP="000B26F3">
            <w:pPr>
              <w:spacing w:line="240" w:lineRule="auto"/>
              <w:jc w:val="center"/>
              <w:rPr>
                <w:rFonts w:cs="Times New Roman"/>
                <w:sz w:val="20"/>
                <w:szCs w:val="20"/>
              </w:rPr>
            </w:pPr>
            <w:r w:rsidRPr="001C452E">
              <w:rPr>
                <w:rFonts w:cs="Times New Roman"/>
                <w:sz w:val="20"/>
                <w:szCs w:val="20"/>
              </w:rPr>
              <w:t>-5871.24</w:t>
            </w:r>
          </w:p>
        </w:tc>
        <w:tc>
          <w:tcPr>
            <w:tcW w:w="1313" w:type="dxa"/>
            <w:tcBorders>
              <w:top w:val="single" w:sz="4" w:space="0" w:color="auto"/>
              <w:left w:val="single" w:sz="4" w:space="0" w:color="auto"/>
              <w:bottom w:val="double" w:sz="4" w:space="0" w:color="auto"/>
              <w:right w:val="double" w:sz="4" w:space="0" w:color="auto"/>
            </w:tcBorders>
            <w:vAlign w:val="center"/>
          </w:tcPr>
          <w:p w14:paraId="341DDAE5" w14:textId="32E8525B" w:rsidR="00D62150" w:rsidRPr="00906512" w:rsidRDefault="00D62150" w:rsidP="000B26F3">
            <w:pPr>
              <w:spacing w:line="240" w:lineRule="auto"/>
              <w:jc w:val="center"/>
              <w:rPr>
                <w:rFonts w:cs="Times New Roman"/>
                <w:sz w:val="20"/>
                <w:szCs w:val="20"/>
              </w:rPr>
            </w:pPr>
            <w:r w:rsidRPr="001C452E">
              <w:rPr>
                <w:rFonts w:cs="Times New Roman"/>
                <w:sz w:val="20"/>
                <w:szCs w:val="20"/>
              </w:rPr>
              <w:t>410.30</w:t>
            </w:r>
          </w:p>
        </w:tc>
        <w:tc>
          <w:tcPr>
            <w:tcW w:w="1491" w:type="dxa"/>
            <w:tcBorders>
              <w:top w:val="single" w:sz="4" w:space="0" w:color="auto"/>
              <w:bottom w:val="double" w:sz="4" w:space="0" w:color="auto"/>
              <w:right w:val="double" w:sz="4" w:space="0" w:color="auto"/>
            </w:tcBorders>
            <w:vAlign w:val="center"/>
          </w:tcPr>
          <w:p w14:paraId="78635409" w14:textId="0D0BF886" w:rsidR="00D62150" w:rsidRPr="00906512" w:rsidRDefault="00D62150" w:rsidP="000B26F3">
            <w:pPr>
              <w:spacing w:line="240" w:lineRule="auto"/>
              <w:jc w:val="center"/>
              <w:rPr>
                <w:rFonts w:cs="Times New Roman"/>
                <w:sz w:val="20"/>
                <w:szCs w:val="20"/>
              </w:rPr>
            </w:pPr>
            <w:r w:rsidRPr="001C452E">
              <w:rPr>
                <w:rFonts w:cs="Times New Roman"/>
                <w:sz w:val="20"/>
                <w:szCs w:val="20"/>
              </w:rPr>
              <w:t>21.16</w:t>
            </w:r>
          </w:p>
        </w:tc>
        <w:tc>
          <w:tcPr>
            <w:tcW w:w="976" w:type="dxa"/>
            <w:tcBorders>
              <w:top w:val="single" w:sz="4" w:space="0" w:color="auto"/>
              <w:left w:val="double" w:sz="4" w:space="0" w:color="auto"/>
              <w:bottom w:val="double" w:sz="4" w:space="0" w:color="auto"/>
            </w:tcBorders>
            <w:shd w:val="clear" w:color="auto" w:fill="auto"/>
            <w:noWrap/>
            <w:vAlign w:val="center"/>
            <w:hideMark/>
          </w:tcPr>
          <w:p w14:paraId="159BDD1A" w14:textId="260C9912" w:rsidR="00D62150" w:rsidRPr="001C452E" w:rsidRDefault="00D62150" w:rsidP="000B26F3">
            <w:pPr>
              <w:spacing w:line="240" w:lineRule="auto"/>
              <w:jc w:val="center"/>
              <w:rPr>
                <w:rFonts w:cs="Times New Roman"/>
                <w:sz w:val="20"/>
                <w:szCs w:val="20"/>
              </w:rPr>
            </w:pPr>
            <w:r w:rsidRPr="001C452E">
              <w:rPr>
                <w:rFonts w:cs="Times New Roman"/>
                <w:sz w:val="20"/>
                <w:szCs w:val="20"/>
              </w:rPr>
              <w:t>-837.01</w:t>
            </w:r>
          </w:p>
        </w:tc>
        <w:tc>
          <w:tcPr>
            <w:tcW w:w="1152" w:type="dxa"/>
            <w:shd w:val="clear" w:color="auto" w:fill="auto"/>
            <w:noWrap/>
            <w:vAlign w:val="center"/>
            <w:hideMark/>
          </w:tcPr>
          <w:p w14:paraId="177DDD6E" w14:textId="12065C0D" w:rsidR="00D62150" w:rsidRPr="001C452E" w:rsidRDefault="00D62150" w:rsidP="000B26F3">
            <w:pPr>
              <w:spacing w:line="240" w:lineRule="auto"/>
              <w:jc w:val="center"/>
              <w:rPr>
                <w:rFonts w:cs="Times New Roman"/>
                <w:sz w:val="20"/>
                <w:szCs w:val="20"/>
              </w:rPr>
            </w:pPr>
            <w:r w:rsidRPr="001C452E">
              <w:rPr>
                <w:rFonts w:cs="Times New Roman"/>
                <w:sz w:val="20"/>
                <w:szCs w:val="20"/>
              </w:rPr>
              <w:t>-829.00</w:t>
            </w:r>
          </w:p>
        </w:tc>
        <w:tc>
          <w:tcPr>
            <w:tcW w:w="1007" w:type="dxa"/>
            <w:shd w:val="clear" w:color="auto" w:fill="auto"/>
            <w:noWrap/>
            <w:vAlign w:val="center"/>
            <w:hideMark/>
          </w:tcPr>
          <w:p w14:paraId="52A4742A" w14:textId="1B67A402" w:rsidR="00D62150" w:rsidRPr="001C452E" w:rsidRDefault="00D62150" w:rsidP="000B26F3">
            <w:pPr>
              <w:spacing w:line="240" w:lineRule="auto"/>
              <w:jc w:val="center"/>
              <w:rPr>
                <w:rFonts w:cs="Times New Roman"/>
                <w:sz w:val="20"/>
                <w:szCs w:val="20"/>
              </w:rPr>
            </w:pPr>
            <w:r w:rsidRPr="001C452E">
              <w:rPr>
                <w:rFonts w:cs="Times New Roman"/>
                <w:sz w:val="20"/>
                <w:szCs w:val="20"/>
              </w:rPr>
              <w:t>-827.29</w:t>
            </w:r>
          </w:p>
        </w:tc>
        <w:tc>
          <w:tcPr>
            <w:tcW w:w="1313" w:type="dxa"/>
            <w:vAlign w:val="center"/>
          </w:tcPr>
          <w:p w14:paraId="0A0959BC" w14:textId="4488BACD" w:rsidR="00D62150" w:rsidRPr="00E0488B" w:rsidRDefault="00D62150" w:rsidP="000B26F3">
            <w:pPr>
              <w:spacing w:line="240" w:lineRule="auto"/>
              <w:jc w:val="center"/>
              <w:rPr>
                <w:rFonts w:cs="Times New Roman"/>
                <w:sz w:val="20"/>
                <w:szCs w:val="20"/>
              </w:rPr>
            </w:pPr>
            <w:r w:rsidRPr="001C452E">
              <w:rPr>
                <w:rFonts w:cs="Times New Roman"/>
                <w:sz w:val="20"/>
                <w:szCs w:val="20"/>
              </w:rPr>
              <w:t>16.03</w:t>
            </w:r>
          </w:p>
        </w:tc>
        <w:tc>
          <w:tcPr>
            <w:tcW w:w="1491" w:type="dxa"/>
            <w:vAlign w:val="center"/>
          </w:tcPr>
          <w:p w14:paraId="23C4390C" w14:textId="761CFB90" w:rsidR="00D62150" w:rsidRPr="00E0488B" w:rsidRDefault="00D62150" w:rsidP="000B26F3">
            <w:pPr>
              <w:spacing w:line="240" w:lineRule="auto"/>
              <w:jc w:val="center"/>
              <w:rPr>
                <w:rFonts w:cs="Times New Roman"/>
                <w:sz w:val="20"/>
                <w:szCs w:val="20"/>
              </w:rPr>
            </w:pPr>
            <w:r w:rsidRPr="001C452E">
              <w:rPr>
                <w:rFonts w:cs="Times New Roman"/>
                <w:sz w:val="20"/>
                <w:szCs w:val="20"/>
              </w:rPr>
              <w:t>3.41</w:t>
            </w:r>
          </w:p>
        </w:tc>
      </w:tr>
    </w:tbl>
    <w:p w14:paraId="016D6663" w14:textId="77777777" w:rsidR="00A31F72" w:rsidRPr="00BA0455" w:rsidRDefault="00BA0455" w:rsidP="006A369E">
      <w:pPr>
        <w:spacing w:line="240" w:lineRule="auto"/>
        <w:rPr>
          <w:sz w:val="20"/>
          <w:szCs w:val="18"/>
        </w:rPr>
      </w:pPr>
      <w:r w:rsidRPr="00BA0455">
        <w:rPr>
          <w:sz w:val="20"/>
          <w:szCs w:val="18"/>
        </w:rPr>
        <w:t>Note:  Est* = Estimation sample size</w:t>
      </w:r>
    </w:p>
    <w:p w14:paraId="733CDAED" w14:textId="386A90A6" w:rsidR="00BA0455" w:rsidRDefault="00BA0455" w:rsidP="006A369E">
      <w:pPr>
        <w:spacing w:line="240" w:lineRule="auto"/>
        <w:ind w:firstLine="432"/>
        <w:rPr>
          <w:sz w:val="20"/>
          <w:szCs w:val="18"/>
        </w:rPr>
      </w:pPr>
      <w:r w:rsidRPr="00BA0455">
        <w:rPr>
          <w:sz w:val="20"/>
          <w:szCs w:val="18"/>
        </w:rPr>
        <w:t xml:space="preserve">  Val</w:t>
      </w:r>
      <w:r w:rsidRPr="00BA0455">
        <w:rPr>
          <w:sz w:val="20"/>
          <w:szCs w:val="18"/>
          <w:vertAlign w:val="superscript"/>
        </w:rPr>
        <w:t>**</w:t>
      </w:r>
      <w:r w:rsidRPr="00BA0455">
        <w:rPr>
          <w:sz w:val="20"/>
          <w:szCs w:val="18"/>
        </w:rPr>
        <w:t xml:space="preserve"> = Validation sample size</w:t>
      </w:r>
    </w:p>
    <w:p w14:paraId="7F0C517B" w14:textId="77777777" w:rsidR="00BC268C" w:rsidRDefault="00BC268C" w:rsidP="00BA0455">
      <w:pPr>
        <w:ind w:firstLine="432"/>
        <w:rPr>
          <w:sz w:val="20"/>
          <w:szCs w:val="18"/>
        </w:rPr>
      </w:pPr>
    </w:p>
    <w:p w14:paraId="28CE708F" w14:textId="42946BA0" w:rsidR="00BC268C" w:rsidRPr="00BA0455" w:rsidRDefault="00BC268C" w:rsidP="00BA0455">
      <w:pPr>
        <w:ind w:firstLine="432"/>
        <w:rPr>
          <w:sz w:val="20"/>
          <w:szCs w:val="18"/>
        </w:rPr>
        <w:sectPr w:rsidR="00BC268C" w:rsidRPr="00BA0455" w:rsidSect="00761351">
          <w:headerReference w:type="first" r:id="rId21"/>
          <w:pgSz w:w="16838" w:h="11906" w:orient="landscape" w:code="9"/>
          <w:pgMar w:top="1440" w:right="1440" w:bottom="1440" w:left="1440" w:header="720" w:footer="720" w:gutter="0"/>
          <w:lnNumType w:countBy="1" w:restart="continuous"/>
          <w:cols w:space="708"/>
          <w:titlePg/>
          <w:docGrid w:linePitch="360"/>
        </w:sectPr>
      </w:pPr>
    </w:p>
    <w:p w14:paraId="1642EF8B" w14:textId="74D12A5D" w:rsidR="00C37652" w:rsidRDefault="00C37652" w:rsidP="00A34AD8">
      <w:pPr>
        <w:ind w:firstLine="720"/>
      </w:pPr>
      <w:r>
        <w:lastRenderedPageBreak/>
        <w:t xml:space="preserve">Table 3 presents the validation results for two energy use for electricity and natural gas. For each sample size, the average log-likelihood over N=15 samples for SLR, EWLR, LWLR model and the improvement (computed as </w:t>
      </w:r>
      <w:r w:rsidRPr="0002729A">
        <w:t xml:space="preserve">2*(LL </w:t>
      </w:r>
      <w:r>
        <w:rPr>
          <w:vertAlign w:val="subscript"/>
        </w:rPr>
        <w:t>EWLR</w:t>
      </w:r>
      <w:r w:rsidRPr="0002729A">
        <w:t>-</w:t>
      </w:r>
      <w:r>
        <w:t xml:space="preserve"> </w:t>
      </w:r>
      <w:r w:rsidRPr="0002729A">
        <w:t>LL</w:t>
      </w:r>
      <w:r w:rsidRPr="005B5C66">
        <w:rPr>
          <w:vertAlign w:val="subscript"/>
        </w:rPr>
        <w:t>SLR</w:t>
      </w:r>
      <w:r w:rsidRPr="0002729A">
        <w:t>)</w:t>
      </w:r>
      <w:r>
        <w:t xml:space="preserve"> and </w:t>
      </w:r>
      <w:r w:rsidRPr="0002729A">
        <w:t xml:space="preserve">2*(LL </w:t>
      </w:r>
      <w:r w:rsidRPr="005B5C66">
        <w:rPr>
          <w:vertAlign w:val="subscript"/>
        </w:rPr>
        <w:t>LWLR</w:t>
      </w:r>
      <w:r w:rsidRPr="0002729A">
        <w:t>-</w:t>
      </w:r>
      <w:r>
        <w:t xml:space="preserve"> </w:t>
      </w:r>
      <w:r w:rsidRPr="0002729A">
        <w:t>LL</w:t>
      </w:r>
      <w:r>
        <w:rPr>
          <w:vertAlign w:val="subscript"/>
        </w:rPr>
        <w:t>EWLR</w:t>
      </w:r>
      <w:r w:rsidRPr="0002729A">
        <w:t>)</w:t>
      </w:r>
      <w:r>
        <w:t xml:space="preserve"> are presented. In all cases, the LWLR model shows clear improvement. The improvement is consistent i.e. the improvement is higher as the dataset size increases for estimation and validation samples. We compare these improvements to the critical chi-square values for the models. For electricity EWLR model, we have 5 additional variables compared to SLR model providing a critical 95% chi-square value of 11.070. The improvements values presented are clearly higher than the critical value. Further, the LWLR model with 2 additional variables outperformed the EWLR model as indicated by the higher log-likelihood ratio value relative to the corresponding critical chi-square value (5.991 for 2 variables). Similar findings are also observed in the natural gas model. The EWLR model (3 additional variables from SLR model for natural gas)  improvement for all the samples are also well over the critical chi-square value. The LWLR model provides superior performance for majority of the samples (7 out of 10 samples) compared to the EWLR model in predicting the natural gas consumption. So, from the results, we can conclude that model improvement via fusion and latent weight is consistent across estimation and validation samples. The validation results clearly highlight how new variables from the NHTS dataset contribute to improvement in predicting energy consumption. </w:t>
      </w:r>
      <w:r>
        <w:rPr>
          <w:rFonts w:cs="Times New Roman"/>
          <w:lang w:val="en-US"/>
        </w:rPr>
        <w:t xml:space="preserve">In summary, </w:t>
      </w:r>
      <w:r>
        <w:t>the results clearly provide evidence that the proposed algorithm offers enhanced explanatory power and predictive capability. The reader would note the adoption of other metrics such as BIC offer similar results and are not included for the sake of brevity</w:t>
      </w:r>
    </w:p>
    <w:p w14:paraId="6FF4C7FA" w14:textId="77777777" w:rsidR="00C37652" w:rsidRDefault="00C37652" w:rsidP="00C37652">
      <w:pPr>
        <w:ind w:firstLine="432"/>
      </w:pPr>
    </w:p>
    <w:p w14:paraId="0A2C0B5A" w14:textId="29E74078" w:rsidR="006E7E60" w:rsidRDefault="00ED2BCB" w:rsidP="000B26F3">
      <w:pPr>
        <w:pStyle w:val="Heading1"/>
      </w:pPr>
      <w:r>
        <w:t xml:space="preserve">7 </w:t>
      </w:r>
      <w:r w:rsidR="000B26F3">
        <w:t>Conclusion</w:t>
      </w:r>
    </w:p>
    <w:p w14:paraId="36E5D285" w14:textId="468CEE55" w:rsidR="00197468" w:rsidRDefault="00197468" w:rsidP="00873E8A">
      <w:pPr>
        <w:rPr>
          <w:rFonts w:cs="Times New Roman"/>
        </w:rPr>
      </w:pPr>
      <w:r>
        <w:t xml:space="preserve">The </w:t>
      </w:r>
      <w:r w:rsidR="00F869A4">
        <w:t xml:space="preserve">current </w:t>
      </w:r>
      <w:r>
        <w:t xml:space="preserve">research is geared towards </w:t>
      </w:r>
      <w:r w:rsidRPr="00B6357B">
        <w:rPr>
          <w:rFonts w:cs="Times New Roman"/>
          <w:lang w:val="en-US"/>
        </w:rPr>
        <w:t>propo</w:t>
      </w:r>
      <w:r>
        <w:rPr>
          <w:rFonts w:cs="Times New Roman"/>
        </w:rPr>
        <w:t>sing</w:t>
      </w:r>
      <w:r w:rsidRPr="00B6357B">
        <w:rPr>
          <w:rFonts w:cs="Times New Roman"/>
          <w:lang w:val="en-US"/>
        </w:rPr>
        <w:t xml:space="preserve"> and test</w:t>
      </w:r>
      <w:r>
        <w:rPr>
          <w:rFonts w:cs="Times New Roman"/>
        </w:rPr>
        <w:t>ing</w:t>
      </w:r>
      <w:r w:rsidRPr="00B6357B">
        <w:rPr>
          <w:rFonts w:cs="Times New Roman"/>
          <w:lang w:val="en-US"/>
        </w:rPr>
        <w:t xml:space="preserve"> the efficacy of a simple yet statistically</w:t>
      </w:r>
      <w:r>
        <w:rPr>
          <w:rFonts w:cs="Times New Roman"/>
          <w:lang w:val="en-US"/>
        </w:rPr>
        <w:t xml:space="preserve"> </w:t>
      </w:r>
      <w:r w:rsidRPr="00B6357B">
        <w:rPr>
          <w:rFonts w:cs="Times New Roman"/>
          <w:lang w:val="en-US"/>
        </w:rPr>
        <w:t xml:space="preserve">valid </w:t>
      </w:r>
      <w:r>
        <w:rPr>
          <w:rFonts w:cs="Times New Roman"/>
          <w:lang w:val="en-US"/>
        </w:rPr>
        <w:t xml:space="preserve">fusion </w:t>
      </w:r>
      <w:r w:rsidRPr="00B6357B">
        <w:rPr>
          <w:rFonts w:cs="Times New Roman"/>
          <w:lang w:val="en-US"/>
        </w:rPr>
        <w:t xml:space="preserve">approach to </w:t>
      </w:r>
      <w:r>
        <w:rPr>
          <w:rFonts w:cs="Times New Roman"/>
          <w:lang w:val="en-US"/>
        </w:rPr>
        <w:t>link</w:t>
      </w:r>
      <w:r w:rsidRPr="00B6357B">
        <w:rPr>
          <w:rFonts w:cs="Times New Roman"/>
          <w:lang w:val="en-US"/>
        </w:rPr>
        <w:t xml:space="preserve"> the </w:t>
      </w:r>
      <w:r>
        <w:rPr>
          <w:rFonts w:cs="Times New Roman"/>
          <w:lang w:val="en-US"/>
        </w:rPr>
        <w:t>information from two disparate</w:t>
      </w:r>
      <w:r w:rsidRPr="00B6357B">
        <w:rPr>
          <w:rFonts w:cs="Times New Roman"/>
          <w:lang w:val="en-US"/>
        </w:rPr>
        <w:t xml:space="preserve"> datasets into a </w:t>
      </w:r>
      <w:r>
        <w:rPr>
          <w:rFonts w:cs="Times New Roman"/>
          <w:lang w:val="en-US"/>
        </w:rPr>
        <w:lastRenderedPageBreak/>
        <w:t>unified database</w:t>
      </w:r>
      <w:r>
        <w:rPr>
          <w:rFonts w:cs="Times New Roman"/>
        </w:rPr>
        <w:t>.</w:t>
      </w:r>
      <w:r w:rsidR="007478BE">
        <w:rPr>
          <w:rFonts w:cs="Times New Roman"/>
        </w:rPr>
        <w:t xml:space="preserve"> </w:t>
      </w:r>
      <w:r w:rsidR="007523C0">
        <w:t>In particular</w:t>
      </w:r>
      <w:r>
        <w:t xml:space="preserve">, the current approach augments </w:t>
      </w:r>
      <w:r w:rsidR="00283DF1">
        <w:t>RECS (</w:t>
      </w:r>
      <w:r>
        <w:t>source</w:t>
      </w:r>
      <w:r w:rsidR="00283DF1">
        <w:t>)</w:t>
      </w:r>
      <w:r>
        <w:t xml:space="preserve"> data with additional variables from </w:t>
      </w:r>
      <w:r w:rsidR="00283DF1">
        <w:t>NHTS (</w:t>
      </w:r>
      <w:r>
        <w:t>donor</w:t>
      </w:r>
      <w:r w:rsidR="00283DF1">
        <w:t>)</w:t>
      </w:r>
      <w:r>
        <w:t xml:space="preserve"> dataset</w:t>
      </w:r>
      <w:r w:rsidRPr="00C366EF">
        <w:t xml:space="preserve"> </w:t>
      </w:r>
      <w:r>
        <w:t xml:space="preserve">with a focus on improving the </w:t>
      </w:r>
      <w:r w:rsidR="00283DF1">
        <w:t>quality of the energy model (two energy sources are considered:</w:t>
      </w:r>
      <w:r w:rsidR="00283DF1" w:rsidRPr="00283DF1">
        <w:rPr>
          <w:rFonts w:cs="Times New Roman"/>
        </w:rPr>
        <w:t xml:space="preserve"> </w:t>
      </w:r>
      <w:r w:rsidR="00283DF1">
        <w:rPr>
          <w:rFonts w:cs="Times New Roman"/>
        </w:rPr>
        <w:t>electricity and natural gas).</w:t>
      </w:r>
      <w:r w:rsidR="00283DF1">
        <w:t xml:space="preserve"> </w:t>
      </w:r>
      <w:r w:rsidR="003314E9">
        <w:rPr>
          <w:rFonts w:cs="Times New Roman"/>
        </w:rPr>
        <w:t xml:space="preserve">The NHTS dataset was considered to incorporate additional variables </w:t>
      </w:r>
      <w:r w:rsidR="00DD709B">
        <w:rPr>
          <w:rFonts w:cs="Times New Roman"/>
        </w:rPr>
        <w:t xml:space="preserve">such as socio-demographics, vehicle ownership, household location and travel patterns </w:t>
      </w:r>
      <w:r w:rsidR="003314E9">
        <w:rPr>
          <w:rFonts w:cs="Times New Roman"/>
        </w:rPr>
        <w:t>that are not available in the RECS data.</w:t>
      </w:r>
      <w:r w:rsidR="00DD709B">
        <w:rPr>
          <w:rFonts w:cs="Times New Roman"/>
        </w:rPr>
        <w:t xml:space="preserve"> </w:t>
      </w:r>
      <w:r>
        <w:rPr>
          <w:rFonts w:cs="Times New Roman"/>
        </w:rPr>
        <w:t>T</w:t>
      </w:r>
      <w:r>
        <w:rPr>
          <w:rFonts w:cs="Times New Roman"/>
          <w:lang w:val="en-US"/>
        </w:rPr>
        <w:t xml:space="preserve">he </w:t>
      </w:r>
      <w:r w:rsidR="009D6744">
        <w:rPr>
          <w:rFonts w:cs="Times New Roman"/>
          <w:lang w:val="en-US"/>
        </w:rPr>
        <w:t>effectiveness</w:t>
      </w:r>
      <w:r w:rsidR="008A2752">
        <w:rPr>
          <w:rFonts w:cs="Times New Roman"/>
          <w:lang w:val="en-US"/>
        </w:rPr>
        <w:t xml:space="preserve"> </w:t>
      </w:r>
      <w:r>
        <w:rPr>
          <w:rFonts w:cs="Times New Roman"/>
          <w:lang w:val="en-US"/>
        </w:rPr>
        <w:t xml:space="preserve">of the proposed </w:t>
      </w:r>
      <w:r>
        <w:rPr>
          <w:rFonts w:cs="Times New Roman"/>
        </w:rPr>
        <w:t xml:space="preserve">fusion </w:t>
      </w:r>
      <w:r>
        <w:rPr>
          <w:rFonts w:cs="Times New Roman"/>
          <w:lang w:val="en-US"/>
        </w:rPr>
        <w:t xml:space="preserve">method is rigorously tested </w:t>
      </w:r>
      <w:r w:rsidR="00EC0476">
        <w:rPr>
          <w:rFonts w:cs="Times New Roman"/>
          <w:lang w:val="en-US"/>
        </w:rPr>
        <w:t xml:space="preserve">with a </w:t>
      </w:r>
      <w:r w:rsidR="00301C0B">
        <w:rPr>
          <w:rFonts w:cs="Times New Roman"/>
          <w:lang w:val="en-US"/>
        </w:rPr>
        <w:t>well-crafted</w:t>
      </w:r>
      <w:r w:rsidR="00EC0476">
        <w:rPr>
          <w:rFonts w:cs="Times New Roman"/>
          <w:lang w:val="en-US"/>
        </w:rPr>
        <w:t xml:space="preserve"> experimental design evaluating the influence of </w:t>
      </w:r>
      <w:r>
        <w:rPr>
          <w:rFonts w:cs="Times New Roman"/>
          <w:lang w:val="en-US"/>
        </w:rPr>
        <w:t xml:space="preserve">multiple independent variables for matching and fusing, fusion sample sizes and weight functions. </w:t>
      </w:r>
    </w:p>
    <w:p w14:paraId="29CA075E" w14:textId="28EED8AE" w:rsidR="00197468" w:rsidRPr="00E0488B" w:rsidRDefault="009B41D7" w:rsidP="00622CE8">
      <w:pPr>
        <w:ind w:firstLine="720"/>
      </w:pPr>
      <w:r w:rsidRPr="009B41D7">
        <w:t xml:space="preserve">The analysis involves a series of model estimations, starting with a model focusing solely on RECS data (unfused model, SLR) and extending to models considering fused datasets with equal (EWLR model) and probabilistic weight allocations (LWLR model). </w:t>
      </w:r>
      <w:r w:rsidR="00197468">
        <w:t xml:space="preserve">The </w:t>
      </w:r>
      <w:r w:rsidRPr="009B41D7">
        <w:t xml:space="preserve">model fit </w:t>
      </w:r>
      <w:r w:rsidR="00197468">
        <w:t xml:space="preserve">comparison exercise </w:t>
      </w:r>
      <w:r w:rsidRPr="009B41D7">
        <w:t xml:space="preserve">demonstrates a clear improvement in the performance of the fused models, thereby supporting our hypothesis that the fusion of RECS and NHTS datasets enhances the performance of the energy model. Notably, within the fused models, the probabilistic weighting approach outperforms the equal weight approach, underscoring the critical role of the weight function in further improving the energy model’s accuracy. To further illustrate the applicability of the proposed fusion algorithm, we conduct a validation exercise comparing the fused model with probabilistic weight allocation to its counterparts across different estimation and validation samples. The results consistently show that the LWLR model with probabilistic weighting approach maintains its superior performance regardless of sample size and variable of interest, reinforcing the robustness of the fusion methodology. In terms of findings, we found several variables from the NHTS dataset to significantly impact residential energy demand, which are absent in the RECS data. Specifically, energy consumption is likely to be higher in houses with higher number of female and vehicles while factors like population density, </w:t>
      </w:r>
      <w:r w:rsidRPr="009B41D7">
        <w:lastRenderedPageBreak/>
        <w:t xml:space="preserve">number of drivers in the house and average age of household members reveals a negative relationship with the overall energy consumption.  </w:t>
      </w:r>
    </w:p>
    <w:p w14:paraId="46896CD3" w14:textId="67BE328C" w:rsidR="00197468" w:rsidRDefault="00820013" w:rsidP="009B41D7">
      <w:pPr>
        <w:ind w:firstLine="720"/>
        <w:rPr>
          <w:rFonts w:cs="Times New Roman"/>
        </w:rPr>
      </w:pPr>
      <w:r>
        <w:rPr>
          <w:rFonts w:cs="Times New Roman"/>
        </w:rPr>
        <w:t>In summary, t</w:t>
      </w:r>
      <w:r w:rsidRPr="000E5856">
        <w:rPr>
          <w:rFonts w:cs="Times New Roman"/>
        </w:rPr>
        <w:t xml:space="preserve">he behavioral fusion algorithm proposed in the paper is simple to implement and relies on federally compiled NHTS and RECS data. </w:t>
      </w:r>
      <w:r w:rsidR="009B41D7" w:rsidRPr="009B41D7">
        <w:rPr>
          <w:rFonts w:cs="Times New Roman"/>
        </w:rPr>
        <w:t>The findings of the study clearly highlight the significant benefits of fusing two distinct datasets, as it results in better model fit, improved prediction accuracy, and enhanced explanatory power. For instance, the shift towards electric vehicles and the increasing trend of working from home significantly impact energy consumption patterns. The NHTS dataset, with its information on vehicle ownership and time spent at home, allows the proposed approach to address these evolving trends effectively. Further, the proposed fusion algorithm can be applied across various sectors, such as energy use and transportation planning. One possible application could be to integrate household travel survey data with location-based smartphone data to enhance spatiotemporal coverage and improve demand analysis. Additionally, the algorithm can be used to develop short-term forecasting methods for energy use by combining smart energy sensor data with RECS and NHTS data, offering a more dynamic and continuous prediction framework.</w:t>
      </w:r>
      <w:r w:rsidR="009B41D7">
        <w:rPr>
          <w:rFonts w:cs="Times New Roman"/>
        </w:rPr>
        <w:t xml:space="preserve"> </w:t>
      </w:r>
    </w:p>
    <w:p w14:paraId="6EA24612" w14:textId="4D9FFDF8" w:rsidR="007D4206" w:rsidRDefault="0039190F" w:rsidP="00197468">
      <w:pPr>
        <w:ind w:firstLine="720"/>
        <w:rPr>
          <w:rFonts w:cs="Times New Roman"/>
        </w:rPr>
      </w:pPr>
      <w:r w:rsidRPr="0039190F">
        <w:rPr>
          <w:rFonts w:cs="Times New Roman"/>
        </w:rPr>
        <w:t xml:space="preserve">The reader will note that the data fusion process can be time-intensive for large datasets. The overall fusion process relies on two important steps: what variables to use for matching and how many matches to consider. Now, for any two datasets, if we have p number of matching variables, the potential combinations of variables that need to be explored in the analysis is </w:t>
      </w:r>
      <m:oMath>
        <m:sSup>
          <m:sSupPr>
            <m:ctrlPr>
              <w:rPr>
                <w:rFonts w:ascii="Cambria Math" w:eastAsiaTheme="minorEastAsia" w:hAnsi="Cambria Math"/>
                <w:i/>
                <w:iCs/>
              </w:rPr>
            </m:ctrlPr>
          </m:sSupPr>
          <m:e>
            <m:r>
              <w:rPr>
                <w:rFonts w:ascii="Cambria Math" w:eastAsiaTheme="minorEastAsia" w:hAnsi="Cambria Math"/>
              </w:rPr>
              <m:t>2</m:t>
            </m:r>
          </m:e>
          <m:sup>
            <m:r>
              <w:rPr>
                <w:rFonts w:ascii="Cambria Math" w:eastAsiaTheme="minorEastAsia" w:hAnsi="Cambria Math"/>
              </w:rPr>
              <m:t>p</m:t>
            </m:r>
          </m:sup>
        </m:sSup>
        <m:r>
          <w:rPr>
            <w:rFonts w:ascii="Cambria Math" w:hAnsi="Cambria Math"/>
          </w:rPr>
          <m:t>-1 (p</m:t>
        </m:r>
        <m:sSub>
          <m:sSubPr>
            <m:ctrlPr>
              <w:rPr>
                <w:rFonts w:ascii="Cambria Math" w:hAnsi="Cambria Math"/>
                <w:i/>
                <w:iCs/>
              </w:rPr>
            </m:ctrlPr>
          </m:sSubPr>
          <m:e>
            <m:r>
              <w:rPr>
                <w:rFonts w:ascii="Cambria Math" w:hAnsi="Cambria Math"/>
              </w:rPr>
              <m:t>C</m:t>
            </m:r>
          </m:e>
          <m:sub>
            <m:r>
              <w:rPr>
                <w:rFonts w:ascii="Cambria Math" w:hAnsi="Cambria Math"/>
              </w:rPr>
              <m:t>1</m:t>
            </m:r>
          </m:sub>
        </m:sSub>
        <m:r>
          <w:rPr>
            <w:rFonts w:ascii="Cambria Math" w:hAnsi="Cambria Math"/>
          </w:rPr>
          <m:t>+p</m:t>
        </m:r>
        <m:sSub>
          <m:sSubPr>
            <m:ctrlPr>
              <w:rPr>
                <w:rFonts w:ascii="Cambria Math" w:hAnsi="Cambria Math"/>
                <w:i/>
                <w:iCs/>
              </w:rPr>
            </m:ctrlPr>
          </m:sSubPr>
          <m:e>
            <m:r>
              <w:rPr>
                <w:rFonts w:ascii="Cambria Math" w:hAnsi="Cambria Math"/>
              </w:rPr>
              <m:t>C</m:t>
            </m:r>
          </m:e>
          <m:sub>
            <m:r>
              <w:rPr>
                <w:rFonts w:ascii="Cambria Math" w:hAnsi="Cambria Math"/>
              </w:rPr>
              <m:t>2</m:t>
            </m:r>
          </m:sub>
        </m:sSub>
        <m:r>
          <w:rPr>
            <w:rFonts w:ascii="Cambria Math" w:hAnsi="Cambria Math"/>
          </w:rPr>
          <m:t>+…p</m:t>
        </m:r>
        <m:sSub>
          <m:sSubPr>
            <m:ctrlPr>
              <w:rPr>
                <w:rFonts w:ascii="Cambria Math" w:hAnsi="Cambria Math"/>
                <w:i/>
                <w:iCs/>
              </w:rPr>
            </m:ctrlPr>
          </m:sSubPr>
          <m:e>
            <m:r>
              <w:rPr>
                <w:rFonts w:ascii="Cambria Math" w:hAnsi="Cambria Math"/>
              </w:rPr>
              <m:t>C</m:t>
            </m:r>
          </m:e>
          <m:sub>
            <m:r>
              <w:rPr>
                <w:rFonts w:ascii="Cambria Math" w:hAnsi="Cambria Math"/>
              </w:rPr>
              <m:t>p-1</m:t>
            </m:r>
          </m:sub>
        </m:sSub>
        <m:r>
          <w:rPr>
            <w:rFonts w:ascii="Cambria Math" w:hAnsi="Cambria Math"/>
          </w:rPr>
          <m:t>)</m:t>
        </m:r>
      </m:oMath>
      <w:r w:rsidR="009B12F4">
        <w:rPr>
          <w:rFonts w:eastAsiaTheme="minorEastAsia" w:cs="Times New Roman"/>
        </w:rPr>
        <w:t xml:space="preserve">. </w:t>
      </w:r>
      <w:r w:rsidRPr="0039190F">
        <w:rPr>
          <w:rFonts w:cs="Times New Roman"/>
        </w:rPr>
        <w:t xml:space="preserve">After determining the best set of matching variables, the next step is to find the optimal number of fused records as including all possible matching records could result in an excessively large dataset, making the model computationally demanding to run. The reader would note that a higher number of matching records does not always contribute to an improvement in the model (as shown in our </w:t>
      </w:r>
      <w:r w:rsidR="009B12F4" w:rsidRPr="0039190F">
        <w:rPr>
          <w:rFonts w:cs="Times New Roman"/>
        </w:rPr>
        <w:t>analysis</w:t>
      </w:r>
      <w:r w:rsidRPr="0039190F">
        <w:rPr>
          <w:rFonts w:cs="Times New Roman"/>
        </w:rPr>
        <w:t xml:space="preserve">). Therefore, it is essential to optimize both the matching variables and the number of fused </w:t>
      </w:r>
      <w:r w:rsidRPr="0039190F">
        <w:rPr>
          <w:rFonts w:cs="Times New Roman"/>
        </w:rPr>
        <w:lastRenderedPageBreak/>
        <w:t>records to achieve a balance between model accuracy and computational efficiency. While this process can be time-consuming, it is not computationally complex, especially with the advanced computational power available today. The same considerations apply to large datasets, where the methodology remains feasible due to the scalability of modern computational resources. Thus, the computational cost, although significant, is manageable and does not pose a major limitation to applying the proposed method to very large datasets.</w:t>
      </w:r>
    </w:p>
    <w:p w14:paraId="626017FA" w14:textId="77777777" w:rsidR="005E7339" w:rsidRDefault="005E7339" w:rsidP="00197468">
      <w:pPr>
        <w:ind w:firstLine="720"/>
        <w:rPr>
          <w:rFonts w:cs="Times New Roman"/>
        </w:rPr>
      </w:pPr>
    </w:p>
    <w:p w14:paraId="1B8367EA" w14:textId="6C03A90E" w:rsidR="007D4206" w:rsidRDefault="00C37652" w:rsidP="000B26F3">
      <w:pPr>
        <w:pStyle w:val="Heading1"/>
      </w:pPr>
      <w:r>
        <w:t>Acknowledgements</w:t>
      </w:r>
    </w:p>
    <w:p w14:paraId="01A90224" w14:textId="33DC7A6E" w:rsidR="007D4206" w:rsidRDefault="00CB348B" w:rsidP="007D4206">
      <w:pPr>
        <w:rPr>
          <w:rFonts w:cs="Times New Roman"/>
        </w:rPr>
      </w:pPr>
      <w:r>
        <w:rPr>
          <w:rFonts w:cs="Times New Roman"/>
        </w:rPr>
        <w:t xml:space="preserve">The authors are also thankful to </w:t>
      </w:r>
      <w:r w:rsidR="001E74FE">
        <w:rPr>
          <w:rFonts w:cs="Times New Roman"/>
        </w:rPr>
        <w:t>two</w:t>
      </w:r>
      <w:r>
        <w:rPr>
          <w:rFonts w:cs="Times New Roman"/>
        </w:rPr>
        <w:t xml:space="preserve"> anonymous reviewers for insightful feedback on a previous version of the paper. </w:t>
      </w:r>
    </w:p>
    <w:p w14:paraId="15746EAA" w14:textId="77777777" w:rsidR="007C2503" w:rsidRDefault="007C2503" w:rsidP="00197468">
      <w:pPr>
        <w:ind w:firstLine="720"/>
        <w:rPr>
          <w:rFonts w:cs="Times New Roman"/>
        </w:rPr>
      </w:pPr>
    </w:p>
    <w:p w14:paraId="012C3C5D" w14:textId="4276A21A" w:rsidR="007C2503" w:rsidRPr="00F27EA8" w:rsidRDefault="00C37652" w:rsidP="000B26F3">
      <w:pPr>
        <w:pStyle w:val="Heading1"/>
      </w:pPr>
      <w:r w:rsidRPr="00F27EA8">
        <w:t>Author Contribution Statement</w:t>
      </w:r>
    </w:p>
    <w:p w14:paraId="19147B54" w14:textId="6CF58519" w:rsidR="007C2503" w:rsidRDefault="007C2503" w:rsidP="007C2503">
      <w:r w:rsidRPr="00F27EA8">
        <w:t xml:space="preserve">The authors confirm contribution to the paper as follows: study conception and design: </w:t>
      </w:r>
      <w:r>
        <w:t xml:space="preserve">Naveen Eluru, </w:t>
      </w:r>
      <w:r w:rsidR="002F4751">
        <w:t xml:space="preserve">Tanmoy Bhowmik, </w:t>
      </w:r>
      <w:r w:rsidR="002F4751" w:rsidRPr="002F4751">
        <w:t>Naveen Chandra Iraganaboina</w:t>
      </w:r>
      <w:r w:rsidRPr="00F27EA8">
        <w:t>; data collection:</w:t>
      </w:r>
      <w:r>
        <w:t xml:space="preserve"> Tanmoy Bhowmik, </w:t>
      </w:r>
      <w:r w:rsidR="002F4751" w:rsidRPr="002F4751">
        <w:t>Naveen Chandra Iraganaboina</w:t>
      </w:r>
      <w:r w:rsidRPr="00F27EA8">
        <w:t>;</w:t>
      </w:r>
      <w:r>
        <w:t xml:space="preserve"> model estimation and validation: Tanmoy Bhowmik, </w:t>
      </w:r>
      <w:r w:rsidR="002F4751" w:rsidRPr="002F4751">
        <w:t>Naveen Chandra Iraganaboina</w:t>
      </w:r>
      <w:r>
        <w:t>, Naveen Eluru</w:t>
      </w:r>
      <w:r w:rsidRPr="007D29E0">
        <w:t>;</w:t>
      </w:r>
      <w:r w:rsidRPr="00F27EA8">
        <w:t xml:space="preserve"> analysis and interpretation of results: </w:t>
      </w:r>
      <w:r>
        <w:t>Tanmoy Bhowmik, Naveen Eluru,</w:t>
      </w:r>
      <w:r w:rsidRPr="00192D57">
        <w:t xml:space="preserve"> </w:t>
      </w:r>
      <w:r w:rsidR="002F4751" w:rsidRPr="002F4751">
        <w:t>Naveen Chandra Iraganaboina</w:t>
      </w:r>
      <w:r w:rsidRPr="00F27EA8">
        <w:t xml:space="preserve">; draft manuscript preparation: </w:t>
      </w:r>
      <w:r>
        <w:t>Tanmoy Bhowmik, Naveen Eluru,</w:t>
      </w:r>
      <w:r w:rsidRPr="00B9721B">
        <w:t xml:space="preserve"> </w:t>
      </w:r>
      <w:r w:rsidR="002F4751" w:rsidRPr="002F4751">
        <w:t>Naveen Chandra Iraganaboina</w:t>
      </w:r>
      <w:r w:rsidRPr="00F27EA8">
        <w:t>. All authors reviewed the results and approved the final version of the manuscript.</w:t>
      </w:r>
    </w:p>
    <w:p w14:paraId="2483F07E" w14:textId="74ADD32F" w:rsidR="00730648" w:rsidRDefault="00730648" w:rsidP="00197468">
      <w:pPr>
        <w:ind w:firstLine="720"/>
        <w:rPr>
          <w:rFonts w:cs="Times New Roman"/>
        </w:rPr>
      </w:pPr>
    </w:p>
    <w:p w14:paraId="692DF9B3" w14:textId="77777777" w:rsidR="005E7339" w:rsidRDefault="005E7339" w:rsidP="00197468">
      <w:pPr>
        <w:ind w:firstLine="720"/>
        <w:rPr>
          <w:rFonts w:cs="Times New Roman"/>
        </w:rPr>
      </w:pPr>
    </w:p>
    <w:p w14:paraId="3A433A11" w14:textId="77777777" w:rsidR="005E7339" w:rsidRDefault="005E7339" w:rsidP="00197468">
      <w:pPr>
        <w:ind w:firstLine="720"/>
        <w:rPr>
          <w:rFonts w:cs="Times New Roman"/>
        </w:rPr>
      </w:pPr>
    </w:p>
    <w:p w14:paraId="395DD6C9" w14:textId="215C26DB" w:rsidR="0018768B" w:rsidRDefault="00C37652" w:rsidP="000B26F3">
      <w:pPr>
        <w:pStyle w:val="Heading1"/>
      </w:pPr>
      <w:r>
        <w:lastRenderedPageBreak/>
        <w:t>References</w:t>
      </w:r>
    </w:p>
    <w:p w14:paraId="42DA95A9" w14:textId="420E470F" w:rsidR="00E11A55" w:rsidRPr="00E11A55" w:rsidRDefault="00B6012D" w:rsidP="00E11A55">
      <w:pPr>
        <w:widowControl w:val="0"/>
        <w:autoSpaceDE w:val="0"/>
        <w:autoSpaceDN w:val="0"/>
        <w:adjustRightInd w:val="0"/>
        <w:ind w:left="640" w:hanging="640"/>
        <w:rPr>
          <w:rFonts w:cs="Times New Roman"/>
          <w:noProof/>
          <w:szCs w:val="24"/>
        </w:rPr>
      </w:pPr>
      <w:r>
        <w:fldChar w:fldCharType="begin" w:fldLock="1"/>
      </w:r>
      <w:r>
        <w:instrText xml:space="preserve">ADDIN Mendeley Bibliography CSL_BIBLIOGRAPHY </w:instrText>
      </w:r>
      <w:r>
        <w:fldChar w:fldCharType="separate"/>
      </w:r>
      <w:r w:rsidR="00E11A55" w:rsidRPr="00E11A55">
        <w:rPr>
          <w:rFonts w:cs="Times New Roman"/>
          <w:noProof/>
          <w:szCs w:val="24"/>
        </w:rPr>
        <w:t xml:space="preserve">1. </w:t>
      </w:r>
      <w:r w:rsidR="00E11A55" w:rsidRPr="00E11A55">
        <w:rPr>
          <w:rFonts w:cs="Times New Roman"/>
          <w:noProof/>
          <w:szCs w:val="24"/>
        </w:rPr>
        <w:tab/>
        <w:t>US-EIA2020. Frequently Asked Questions (FAQs) - U.S. Energy Information Administration (EIA). https://www.eia.gov/tools/faqs/faq.php?id=87&amp;t=1. Accessed Nov. 11, 2022.</w:t>
      </w:r>
    </w:p>
    <w:p w14:paraId="56AC3A3A" w14:textId="77777777" w:rsidR="00E11A55" w:rsidRPr="00E11A55" w:rsidRDefault="00E11A55" w:rsidP="00E11A55">
      <w:pPr>
        <w:widowControl w:val="0"/>
        <w:autoSpaceDE w:val="0"/>
        <w:autoSpaceDN w:val="0"/>
        <w:adjustRightInd w:val="0"/>
        <w:ind w:left="640" w:hanging="640"/>
        <w:rPr>
          <w:rFonts w:cs="Times New Roman"/>
          <w:noProof/>
          <w:szCs w:val="24"/>
        </w:rPr>
      </w:pPr>
      <w:r w:rsidRPr="00E11A55">
        <w:rPr>
          <w:rFonts w:cs="Times New Roman"/>
          <w:noProof/>
          <w:szCs w:val="24"/>
        </w:rPr>
        <w:t xml:space="preserve">2. </w:t>
      </w:r>
      <w:r w:rsidRPr="00E11A55">
        <w:rPr>
          <w:rFonts w:cs="Times New Roman"/>
          <w:noProof/>
          <w:szCs w:val="24"/>
        </w:rPr>
        <w:tab/>
        <w:t>2022, W. United States Population (2022) - Worldometer. https://www.worldometers.info/world-population/us-population/. Accessed Nov. 11, 2022.</w:t>
      </w:r>
    </w:p>
    <w:p w14:paraId="2842A800" w14:textId="77777777" w:rsidR="00E11A55" w:rsidRPr="00E11A55" w:rsidRDefault="00E11A55" w:rsidP="00E11A55">
      <w:pPr>
        <w:widowControl w:val="0"/>
        <w:autoSpaceDE w:val="0"/>
        <w:autoSpaceDN w:val="0"/>
        <w:adjustRightInd w:val="0"/>
        <w:ind w:left="640" w:hanging="640"/>
        <w:rPr>
          <w:rFonts w:cs="Times New Roman"/>
          <w:noProof/>
          <w:szCs w:val="24"/>
        </w:rPr>
      </w:pPr>
      <w:r w:rsidRPr="00E11A55">
        <w:rPr>
          <w:rFonts w:cs="Times New Roman"/>
          <w:noProof/>
          <w:szCs w:val="24"/>
        </w:rPr>
        <w:t xml:space="preserve">3. </w:t>
      </w:r>
      <w:r w:rsidRPr="00E11A55">
        <w:rPr>
          <w:rFonts w:cs="Times New Roman"/>
          <w:noProof/>
          <w:szCs w:val="24"/>
        </w:rPr>
        <w:tab/>
        <w:t>US-DOE, 2019. Energy Data Facts | Residential Program Solution Center. https://rpsc.energy.gov/energy-data-facts. Accessed Jul. 26, 2021.</w:t>
      </w:r>
    </w:p>
    <w:p w14:paraId="2033D52E" w14:textId="77777777" w:rsidR="00E11A55" w:rsidRPr="00E11A55" w:rsidRDefault="00E11A55" w:rsidP="00E11A55">
      <w:pPr>
        <w:widowControl w:val="0"/>
        <w:autoSpaceDE w:val="0"/>
        <w:autoSpaceDN w:val="0"/>
        <w:adjustRightInd w:val="0"/>
        <w:ind w:left="640" w:hanging="640"/>
        <w:rPr>
          <w:rFonts w:cs="Times New Roman"/>
          <w:noProof/>
          <w:szCs w:val="24"/>
        </w:rPr>
      </w:pPr>
      <w:r w:rsidRPr="00E11A55">
        <w:rPr>
          <w:rFonts w:cs="Times New Roman"/>
          <w:noProof/>
          <w:szCs w:val="24"/>
        </w:rPr>
        <w:t xml:space="preserve">4. </w:t>
      </w:r>
      <w:r w:rsidRPr="00E11A55">
        <w:rPr>
          <w:rFonts w:cs="Times New Roman"/>
          <w:noProof/>
          <w:szCs w:val="24"/>
        </w:rPr>
        <w:tab/>
        <w:t>US-EIA, 2019. U.S. Energy Information Administration - EIA - Independent Statistics and Analysis. https://www.eia.gov/totalenergy/data/browser/index.php?tbl=T02.01#/?f=A&amp;start=2019&amp;end=2020&amp;charted=3-6-9-12. Accessed May 10, 2022.</w:t>
      </w:r>
    </w:p>
    <w:p w14:paraId="7F85FCA1" w14:textId="30006C5D" w:rsidR="00E11A55" w:rsidRPr="00E11A55" w:rsidRDefault="00E11A55" w:rsidP="00E11A55">
      <w:pPr>
        <w:widowControl w:val="0"/>
        <w:autoSpaceDE w:val="0"/>
        <w:autoSpaceDN w:val="0"/>
        <w:adjustRightInd w:val="0"/>
        <w:ind w:left="640" w:hanging="640"/>
        <w:rPr>
          <w:rFonts w:cs="Times New Roman"/>
          <w:noProof/>
          <w:szCs w:val="24"/>
        </w:rPr>
      </w:pPr>
      <w:r w:rsidRPr="00E11A55">
        <w:rPr>
          <w:rFonts w:cs="Times New Roman"/>
          <w:noProof/>
          <w:szCs w:val="24"/>
        </w:rPr>
        <w:t xml:space="preserve">5. </w:t>
      </w:r>
      <w:r w:rsidRPr="00E11A55">
        <w:rPr>
          <w:rFonts w:cs="Times New Roman"/>
          <w:noProof/>
          <w:szCs w:val="24"/>
        </w:rPr>
        <w:tab/>
      </w:r>
      <w:r w:rsidR="00354452" w:rsidRPr="00354452">
        <w:rPr>
          <w:rFonts w:cs="Times New Roman"/>
          <w:noProof/>
          <w:szCs w:val="24"/>
        </w:rPr>
        <w:t>Bhowmik T, Tirtha SD, Iraganaboina NC, Eluru N. A Comprehensive Analysis of COVID-19 Transmission and Mortality Rates at the County Level in the United States Considering Socio-Demographics, Health Indicators, Mobility Trends and Health Care Infrastructure Attributes. PLoS ONE. 2021;16(4):e0249133. Available from: https://doi.org/10.1371/journal.pone.0249133.</w:t>
      </w:r>
    </w:p>
    <w:p w14:paraId="5239B229" w14:textId="77777777" w:rsidR="00E11A55" w:rsidRPr="00E11A55" w:rsidRDefault="00E11A55" w:rsidP="00E11A55">
      <w:pPr>
        <w:widowControl w:val="0"/>
        <w:autoSpaceDE w:val="0"/>
        <w:autoSpaceDN w:val="0"/>
        <w:adjustRightInd w:val="0"/>
        <w:ind w:left="640" w:hanging="640"/>
        <w:rPr>
          <w:rFonts w:cs="Times New Roman"/>
          <w:noProof/>
          <w:szCs w:val="24"/>
        </w:rPr>
      </w:pPr>
      <w:r w:rsidRPr="00E11A55">
        <w:rPr>
          <w:rFonts w:cs="Times New Roman"/>
          <w:noProof/>
          <w:szCs w:val="24"/>
        </w:rPr>
        <w:t xml:space="preserve">6. </w:t>
      </w:r>
      <w:r w:rsidRPr="00E11A55">
        <w:rPr>
          <w:rFonts w:cs="Times New Roman"/>
          <w:noProof/>
          <w:szCs w:val="24"/>
        </w:rPr>
        <w:tab/>
        <w:t>US-EIA2021. Total Energy Monthly Data - U.S. Energy Information Administration (EIA). https://www.eia.gov/totalenergy/data/monthly/. Accessed May 10, 2022.</w:t>
      </w:r>
    </w:p>
    <w:p w14:paraId="19C9D6AF" w14:textId="77777777" w:rsidR="00354452" w:rsidRPr="00E11A55" w:rsidRDefault="00E11A55" w:rsidP="00354452">
      <w:pPr>
        <w:widowControl w:val="0"/>
        <w:autoSpaceDE w:val="0"/>
        <w:autoSpaceDN w:val="0"/>
        <w:adjustRightInd w:val="0"/>
        <w:ind w:left="640" w:hanging="640"/>
        <w:rPr>
          <w:rFonts w:cs="Times New Roman"/>
          <w:noProof/>
          <w:szCs w:val="24"/>
        </w:rPr>
      </w:pPr>
      <w:r w:rsidRPr="00E11A55">
        <w:rPr>
          <w:rFonts w:cs="Times New Roman"/>
          <w:noProof/>
          <w:szCs w:val="24"/>
        </w:rPr>
        <w:t xml:space="preserve">7. </w:t>
      </w:r>
      <w:r w:rsidRPr="00E11A55">
        <w:rPr>
          <w:rFonts w:cs="Times New Roman"/>
          <w:noProof/>
          <w:szCs w:val="24"/>
        </w:rPr>
        <w:tab/>
        <w:t xml:space="preserve">Electrek. Global Market Share of Electric Cars More than Doubled in 2021 as the EV Revolution Gains Steam - Electrek. </w:t>
      </w:r>
      <w:r w:rsidR="00354452" w:rsidRPr="00354452">
        <w:rPr>
          <w:rFonts w:cs="Times New Roman"/>
          <w:noProof/>
          <w:szCs w:val="24"/>
        </w:rPr>
        <w:t>Available from: https://www.iea.org/commentaries/electric-cars-fend-off-supply-challenges-to-more-than-double-global-sales</w:t>
      </w:r>
      <w:r w:rsidR="00354452">
        <w:rPr>
          <w:rFonts w:cs="Times New Roman"/>
          <w:noProof/>
          <w:szCs w:val="24"/>
        </w:rPr>
        <w:t xml:space="preserve">, </w:t>
      </w:r>
      <w:r w:rsidR="00354452" w:rsidRPr="00E11A55">
        <w:rPr>
          <w:rFonts w:cs="Times New Roman"/>
          <w:noProof/>
          <w:szCs w:val="24"/>
        </w:rPr>
        <w:t>Accessed May 10, 2022.</w:t>
      </w:r>
    </w:p>
    <w:p w14:paraId="3CA482D9" w14:textId="77777777" w:rsidR="009533D7" w:rsidRDefault="00E11A55" w:rsidP="00E11A55">
      <w:pPr>
        <w:widowControl w:val="0"/>
        <w:autoSpaceDE w:val="0"/>
        <w:autoSpaceDN w:val="0"/>
        <w:adjustRightInd w:val="0"/>
        <w:ind w:left="640" w:hanging="640"/>
        <w:rPr>
          <w:rFonts w:cs="Times New Roman"/>
          <w:noProof/>
          <w:szCs w:val="24"/>
        </w:rPr>
      </w:pPr>
      <w:r w:rsidRPr="00E11A55">
        <w:rPr>
          <w:rFonts w:cs="Times New Roman"/>
          <w:noProof/>
          <w:szCs w:val="24"/>
        </w:rPr>
        <w:lastRenderedPageBreak/>
        <w:t xml:space="preserve">8. </w:t>
      </w:r>
      <w:r w:rsidRPr="00E11A55">
        <w:rPr>
          <w:rFonts w:cs="Times New Roman"/>
          <w:noProof/>
          <w:szCs w:val="24"/>
        </w:rPr>
        <w:tab/>
      </w:r>
      <w:r w:rsidR="009533D7" w:rsidRPr="009533D7">
        <w:rPr>
          <w:rFonts w:cs="Times New Roman"/>
          <w:noProof/>
          <w:szCs w:val="24"/>
        </w:rPr>
        <w:t>Kapustin NO, Grushevenko DA. Long-term electric vehicles outlook and their potential impact on electric grid. Energy Policy. 2020 Feb 1;137:111103.</w:t>
      </w:r>
    </w:p>
    <w:p w14:paraId="12DDC1DD" w14:textId="7C073C62" w:rsidR="00E11A55" w:rsidRPr="00E11A55" w:rsidRDefault="00E11A55" w:rsidP="00E11A55">
      <w:pPr>
        <w:widowControl w:val="0"/>
        <w:autoSpaceDE w:val="0"/>
        <w:autoSpaceDN w:val="0"/>
        <w:adjustRightInd w:val="0"/>
        <w:ind w:left="640" w:hanging="640"/>
        <w:rPr>
          <w:rFonts w:cs="Times New Roman"/>
          <w:noProof/>
          <w:szCs w:val="24"/>
        </w:rPr>
      </w:pPr>
      <w:r w:rsidRPr="00E11A55">
        <w:rPr>
          <w:rFonts w:cs="Times New Roman"/>
          <w:noProof/>
          <w:szCs w:val="24"/>
        </w:rPr>
        <w:t xml:space="preserve">9. </w:t>
      </w:r>
      <w:r w:rsidRPr="00E11A55">
        <w:rPr>
          <w:rFonts w:cs="Times New Roman"/>
          <w:noProof/>
          <w:szCs w:val="24"/>
        </w:rPr>
        <w:tab/>
        <w:t>Data Fusion - an Overview | ScienceDirect Topics. https://www.sciencedirect.com/topics/computer-science/data-fusion. Accessed Jul. 24, 2021.</w:t>
      </w:r>
    </w:p>
    <w:p w14:paraId="550D5489" w14:textId="77777777" w:rsidR="00FA1165" w:rsidRPr="0038325E" w:rsidRDefault="00E11A55" w:rsidP="00FA1165">
      <w:pPr>
        <w:widowControl w:val="0"/>
        <w:autoSpaceDE w:val="0"/>
        <w:autoSpaceDN w:val="0"/>
        <w:adjustRightInd w:val="0"/>
        <w:ind w:left="640" w:hanging="640"/>
        <w:rPr>
          <w:rFonts w:cs="Times New Roman"/>
          <w:noProof/>
          <w:szCs w:val="24"/>
        </w:rPr>
      </w:pPr>
      <w:r w:rsidRPr="00E11A55">
        <w:rPr>
          <w:rFonts w:cs="Times New Roman"/>
          <w:noProof/>
          <w:szCs w:val="24"/>
        </w:rPr>
        <w:t xml:space="preserve">10. </w:t>
      </w:r>
      <w:r w:rsidRPr="00E11A55">
        <w:rPr>
          <w:rFonts w:cs="Times New Roman"/>
          <w:noProof/>
          <w:szCs w:val="24"/>
        </w:rPr>
        <w:tab/>
      </w:r>
      <w:r w:rsidR="00FA1165" w:rsidRPr="0038325E">
        <w:rPr>
          <w:rFonts w:cs="Times New Roman"/>
          <w:noProof/>
          <w:szCs w:val="24"/>
        </w:rPr>
        <w:t xml:space="preserve">Varlamis I, Sardianos C, Chronis C, Dimitrakopoulos G, Himeur Y, Alsalemi A, et al. Smart fusion of sensor data and human feedback for personalized energy-saving recommendations. Appl Energy. 2022 Jan 1;305:117775. </w:t>
      </w:r>
    </w:p>
    <w:p w14:paraId="7B70E275"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11. </w:t>
      </w:r>
      <w:r w:rsidRPr="0038325E">
        <w:rPr>
          <w:rFonts w:cs="Times New Roman"/>
          <w:noProof/>
          <w:szCs w:val="24"/>
        </w:rPr>
        <w:tab/>
        <w:t xml:space="preserve">Wang Z, Hong T, Piette MA. Data fusion in predicting internal heat gains for office buildings through a deep learning approach. Appl Energy. 2019 Apr 15;240:386–98. </w:t>
      </w:r>
    </w:p>
    <w:p w14:paraId="34ACA8C7"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12. </w:t>
      </w:r>
      <w:r w:rsidRPr="0038325E">
        <w:rPr>
          <w:rFonts w:cs="Times New Roman"/>
          <w:noProof/>
          <w:szCs w:val="24"/>
        </w:rPr>
        <w:tab/>
        <w:t xml:space="preserve">Guarino F, Croce D, Tinnirello I, Cellura M. Data fusion analysis applied to different climate change models: An application to the energy consumptions of a building office. Energy Build. 2019 Aug 1;196:240–54. </w:t>
      </w:r>
    </w:p>
    <w:p w14:paraId="5ED3A0F3"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13. </w:t>
      </w:r>
      <w:r w:rsidRPr="0038325E">
        <w:rPr>
          <w:rFonts w:cs="Times New Roman"/>
          <w:noProof/>
          <w:szCs w:val="24"/>
        </w:rPr>
        <w:tab/>
        <w:t xml:space="preserve">Gouveia JP. Understanding electricity consumption patterns in households through data fusion of smart meters and door-to-door surveys. Eceee 2015. 2015;(1983):957–66. </w:t>
      </w:r>
    </w:p>
    <w:p w14:paraId="77D26F21"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14. </w:t>
      </w:r>
      <w:r w:rsidRPr="0038325E">
        <w:rPr>
          <w:rFonts w:cs="Times New Roman"/>
          <w:noProof/>
          <w:szCs w:val="24"/>
        </w:rPr>
        <w:tab/>
        <w:t xml:space="preserve">Himeur Y, Alsalemi A, Al-Kababji A, Bensaali F, Amira A. Data fusion strategies for energy efficiency in buildings: Overview, challenges and novel orientations. Inf Fusion. 2020 Dec 1;64:99–120. </w:t>
      </w:r>
    </w:p>
    <w:p w14:paraId="5EFE318F"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15. </w:t>
      </w:r>
      <w:r w:rsidRPr="0038325E">
        <w:rPr>
          <w:rFonts w:cs="Times New Roman"/>
          <w:noProof/>
          <w:szCs w:val="24"/>
        </w:rPr>
        <w:tab/>
        <w:t xml:space="preserve">Yang C, Zhang Y, Zhan X, Ukkusuri S V., Chen Y. Fusing Mobile Phone and Travel Survey Data to Model Urban Activity Dynamics. J Adv Transp. 2020;2020. </w:t>
      </w:r>
    </w:p>
    <w:p w14:paraId="58C01C6E"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16. </w:t>
      </w:r>
      <w:r w:rsidRPr="0038325E">
        <w:rPr>
          <w:rFonts w:cs="Times New Roman"/>
          <w:noProof/>
          <w:szCs w:val="24"/>
        </w:rPr>
        <w:tab/>
        <w:t xml:space="preserve">Montero L, Ros-Roca X, Herranz R, Barceló J. Fusing mobile phone data with other data sources to generate input OD matrices for transport models. Transp Res Procedia. 2019 Jan 1;37:417–24. </w:t>
      </w:r>
    </w:p>
    <w:p w14:paraId="5D0F8DDD"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17. </w:t>
      </w:r>
      <w:r w:rsidRPr="0038325E">
        <w:rPr>
          <w:rFonts w:cs="Times New Roman"/>
          <w:noProof/>
          <w:szCs w:val="24"/>
        </w:rPr>
        <w:tab/>
        <w:t xml:space="preserve">Sivakumar A, Polak J. An exploration of data pooling techniques : Modelling activity participation and household technology holdings Abstract : 2013;7228. </w:t>
      </w:r>
    </w:p>
    <w:p w14:paraId="38C23253"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lastRenderedPageBreak/>
        <w:t xml:space="preserve">18. </w:t>
      </w:r>
      <w:r w:rsidRPr="0038325E">
        <w:rPr>
          <w:rFonts w:cs="Times New Roman"/>
          <w:noProof/>
          <w:szCs w:val="24"/>
        </w:rPr>
        <w:tab/>
        <w:t>Liao C-F. Fusing Public and Private Truck Data to Support Regional Freight Planning and Modeling Traffic Information for People with Vision Impairment View project Fusing Public and Private Truck Data to Support Regional Freight Planning and Modeling. 2016 [cited 2021 Jul 25]; Available from: https://www.researchgate.net/publication/229038251</w:t>
      </w:r>
    </w:p>
    <w:p w14:paraId="0D11683B"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19. </w:t>
      </w:r>
      <w:r w:rsidRPr="0038325E">
        <w:rPr>
          <w:rFonts w:cs="Times New Roman"/>
          <w:noProof/>
          <w:szCs w:val="24"/>
        </w:rPr>
        <w:tab/>
        <w:t>Momtaz SU, Eluru N, Anowar S, Keya N, Dey BK, Pinjari A, et al. Fusing Freight Analysis Framework and Transearch Data: Econometric Data Fusion Approach with Application to Florida. J Transp Eng Part A Syst [Internet]. 2020 [cited 2021 Jul 25];146(2):04019070. Available from: https://orcid.org/0000-0003</w:t>
      </w:r>
    </w:p>
    <w:p w14:paraId="6FD85D3F"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20. </w:t>
      </w:r>
      <w:r w:rsidRPr="0038325E">
        <w:rPr>
          <w:rFonts w:cs="Times New Roman"/>
          <w:noProof/>
          <w:szCs w:val="24"/>
        </w:rPr>
        <w:tab/>
        <w:t xml:space="preserve">Zhao D, Balusu SK, Sheela PV, Li X, Pinjari AR, Eluru N. Weight-categorized truck flow estimation: A data-fusion approach and a Florida case study. Transp Res Part E Logist Transp Rev. 2020 Apr 1;136:101890. </w:t>
      </w:r>
    </w:p>
    <w:p w14:paraId="5A7E3478"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21. </w:t>
      </w:r>
      <w:r w:rsidRPr="0038325E">
        <w:rPr>
          <w:rFonts w:cs="Times New Roman"/>
          <w:noProof/>
          <w:szCs w:val="24"/>
        </w:rPr>
        <w:tab/>
        <w:t>Martín Y, Cutter SL, Li Z. Bridging Twitter and Survey Data for Evacuation Assessment of Hurricane Matthew and Hurricane Irma. 2020 [cited 2021 Jul 24]; Available from: https://orcid.org/0000-0002-0375-8971.</w:t>
      </w:r>
    </w:p>
    <w:p w14:paraId="36AFBFBA"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22. </w:t>
      </w:r>
      <w:r w:rsidRPr="0038325E">
        <w:rPr>
          <w:rFonts w:cs="Times New Roman"/>
          <w:noProof/>
          <w:szCs w:val="24"/>
        </w:rPr>
        <w:tab/>
        <w:t xml:space="preserve">Yasmin S, Eluru N, Pinjari AR. Pooling data from fatality analysis reporting system (FARS) and generalized estimates system (GES) to explore the continuum of injury severity spectrum. Accid Anal Prev. 2015 Nov 1;84:112–27. </w:t>
      </w:r>
    </w:p>
    <w:p w14:paraId="0F5B1E23"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23. </w:t>
      </w:r>
      <w:r w:rsidRPr="0038325E">
        <w:rPr>
          <w:rFonts w:cs="Times New Roman"/>
          <w:noProof/>
          <w:szCs w:val="24"/>
        </w:rPr>
        <w:tab/>
        <w:t xml:space="preserve">Jiang S, Ferreira J, Gonzalez MC. Activity-Based Human Mobility Patterns Inferred from Mobile Phone Data: A Case Study of Singapore. IEEE Trans Big Data. 2016 Nov 23;3(2):208–19. </w:t>
      </w:r>
    </w:p>
    <w:p w14:paraId="359FD6D8"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24. </w:t>
      </w:r>
      <w:r w:rsidRPr="0038325E">
        <w:rPr>
          <w:rFonts w:cs="Times New Roman"/>
          <w:noProof/>
          <w:szCs w:val="24"/>
        </w:rPr>
        <w:tab/>
        <w:t>Xu Y, Shaw SL, Zhao Z, Yin L, Fang Z, Li Q. Understanding aggregate human mobility patterns using passive mobile phone location data: a home-based approach. Transportation (Amst) [Internet]. 2015 Mar 26 [cited 2021 Jul 25];42(4):625–46. Available from: https://link.springer.com/article/10.1007/s11116-015-9597-y</w:t>
      </w:r>
    </w:p>
    <w:p w14:paraId="5001E3CD"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lastRenderedPageBreak/>
        <w:t xml:space="preserve">25. </w:t>
      </w:r>
      <w:r w:rsidRPr="0038325E">
        <w:rPr>
          <w:rFonts w:cs="Times New Roman"/>
          <w:noProof/>
          <w:szCs w:val="24"/>
        </w:rPr>
        <w:tab/>
        <w:t xml:space="preserve">Bedir M, Hasselaar E, Itard L. Determinants of electricity consumption in Dutch dwellings. Energy Build. 2013;58:194–207. </w:t>
      </w:r>
    </w:p>
    <w:p w14:paraId="738D0650"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26. </w:t>
      </w:r>
      <w:r w:rsidRPr="0038325E">
        <w:rPr>
          <w:rFonts w:cs="Times New Roman"/>
          <w:noProof/>
          <w:szCs w:val="24"/>
        </w:rPr>
        <w:tab/>
        <w:t xml:space="preserve">Huang WH. The determinants of household electricity consumption in Taiwan: Evidence from quantile regression. Energy. 2015 Jul 1;87:120–33. </w:t>
      </w:r>
    </w:p>
    <w:p w14:paraId="043818E9"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27. </w:t>
      </w:r>
      <w:r w:rsidRPr="0038325E">
        <w:rPr>
          <w:rFonts w:cs="Times New Roman"/>
          <w:noProof/>
          <w:szCs w:val="24"/>
        </w:rPr>
        <w:tab/>
        <w:t xml:space="preserve">Belaïd F, Garcia T. Understanding the spectrum of residential energy-saving behaviours: French evidence using disaggregated data. Energy Econ. 2016 Jun 1;57:204–14. </w:t>
      </w:r>
    </w:p>
    <w:p w14:paraId="77206135"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28. </w:t>
      </w:r>
      <w:r w:rsidRPr="0038325E">
        <w:rPr>
          <w:rFonts w:cs="Times New Roman"/>
          <w:noProof/>
          <w:szCs w:val="24"/>
        </w:rPr>
        <w:tab/>
        <w:t xml:space="preserve">Wiesmann D, Lima Azevedo I, Ferrão P, Fernández JE. Residential electricity consumption in Portugal: Findings from top-down and bottom-up models. Energy Policy. 2011 May 1;39(5):2772–9. </w:t>
      </w:r>
    </w:p>
    <w:p w14:paraId="303E21CB"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29. </w:t>
      </w:r>
      <w:r w:rsidRPr="0038325E">
        <w:rPr>
          <w:rFonts w:cs="Times New Roman"/>
          <w:noProof/>
          <w:szCs w:val="24"/>
        </w:rPr>
        <w:tab/>
        <w:t>Dale L, Fujita S, Vasquez F, Moezzi M, Hanemann M, Guerrero S, et al. Price Impact on the Demand for Water and Energy in California Residences. Public Interes Energy Res Progr Reports CEC-500-2009-032-D, Calif Energy Comm Sacramento, CA [Internet]. 2009 [cited 2021 Jul 25]; Available from: http://www.energy.ca.gov/2009publications/CEC-500-2009-032/CEC-500-2009-032-F.PDF</w:t>
      </w:r>
    </w:p>
    <w:p w14:paraId="5AA3462E"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30. </w:t>
      </w:r>
      <w:r w:rsidRPr="0038325E">
        <w:rPr>
          <w:rFonts w:cs="Times New Roman"/>
          <w:noProof/>
          <w:szCs w:val="24"/>
        </w:rPr>
        <w:tab/>
        <w:t xml:space="preserve">Mansur ET, Mendelsohn R, Morrison W. Climate change adaptation: A study of fuel choice and consumption in the US energy sector. J Environ Econ Manage. 2008 Mar 1;55(2):175–93. </w:t>
      </w:r>
    </w:p>
    <w:p w14:paraId="44C83FF5"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31. </w:t>
      </w:r>
      <w:r w:rsidRPr="0038325E">
        <w:rPr>
          <w:rFonts w:cs="Times New Roman"/>
          <w:noProof/>
          <w:szCs w:val="24"/>
        </w:rPr>
        <w:tab/>
        <w:t xml:space="preserve">Iraganaboina NC, Eluru N. An examination of factors affecting residential energy consumption using a multiple discrete continuous approach. Energy Build. 2021;240. </w:t>
      </w:r>
    </w:p>
    <w:p w14:paraId="514A6D66"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32. </w:t>
      </w:r>
      <w:r w:rsidRPr="0038325E">
        <w:rPr>
          <w:rFonts w:cs="Times New Roman"/>
          <w:noProof/>
          <w:szCs w:val="24"/>
        </w:rPr>
        <w:tab/>
        <w:t xml:space="preserve">Pinjari AR, Bhat C. Computationally efficient forecasting procedures for Kuhn-Tucker consumer demand model systems: Application to residential energy consumption analysis. J Choice Model. 2021;39. </w:t>
      </w:r>
    </w:p>
    <w:p w14:paraId="2F53C244"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33. </w:t>
      </w:r>
      <w:r w:rsidRPr="0038325E">
        <w:rPr>
          <w:rFonts w:cs="Times New Roman"/>
          <w:noProof/>
          <w:szCs w:val="24"/>
        </w:rPr>
        <w:tab/>
        <w:t xml:space="preserve">Sailor DJ, Muñoz JR. Sensitivity of electricity and natural gas consumption to climate in the U.S.A. - Methodology and results for eight states. Energy [Internet]. 1997 [cited </w:t>
      </w:r>
      <w:r w:rsidRPr="0038325E">
        <w:rPr>
          <w:rFonts w:cs="Times New Roman"/>
          <w:noProof/>
          <w:szCs w:val="24"/>
        </w:rPr>
        <w:lastRenderedPageBreak/>
        <w:t>2021 Jul 25];22(10):987–98. Available from: https://www.researchgate.net/publication/223168285</w:t>
      </w:r>
    </w:p>
    <w:p w14:paraId="3B5066DF"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34. </w:t>
      </w:r>
      <w:r w:rsidRPr="0038325E">
        <w:rPr>
          <w:rFonts w:cs="Times New Roman"/>
          <w:noProof/>
          <w:szCs w:val="24"/>
        </w:rPr>
        <w:tab/>
        <w:t xml:space="preserve">Dubin JA, McFadden DL. An Econometric Analysis of Residential Electric Appliance Holdings and Consumption. Econometrica. 1984;52(2):345. </w:t>
      </w:r>
    </w:p>
    <w:p w14:paraId="16874D62"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35. </w:t>
      </w:r>
      <w:r w:rsidRPr="0038325E">
        <w:rPr>
          <w:rFonts w:cs="Times New Roman"/>
          <w:noProof/>
          <w:szCs w:val="24"/>
        </w:rPr>
        <w:tab/>
        <w:t xml:space="preserve">Harold J, Lyons S, Cullinan J. The determinants of residential gas demand in Ireland. Energy Econ. 2015 Sep 1;51:475–83. </w:t>
      </w:r>
    </w:p>
    <w:p w14:paraId="5FB0704E" w14:textId="77777777" w:rsidR="00FA1165" w:rsidRPr="0038325E" w:rsidRDefault="00FA1165" w:rsidP="00FA1165">
      <w:pPr>
        <w:widowControl w:val="0"/>
        <w:autoSpaceDE w:val="0"/>
        <w:autoSpaceDN w:val="0"/>
        <w:adjustRightInd w:val="0"/>
        <w:ind w:left="640" w:hanging="640"/>
        <w:rPr>
          <w:rFonts w:cs="Times New Roman"/>
          <w:noProof/>
          <w:szCs w:val="24"/>
        </w:rPr>
      </w:pPr>
      <w:r w:rsidRPr="0038325E">
        <w:rPr>
          <w:rFonts w:cs="Times New Roman"/>
          <w:noProof/>
          <w:szCs w:val="24"/>
        </w:rPr>
        <w:t xml:space="preserve">36. </w:t>
      </w:r>
      <w:r w:rsidRPr="0038325E">
        <w:rPr>
          <w:rFonts w:cs="Times New Roman"/>
          <w:noProof/>
          <w:szCs w:val="24"/>
        </w:rPr>
        <w:tab/>
        <w:t xml:space="preserve">Anderson B, Lin S, Newing A, Bahaj AB, James P. Electricity consumption and household characteristics: Implications for census-taking in a smart metered future. Comput Environ Urban Syst. 2017 May 1;63:58–67. </w:t>
      </w:r>
    </w:p>
    <w:p w14:paraId="3723AF96" w14:textId="77777777" w:rsidR="00DD3929" w:rsidRPr="0038325E" w:rsidRDefault="00E11A55" w:rsidP="00DD3929">
      <w:pPr>
        <w:widowControl w:val="0"/>
        <w:autoSpaceDE w:val="0"/>
        <w:autoSpaceDN w:val="0"/>
        <w:adjustRightInd w:val="0"/>
        <w:ind w:left="640" w:hanging="640"/>
        <w:rPr>
          <w:rFonts w:cs="Times New Roman"/>
          <w:noProof/>
          <w:szCs w:val="24"/>
        </w:rPr>
      </w:pPr>
      <w:r w:rsidRPr="00E11A55">
        <w:rPr>
          <w:rFonts w:cs="Times New Roman"/>
          <w:noProof/>
          <w:szCs w:val="24"/>
        </w:rPr>
        <w:t xml:space="preserve">37. </w:t>
      </w:r>
      <w:r w:rsidRPr="00E11A55">
        <w:rPr>
          <w:rFonts w:cs="Times New Roman"/>
          <w:noProof/>
          <w:szCs w:val="24"/>
        </w:rPr>
        <w:tab/>
      </w:r>
      <w:r w:rsidR="00DD3929" w:rsidRPr="0038325E">
        <w:rPr>
          <w:rFonts w:cs="Times New Roman"/>
          <w:noProof/>
          <w:szCs w:val="24"/>
        </w:rPr>
        <w:t>Nesbakken R. Energy consumption for space heating: A discrete-continuous approach. Scand J Econ [Internet]. 2001 Mar 1 [cited 2021 Jul 25];103(1):165–84. Available from: https://onlinelibrary.wiley.com/doi/full/10.1111/1467-9442.00236</w:t>
      </w:r>
    </w:p>
    <w:p w14:paraId="6F13D007" w14:textId="77777777" w:rsidR="00DD3929" w:rsidRPr="0038325E" w:rsidRDefault="00DD3929" w:rsidP="00DD3929">
      <w:pPr>
        <w:widowControl w:val="0"/>
        <w:autoSpaceDE w:val="0"/>
        <w:autoSpaceDN w:val="0"/>
        <w:adjustRightInd w:val="0"/>
        <w:ind w:left="640" w:hanging="640"/>
        <w:rPr>
          <w:rFonts w:cs="Times New Roman"/>
          <w:noProof/>
          <w:szCs w:val="24"/>
        </w:rPr>
      </w:pPr>
      <w:r w:rsidRPr="0038325E">
        <w:rPr>
          <w:rFonts w:cs="Times New Roman"/>
          <w:noProof/>
          <w:szCs w:val="24"/>
        </w:rPr>
        <w:t xml:space="preserve">38. </w:t>
      </w:r>
      <w:r w:rsidRPr="0038325E">
        <w:rPr>
          <w:rFonts w:cs="Times New Roman"/>
          <w:noProof/>
          <w:szCs w:val="24"/>
        </w:rPr>
        <w:tab/>
        <w:t>Boomsma C, Jones R V, Pahl S, Fuertes A. Energy Saving Behaviours Among Social Housing Tenants : Exploring the Relationship With Dwelling Characteristics , Monetary Concerns , and Psychological Motivations. 4th Eur Conf Behav Energy Effic (Behave 2016) [Internet]. 2016 [cited 2021 Jul 25];(September):8–9. Available from: http://hdl.handle.net/10026.1/6662</w:t>
      </w:r>
    </w:p>
    <w:p w14:paraId="662081C5" w14:textId="77777777" w:rsidR="00DD3929" w:rsidRPr="0038325E" w:rsidRDefault="00DD3929" w:rsidP="00DD3929">
      <w:pPr>
        <w:widowControl w:val="0"/>
        <w:autoSpaceDE w:val="0"/>
        <w:autoSpaceDN w:val="0"/>
        <w:adjustRightInd w:val="0"/>
        <w:ind w:left="640" w:hanging="640"/>
        <w:rPr>
          <w:rFonts w:cs="Times New Roman"/>
          <w:noProof/>
          <w:szCs w:val="24"/>
        </w:rPr>
      </w:pPr>
      <w:r w:rsidRPr="0038325E">
        <w:rPr>
          <w:rFonts w:cs="Times New Roman"/>
          <w:noProof/>
          <w:szCs w:val="24"/>
        </w:rPr>
        <w:t xml:space="preserve">39. </w:t>
      </w:r>
      <w:r w:rsidRPr="0038325E">
        <w:rPr>
          <w:rFonts w:cs="Times New Roman"/>
          <w:noProof/>
          <w:szCs w:val="24"/>
        </w:rPr>
        <w:tab/>
        <w:t>Wu C, Thai J, Yadlowsky S, Pozdnoukhov A, Bayen A. Cellpath: Fusion of Cellular and Traffic Sensor Data for Route Flow Estimation via Convex Optimization. Transp Res Procedia [Internet]. 2015 [cited 2021 Jul 25];7:212–32. Available from: www.sciencedirect.com</w:t>
      </w:r>
    </w:p>
    <w:p w14:paraId="081F4BB2" w14:textId="77777777" w:rsidR="00DD3929" w:rsidRPr="0038325E" w:rsidRDefault="00DD3929" w:rsidP="00DD3929">
      <w:pPr>
        <w:widowControl w:val="0"/>
        <w:autoSpaceDE w:val="0"/>
        <w:autoSpaceDN w:val="0"/>
        <w:adjustRightInd w:val="0"/>
        <w:ind w:left="640" w:hanging="640"/>
        <w:rPr>
          <w:rFonts w:cs="Times New Roman"/>
          <w:noProof/>
          <w:szCs w:val="24"/>
        </w:rPr>
      </w:pPr>
      <w:r w:rsidRPr="0038325E">
        <w:rPr>
          <w:rFonts w:cs="Times New Roman"/>
          <w:noProof/>
          <w:szCs w:val="24"/>
        </w:rPr>
        <w:t xml:space="preserve">40. </w:t>
      </w:r>
      <w:r w:rsidRPr="0038325E">
        <w:rPr>
          <w:rFonts w:cs="Times New Roman"/>
          <w:noProof/>
          <w:szCs w:val="24"/>
        </w:rPr>
        <w:tab/>
        <w:t xml:space="preserve">Iqbal MS, Choudhury CF, Wang P, González MC. Development of origin-destination matrices using mobile phone call data. Transp Res Part C Emerg Technol. 2014 Mar 1;40:63–74. </w:t>
      </w:r>
    </w:p>
    <w:p w14:paraId="33A79912" w14:textId="77777777" w:rsidR="00DD3929" w:rsidRPr="0038325E" w:rsidRDefault="00DD3929" w:rsidP="00DD3929">
      <w:pPr>
        <w:widowControl w:val="0"/>
        <w:autoSpaceDE w:val="0"/>
        <w:autoSpaceDN w:val="0"/>
        <w:adjustRightInd w:val="0"/>
        <w:ind w:left="640" w:hanging="640"/>
        <w:rPr>
          <w:rFonts w:cs="Times New Roman"/>
          <w:noProof/>
          <w:szCs w:val="24"/>
        </w:rPr>
      </w:pPr>
      <w:r w:rsidRPr="0038325E">
        <w:rPr>
          <w:rFonts w:cs="Times New Roman"/>
          <w:noProof/>
          <w:szCs w:val="24"/>
        </w:rPr>
        <w:t xml:space="preserve">41. </w:t>
      </w:r>
      <w:r w:rsidRPr="0038325E">
        <w:rPr>
          <w:rFonts w:cs="Times New Roman"/>
          <w:noProof/>
          <w:szCs w:val="24"/>
        </w:rPr>
        <w:tab/>
        <w:t xml:space="preserve">Li X, Wen J. System identification and data fusion for on-line adaptive energy </w:t>
      </w:r>
      <w:r w:rsidRPr="0038325E">
        <w:rPr>
          <w:rFonts w:cs="Times New Roman"/>
          <w:noProof/>
          <w:szCs w:val="24"/>
        </w:rPr>
        <w:lastRenderedPageBreak/>
        <w:t xml:space="preserve">forecasting in virtual and real commercial buildings. Energy Build. 2016;129:227–37. </w:t>
      </w:r>
    </w:p>
    <w:p w14:paraId="3FA8243A" w14:textId="77777777" w:rsidR="00DD3929" w:rsidRPr="0038325E" w:rsidRDefault="00DD3929" w:rsidP="00DD3929">
      <w:pPr>
        <w:widowControl w:val="0"/>
        <w:autoSpaceDE w:val="0"/>
        <w:autoSpaceDN w:val="0"/>
        <w:adjustRightInd w:val="0"/>
        <w:ind w:left="640" w:hanging="640"/>
        <w:rPr>
          <w:rFonts w:cs="Times New Roman"/>
          <w:noProof/>
          <w:szCs w:val="24"/>
        </w:rPr>
      </w:pPr>
      <w:r w:rsidRPr="0038325E">
        <w:rPr>
          <w:rFonts w:cs="Times New Roman"/>
          <w:noProof/>
          <w:szCs w:val="24"/>
        </w:rPr>
        <w:t xml:space="preserve">42. </w:t>
      </w:r>
      <w:r w:rsidRPr="0038325E">
        <w:rPr>
          <w:rFonts w:cs="Times New Roman"/>
          <w:noProof/>
          <w:szCs w:val="24"/>
        </w:rPr>
        <w:tab/>
        <w:t xml:space="preserve">Jiang L, Wang X, Li W, Wang L, Yin X, Jia L. Hybrid Multitask Multi-Information Fusion Deep Learning for Household Short-Term Load Forecasting. IEEE Trans Smart Grid. 2021;12(6):5362–72. </w:t>
      </w:r>
    </w:p>
    <w:p w14:paraId="308292FF" w14:textId="77777777" w:rsidR="00DD3929" w:rsidRPr="0038325E" w:rsidRDefault="00DD3929" w:rsidP="00DD3929">
      <w:pPr>
        <w:widowControl w:val="0"/>
        <w:autoSpaceDE w:val="0"/>
        <w:autoSpaceDN w:val="0"/>
        <w:adjustRightInd w:val="0"/>
        <w:ind w:left="640" w:hanging="640"/>
        <w:rPr>
          <w:rFonts w:cs="Times New Roman"/>
          <w:noProof/>
          <w:szCs w:val="24"/>
        </w:rPr>
      </w:pPr>
      <w:r w:rsidRPr="0038325E">
        <w:rPr>
          <w:rFonts w:cs="Times New Roman"/>
          <w:noProof/>
          <w:szCs w:val="24"/>
        </w:rPr>
        <w:t xml:space="preserve">43. </w:t>
      </w:r>
      <w:r w:rsidRPr="0038325E">
        <w:rPr>
          <w:rFonts w:cs="Times New Roman"/>
          <w:noProof/>
          <w:szCs w:val="24"/>
        </w:rPr>
        <w:tab/>
        <w:t xml:space="preserve">Tan SY, Jacoby M, Saha H, Florita A, Henze G, Sarkar S. Multimodal sensor fusion framework for residential building occupancy detection. Energy Build. 2022;258:111828. </w:t>
      </w:r>
    </w:p>
    <w:p w14:paraId="1C4E16E2" w14:textId="77777777" w:rsidR="00DD3929" w:rsidRPr="0038325E" w:rsidRDefault="00DD3929" w:rsidP="00DD3929">
      <w:pPr>
        <w:widowControl w:val="0"/>
        <w:autoSpaceDE w:val="0"/>
        <w:autoSpaceDN w:val="0"/>
        <w:adjustRightInd w:val="0"/>
        <w:ind w:left="640" w:hanging="640"/>
        <w:rPr>
          <w:rFonts w:cs="Times New Roman"/>
          <w:noProof/>
          <w:szCs w:val="24"/>
        </w:rPr>
      </w:pPr>
      <w:r w:rsidRPr="0038325E">
        <w:rPr>
          <w:rFonts w:cs="Times New Roman"/>
          <w:noProof/>
          <w:szCs w:val="24"/>
        </w:rPr>
        <w:t xml:space="preserve">44. </w:t>
      </w:r>
      <w:r w:rsidRPr="0038325E">
        <w:rPr>
          <w:rFonts w:cs="Times New Roman"/>
          <w:noProof/>
          <w:szCs w:val="24"/>
        </w:rPr>
        <w:tab/>
        <w:t xml:space="preserve">Xie J, Zhong Y, Xiao T, Wang Z, Zhang J, Wang T, et al. A multi-information fusion model for short term load forecasting of an architectural complex considering spatio-temporal characteristics. Energy Build. 2022;277:112566. </w:t>
      </w:r>
    </w:p>
    <w:p w14:paraId="16E59335" w14:textId="77777777" w:rsidR="0038508C" w:rsidRDefault="00E11A55" w:rsidP="00E11A55">
      <w:pPr>
        <w:widowControl w:val="0"/>
        <w:autoSpaceDE w:val="0"/>
        <w:autoSpaceDN w:val="0"/>
        <w:adjustRightInd w:val="0"/>
        <w:ind w:left="640" w:hanging="640"/>
        <w:rPr>
          <w:rFonts w:cs="Times New Roman"/>
          <w:noProof/>
          <w:szCs w:val="24"/>
        </w:rPr>
      </w:pPr>
      <w:r w:rsidRPr="00E11A55">
        <w:rPr>
          <w:rFonts w:cs="Times New Roman"/>
          <w:noProof/>
          <w:szCs w:val="24"/>
        </w:rPr>
        <w:t xml:space="preserve">45. </w:t>
      </w:r>
      <w:r w:rsidRPr="00E11A55">
        <w:rPr>
          <w:rFonts w:cs="Times New Roman"/>
          <w:noProof/>
          <w:szCs w:val="24"/>
        </w:rPr>
        <w:tab/>
      </w:r>
      <w:r w:rsidR="0038508C" w:rsidRPr="0038508C">
        <w:rPr>
          <w:rFonts w:cs="Times New Roman"/>
          <w:noProof/>
          <w:szCs w:val="24"/>
        </w:rPr>
        <w:t>Peng D, Zhao J, Xu T. Intelligent building data fusion algorithm by using the internet of things technology. InJournal of Physics: Conference Series 2021 Dec 1 (Vol. 2143, No. 1, p. 012030). IOP Publishing.</w:t>
      </w:r>
    </w:p>
    <w:p w14:paraId="7D91C207" w14:textId="77777777" w:rsidR="0038508C" w:rsidRPr="0038325E" w:rsidRDefault="00E11A55" w:rsidP="0038508C">
      <w:pPr>
        <w:widowControl w:val="0"/>
        <w:autoSpaceDE w:val="0"/>
        <w:autoSpaceDN w:val="0"/>
        <w:adjustRightInd w:val="0"/>
        <w:ind w:left="640" w:hanging="640"/>
        <w:rPr>
          <w:rFonts w:cs="Times New Roman"/>
          <w:noProof/>
          <w:szCs w:val="24"/>
        </w:rPr>
      </w:pPr>
      <w:r w:rsidRPr="00E11A55">
        <w:rPr>
          <w:rFonts w:cs="Times New Roman"/>
          <w:noProof/>
          <w:szCs w:val="24"/>
        </w:rPr>
        <w:t xml:space="preserve">46. </w:t>
      </w:r>
      <w:r w:rsidRPr="00E11A55">
        <w:rPr>
          <w:rFonts w:cs="Times New Roman"/>
          <w:noProof/>
          <w:szCs w:val="24"/>
        </w:rPr>
        <w:tab/>
      </w:r>
      <w:r w:rsidR="0038508C" w:rsidRPr="0038325E">
        <w:rPr>
          <w:rFonts w:cs="Times New Roman"/>
          <w:noProof/>
          <w:szCs w:val="24"/>
        </w:rPr>
        <w:t>Fawzy D, Moussa S, Badr N. The spatiotemporal data fusion (Stdf) approach: Iot-based data fusion using big data analytics. Sensors [Internet]. 2021 Oct 23 [cited 2022 May 24];21(21):7035. Available from: https://www.mdpi.com/1424-8220/21/21/7035/htm</w:t>
      </w:r>
    </w:p>
    <w:p w14:paraId="5BCD82FF"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t xml:space="preserve">47. </w:t>
      </w:r>
      <w:r w:rsidRPr="0038325E">
        <w:rPr>
          <w:rFonts w:cs="Times New Roman"/>
          <w:noProof/>
          <w:szCs w:val="24"/>
        </w:rPr>
        <w:tab/>
        <w:t xml:space="preserve">Wang W, Chen J, Hong T. Occupancy prediction through machine learning and data fusion of environmental sensing and Wi-Fi sensing in buildings. Autom Constr. 2018 Oct 1;94:233–43. </w:t>
      </w:r>
    </w:p>
    <w:p w14:paraId="76276599"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t xml:space="preserve">48. </w:t>
      </w:r>
      <w:r w:rsidRPr="0038325E">
        <w:rPr>
          <w:rFonts w:cs="Times New Roman"/>
          <w:noProof/>
          <w:szCs w:val="24"/>
        </w:rPr>
        <w:tab/>
        <w:t xml:space="preserve">Nesa N, Banerjee I. IoT-Based Sensor Data Fusion for Occupancy Sensing Using Dempster-Shafer Evidence Theory for Smart Buildings. IEEE Internet Things J. 2017 Oct 1;4(5):1563–70. </w:t>
      </w:r>
    </w:p>
    <w:p w14:paraId="60718D2D"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t xml:space="preserve">49. </w:t>
      </w:r>
      <w:r w:rsidRPr="0038325E">
        <w:rPr>
          <w:rFonts w:cs="Times New Roman"/>
          <w:noProof/>
          <w:szCs w:val="24"/>
        </w:rPr>
        <w:tab/>
        <w:t>He N, Liu L, Qian C, Zhang L, Yang Z, Li S. Air Conditioning Load Prediction Based on Data Fusion Model. SSRN Electron J [Internet]. 2022 Mar 18 [cited 2022 May 10]; Available from: https://papers.ssrn.com/abstract=4059927</w:t>
      </w:r>
    </w:p>
    <w:p w14:paraId="7F41D514"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lastRenderedPageBreak/>
        <w:t xml:space="preserve">50. </w:t>
      </w:r>
      <w:r w:rsidRPr="0038325E">
        <w:rPr>
          <w:rFonts w:cs="Times New Roman"/>
          <w:noProof/>
          <w:szCs w:val="24"/>
        </w:rPr>
        <w:tab/>
        <w:t xml:space="preserve">De Silva D, Alahakoon D, Yu X. A data fusion technique for smart home energy management and analysis. IECON Proc (Industrial Electron Conf. 2016 Dec 21;4594–600. </w:t>
      </w:r>
    </w:p>
    <w:p w14:paraId="1B986963"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t xml:space="preserve">51. </w:t>
      </w:r>
      <w:r w:rsidRPr="0038325E">
        <w:rPr>
          <w:rFonts w:cs="Times New Roman"/>
          <w:noProof/>
          <w:szCs w:val="24"/>
        </w:rPr>
        <w:tab/>
        <w:t xml:space="preserve">Wijayasekara D, Manic M. Data-fusion for increasing temporal resolution of building energy management system data. IECON 2015 - 41st Annu Conf IEEE Ind Electron Soc. 2015;4550–5. </w:t>
      </w:r>
    </w:p>
    <w:p w14:paraId="410FBE07"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t xml:space="preserve">52. </w:t>
      </w:r>
      <w:r w:rsidRPr="0038325E">
        <w:rPr>
          <w:rFonts w:cs="Times New Roman"/>
          <w:noProof/>
          <w:szCs w:val="24"/>
        </w:rPr>
        <w:tab/>
        <w:t>CBC News. Why mobile home residents are paying for more electricity | CBC News [Internet]. [cited 2021 Jul 26]. Available from: https://www.cbc.ca/news/canada/british-columbia/mobile-home-bc-hydro-report-1.5861458</w:t>
      </w:r>
    </w:p>
    <w:p w14:paraId="13F9DBD3"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t xml:space="preserve">53. </w:t>
      </w:r>
      <w:r w:rsidRPr="0038325E">
        <w:rPr>
          <w:rFonts w:cs="Times New Roman"/>
          <w:noProof/>
          <w:szCs w:val="24"/>
        </w:rPr>
        <w:tab/>
        <w:t>Reyna JL, Chester M V. Energy efficiency to reduce residential electricity and natural gas use under climate change. Nat Commun [Internet]. 2017 May 15 [cited 2022 May 24];8(1):1–12. Available from: https://www.nature.com/articles/ncomms14916</w:t>
      </w:r>
    </w:p>
    <w:p w14:paraId="7372F9DA"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t xml:space="preserve">54. </w:t>
      </w:r>
      <w:r w:rsidRPr="0038325E">
        <w:rPr>
          <w:rFonts w:cs="Times New Roman"/>
          <w:noProof/>
          <w:szCs w:val="24"/>
        </w:rPr>
        <w:tab/>
        <w:t>2020 R. All-Electric New Homes: A Win for the Climate and the Economy - RMI [Internet]. [cited 2022 May 24]. Available from: https://rmi.org/all-electric-new-homes-a-win-for-the-climate-and-the-economy/</w:t>
      </w:r>
    </w:p>
    <w:p w14:paraId="1CE815FC"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t xml:space="preserve">55. </w:t>
      </w:r>
      <w:r w:rsidRPr="0038325E">
        <w:rPr>
          <w:rFonts w:cs="Times New Roman"/>
          <w:noProof/>
          <w:szCs w:val="24"/>
        </w:rPr>
        <w:tab/>
        <w:t>USAToday. Sustainability study shows that women consume more energy [Internet]. [cited 2021 Jul 27]. Available from: https://www.utsa.edu/today/2015/05/afamia.html</w:t>
      </w:r>
    </w:p>
    <w:p w14:paraId="0EA02CB5"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t xml:space="preserve">56. </w:t>
      </w:r>
      <w:r w:rsidRPr="0038325E">
        <w:rPr>
          <w:rFonts w:cs="Times New Roman"/>
          <w:noProof/>
          <w:szCs w:val="24"/>
        </w:rPr>
        <w:tab/>
        <w:t>Golob TF, Brownstone D. The Impact of Residential Density on Vehicle Usage and Energy Consumption. J Urban Econ [Internet]. 2009;65(1):91–8. Available from: http://www.sciencedirect.com/science/article/pii/S0094119008001095</w:t>
      </w:r>
    </w:p>
    <w:p w14:paraId="31DFCC29"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t xml:space="preserve">57. </w:t>
      </w:r>
      <w:r w:rsidRPr="0038325E">
        <w:rPr>
          <w:rFonts w:cs="Times New Roman"/>
          <w:noProof/>
          <w:szCs w:val="24"/>
        </w:rPr>
        <w:tab/>
        <w:t xml:space="preserve">Brounen D, Kok N, Quigley JM. Residential energy use and conservation: Economics and demographics. Eur Econ Rev. 2012 Jul 1;56(5):931–45. </w:t>
      </w:r>
    </w:p>
    <w:p w14:paraId="71A80168" w14:textId="77777777" w:rsidR="0038508C" w:rsidRPr="0038325E" w:rsidRDefault="0038508C" w:rsidP="0038508C">
      <w:pPr>
        <w:widowControl w:val="0"/>
        <w:autoSpaceDE w:val="0"/>
        <w:autoSpaceDN w:val="0"/>
        <w:adjustRightInd w:val="0"/>
        <w:ind w:left="640" w:hanging="640"/>
        <w:rPr>
          <w:rFonts w:cs="Times New Roman"/>
          <w:noProof/>
          <w:szCs w:val="24"/>
        </w:rPr>
      </w:pPr>
      <w:r w:rsidRPr="0038325E">
        <w:rPr>
          <w:rFonts w:cs="Times New Roman"/>
          <w:noProof/>
          <w:szCs w:val="24"/>
        </w:rPr>
        <w:t xml:space="preserve">58. </w:t>
      </w:r>
      <w:r w:rsidRPr="0038325E">
        <w:rPr>
          <w:rFonts w:cs="Times New Roman"/>
          <w:noProof/>
          <w:szCs w:val="24"/>
        </w:rPr>
        <w:tab/>
        <w:t xml:space="preserve">Leahy E, Lyons Sean S. Energy use and appliance ownership in Ireland. Energy Policy. 2010 Aug 1;38(8):4265–79. </w:t>
      </w:r>
    </w:p>
    <w:p w14:paraId="554ADBAE" w14:textId="77777777" w:rsidR="0038508C" w:rsidRPr="0038325E" w:rsidRDefault="0038508C" w:rsidP="0038508C">
      <w:pPr>
        <w:widowControl w:val="0"/>
        <w:autoSpaceDE w:val="0"/>
        <w:autoSpaceDN w:val="0"/>
        <w:adjustRightInd w:val="0"/>
        <w:ind w:left="640" w:hanging="640"/>
        <w:rPr>
          <w:rFonts w:cs="Times New Roman"/>
          <w:noProof/>
        </w:rPr>
      </w:pPr>
      <w:r w:rsidRPr="0038325E">
        <w:rPr>
          <w:rFonts w:cs="Times New Roman"/>
          <w:noProof/>
          <w:szCs w:val="24"/>
        </w:rPr>
        <w:t xml:space="preserve">59. </w:t>
      </w:r>
      <w:r w:rsidRPr="0038325E">
        <w:rPr>
          <w:rFonts w:cs="Times New Roman"/>
          <w:noProof/>
          <w:szCs w:val="24"/>
        </w:rPr>
        <w:tab/>
        <w:t xml:space="preserve">Bhowmik T, Yasmin S, Eluru N. A New Econometric Approach for Modeling Several </w:t>
      </w:r>
      <w:r w:rsidRPr="0038325E">
        <w:rPr>
          <w:rFonts w:cs="Times New Roman"/>
          <w:noProof/>
          <w:szCs w:val="24"/>
        </w:rPr>
        <w:lastRenderedPageBreak/>
        <w:t xml:space="preserve">Count Variables: A Case Study of Crash Frequency Analysis by Crash Type and Severity. Transp Res Part B Methodol. 2021 Nov 1;153:172–203. </w:t>
      </w:r>
    </w:p>
    <w:p w14:paraId="2F56E183" w14:textId="6D6911F2" w:rsidR="00DD6A07" w:rsidRDefault="00B6012D" w:rsidP="00C36602">
      <w:pPr>
        <w:widowControl w:val="0"/>
        <w:autoSpaceDE w:val="0"/>
        <w:autoSpaceDN w:val="0"/>
        <w:adjustRightInd w:val="0"/>
        <w:ind w:left="640" w:hanging="640"/>
      </w:pPr>
      <w:r>
        <w:fldChar w:fldCharType="end"/>
      </w:r>
    </w:p>
    <w:sectPr w:rsidR="00DD6A07" w:rsidSect="00761351">
      <w:headerReference w:type="first" r:id="rId22"/>
      <w:pgSz w:w="11906" w:h="16838" w:code="9"/>
      <w:pgMar w:top="1440" w:right="1440" w:bottom="1440" w:left="1440" w:header="720" w:footer="720"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EEB55" w14:textId="77777777" w:rsidR="0088375E" w:rsidRDefault="0088375E" w:rsidP="00A13DAE">
      <w:r>
        <w:separator/>
      </w:r>
    </w:p>
  </w:endnote>
  <w:endnote w:type="continuationSeparator" w:id="0">
    <w:p w14:paraId="7075EE6C" w14:textId="77777777" w:rsidR="0088375E" w:rsidRDefault="0088375E" w:rsidP="00A1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4690122"/>
      <w:docPartObj>
        <w:docPartGallery w:val="Page Numbers (Bottom of Page)"/>
        <w:docPartUnique/>
      </w:docPartObj>
    </w:sdtPr>
    <w:sdtEndPr>
      <w:rPr>
        <w:noProof/>
      </w:rPr>
    </w:sdtEndPr>
    <w:sdtContent>
      <w:p w14:paraId="4547EB11" w14:textId="39F68089" w:rsidR="006A369E" w:rsidRDefault="006A36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230BD" w14:textId="77777777" w:rsidR="0088375E" w:rsidRDefault="0088375E" w:rsidP="00A13DAE">
      <w:r>
        <w:separator/>
      </w:r>
    </w:p>
  </w:footnote>
  <w:footnote w:type="continuationSeparator" w:id="0">
    <w:p w14:paraId="0CD9012F" w14:textId="77777777" w:rsidR="0088375E" w:rsidRDefault="0088375E" w:rsidP="00A13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63D8D" w14:textId="175B917D" w:rsidR="000771A0" w:rsidRDefault="000771A0" w:rsidP="008C5E86">
    <w:pPr>
      <w:pStyle w:val="Header"/>
    </w:pPr>
  </w:p>
  <w:p w14:paraId="708F56B0" w14:textId="77777777" w:rsidR="00455DDC" w:rsidRDefault="00455DDC" w:rsidP="007842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6CDF9" w14:textId="76363A44" w:rsidR="00455DDC" w:rsidRPr="000E79FE" w:rsidRDefault="000E79FE" w:rsidP="000E79FE">
    <w:pPr>
      <w:pStyle w:val="Header"/>
      <w:jc w:val="right"/>
    </w:pPr>
    <w:r w:rsidRPr="000E79FE">
      <w:tab/>
    </w:r>
    <w:r w:rsidRPr="000E79F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8E7AF" w14:textId="6646E7BB" w:rsidR="0030757B" w:rsidRPr="00A621A2" w:rsidRDefault="0030757B" w:rsidP="00A621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06402" w14:textId="5B527817" w:rsidR="00A31F72" w:rsidRPr="000E79FE" w:rsidRDefault="00A31F72" w:rsidP="00F5645F">
    <w:pPr>
      <w:pStyle w:val="Header"/>
    </w:pPr>
    <w:r w:rsidRPr="000E79FE">
      <w:t xml:space="preserve">Bhowmik, </w:t>
    </w:r>
    <w:r w:rsidRPr="000E79FE">
      <w:rPr>
        <w:rFonts w:eastAsia="Calibri" w:cs="Times New Roman"/>
      </w:rPr>
      <w:t>Iraganaboina</w:t>
    </w:r>
    <w:r w:rsidRPr="000E79FE">
      <w:t xml:space="preserve"> and Eluru</w:t>
    </w:r>
    <w:r w:rsidRPr="000E79FE">
      <w:tab/>
    </w:r>
    <w:r w:rsidR="00F5645F">
      <w:tab/>
    </w:r>
    <w:r w:rsidR="00F5645F">
      <w:tab/>
    </w:r>
    <w:r w:rsidR="00F5645F">
      <w:tab/>
    </w:r>
    <w:r w:rsidR="00F5645F">
      <w:tab/>
    </w:r>
    <w:r w:rsidR="00F5645F">
      <w:tab/>
    </w:r>
    <w:r w:rsidR="00F5645F">
      <w:tab/>
      <w:t xml:space="preserve">           </w:t>
    </w:r>
    <w:r w:rsidRPr="000E79FE">
      <w:tab/>
    </w:r>
    <w:sdt>
      <w:sdtPr>
        <w:id w:val="1992595073"/>
        <w:docPartObj>
          <w:docPartGallery w:val="Page Numbers (Top of Page)"/>
          <w:docPartUnique/>
        </w:docPartObj>
      </w:sdtPr>
      <w:sdtEndPr>
        <w:rPr>
          <w:noProof/>
        </w:rPr>
      </w:sdtEndPr>
      <w:sdtContent>
        <w:r w:rsidRPr="000E79FE">
          <w:fldChar w:fldCharType="begin"/>
        </w:r>
        <w:r w:rsidRPr="000E79FE">
          <w:instrText xml:space="preserve"> PAGE   \* MERGEFORMAT </w:instrText>
        </w:r>
        <w:r w:rsidRPr="000E79FE">
          <w:fldChar w:fldCharType="separate"/>
        </w:r>
        <w:r w:rsidRPr="000E79FE">
          <w:t>4</w:t>
        </w:r>
        <w:r w:rsidRPr="000E79FE">
          <w:rPr>
            <w:noProof/>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400FF" w14:textId="77777777" w:rsidR="00A31F72" w:rsidRPr="000E79FE" w:rsidRDefault="00A31F72" w:rsidP="000E79FE">
    <w:pPr>
      <w:pStyle w:val="Header"/>
      <w:jc w:val="right"/>
    </w:pPr>
    <w:r w:rsidRPr="000E79FE">
      <w:t xml:space="preserve">Bhowmik, </w:t>
    </w:r>
    <w:r w:rsidRPr="000E79FE">
      <w:rPr>
        <w:rFonts w:eastAsia="Calibri" w:cs="Times New Roman"/>
      </w:rPr>
      <w:t>Iraganaboina</w:t>
    </w:r>
    <w:r w:rsidRPr="000E79FE">
      <w:t xml:space="preserve"> and Eluru</w:t>
    </w:r>
    <w:r w:rsidRPr="000E79FE">
      <w:tab/>
    </w:r>
    <w:r w:rsidRPr="000E79FE">
      <w:tab/>
    </w:r>
    <w:sdt>
      <w:sdtPr>
        <w:id w:val="-1795975967"/>
        <w:docPartObj>
          <w:docPartGallery w:val="Page Numbers (Top of Page)"/>
          <w:docPartUnique/>
        </w:docPartObj>
      </w:sdtPr>
      <w:sdtEndPr>
        <w:rPr>
          <w:noProof/>
        </w:rPr>
      </w:sdtEndPr>
      <w:sdtContent>
        <w:r w:rsidRPr="000E79FE">
          <w:fldChar w:fldCharType="begin"/>
        </w:r>
        <w:r w:rsidRPr="000E79FE">
          <w:instrText xml:space="preserve"> PAGE   \* MERGEFORMAT </w:instrText>
        </w:r>
        <w:r w:rsidRPr="000E79FE">
          <w:fldChar w:fldCharType="separate"/>
        </w:r>
        <w:r w:rsidRPr="000E79FE">
          <w:t>4</w:t>
        </w:r>
        <w:r w:rsidRPr="000E79FE">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B28B6"/>
    <w:multiLevelType w:val="hybridMultilevel"/>
    <w:tmpl w:val="5DA4E424"/>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AF515EE"/>
    <w:multiLevelType w:val="hybridMultilevel"/>
    <w:tmpl w:val="8C480734"/>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133B6A7A"/>
    <w:multiLevelType w:val="hybridMultilevel"/>
    <w:tmpl w:val="4E48A956"/>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136A0325"/>
    <w:multiLevelType w:val="hybridMultilevel"/>
    <w:tmpl w:val="BB50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6308"/>
    <w:multiLevelType w:val="hybridMultilevel"/>
    <w:tmpl w:val="F9FE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76A612B"/>
    <w:multiLevelType w:val="hybridMultilevel"/>
    <w:tmpl w:val="536E018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18EA7219"/>
    <w:multiLevelType w:val="hybridMultilevel"/>
    <w:tmpl w:val="DF5EA97C"/>
    <w:lvl w:ilvl="0" w:tplc="D1C4FB5A">
      <w:start w:val="10"/>
      <w:numFmt w:val="decimal"/>
      <w:lvlText w:val="(%1)"/>
      <w:lvlJc w:val="right"/>
      <w:pPr>
        <w:ind w:left="121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96BF9"/>
    <w:multiLevelType w:val="hybridMultilevel"/>
    <w:tmpl w:val="44F27B5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1C301136"/>
    <w:multiLevelType w:val="hybridMultilevel"/>
    <w:tmpl w:val="91CA5F6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1D185CA1"/>
    <w:multiLevelType w:val="hybridMultilevel"/>
    <w:tmpl w:val="B0BED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51A0B"/>
    <w:multiLevelType w:val="hybridMultilevel"/>
    <w:tmpl w:val="11CE87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1AA760A"/>
    <w:multiLevelType w:val="multilevel"/>
    <w:tmpl w:val="7086304C"/>
    <w:lvl w:ilvl="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1B939E2"/>
    <w:multiLevelType w:val="hybridMultilevel"/>
    <w:tmpl w:val="9842A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B6AC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455157"/>
    <w:multiLevelType w:val="hybridMultilevel"/>
    <w:tmpl w:val="62327C7C"/>
    <w:lvl w:ilvl="0" w:tplc="8BA80C4E">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9400307"/>
    <w:multiLevelType w:val="hybridMultilevel"/>
    <w:tmpl w:val="4D2292E2"/>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3A307659"/>
    <w:multiLevelType w:val="hybridMultilevel"/>
    <w:tmpl w:val="AB36C8B2"/>
    <w:lvl w:ilvl="0" w:tplc="1B32A60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A8534D5"/>
    <w:multiLevelType w:val="hybridMultilevel"/>
    <w:tmpl w:val="41549870"/>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3F6A0B39"/>
    <w:multiLevelType w:val="hybridMultilevel"/>
    <w:tmpl w:val="0134683C"/>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41756198"/>
    <w:multiLevelType w:val="hybridMultilevel"/>
    <w:tmpl w:val="99AE4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1573E7"/>
    <w:multiLevelType w:val="hybridMultilevel"/>
    <w:tmpl w:val="E878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D92E04"/>
    <w:multiLevelType w:val="hybridMultilevel"/>
    <w:tmpl w:val="F9B8C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9C7311"/>
    <w:multiLevelType w:val="multilevel"/>
    <w:tmpl w:val="582A9FC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4C3A1D1D"/>
    <w:multiLevelType w:val="hybridMultilevel"/>
    <w:tmpl w:val="FF12FC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FCA4BBB"/>
    <w:multiLevelType w:val="hybridMultilevel"/>
    <w:tmpl w:val="2E48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E072A3"/>
    <w:multiLevelType w:val="hybridMultilevel"/>
    <w:tmpl w:val="3FDC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0B3F4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21667E1"/>
    <w:multiLevelType w:val="hybridMultilevel"/>
    <w:tmpl w:val="E3469B82"/>
    <w:lvl w:ilvl="0" w:tplc="3120051E">
      <w:start w:val="14"/>
      <w:numFmt w:val="decimal"/>
      <w:lvlText w:val="(%1)"/>
      <w:lvlJc w:val="right"/>
      <w:pPr>
        <w:ind w:left="121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77095D"/>
    <w:multiLevelType w:val="hybridMultilevel"/>
    <w:tmpl w:val="E336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E929F8"/>
    <w:multiLevelType w:val="hybridMultilevel"/>
    <w:tmpl w:val="91CA5F6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15:restartNumberingAfterBreak="0">
    <w:nsid w:val="5FEC3151"/>
    <w:multiLevelType w:val="hybridMultilevel"/>
    <w:tmpl w:val="81CCFE2A"/>
    <w:lvl w:ilvl="0" w:tplc="52CAA91E">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60112DA9"/>
    <w:multiLevelType w:val="hybridMultilevel"/>
    <w:tmpl w:val="CDD8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2623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12C12F5"/>
    <w:multiLevelType w:val="hybridMultilevel"/>
    <w:tmpl w:val="4CA8602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5" w15:restartNumberingAfterBreak="0">
    <w:nsid w:val="667443FB"/>
    <w:multiLevelType w:val="hybridMultilevel"/>
    <w:tmpl w:val="5804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B713D"/>
    <w:multiLevelType w:val="hybridMultilevel"/>
    <w:tmpl w:val="378A110A"/>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6E23073E"/>
    <w:multiLevelType w:val="hybridMultilevel"/>
    <w:tmpl w:val="5DA4E424"/>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8" w15:restartNumberingAfterBreak="0">
    <w:nsid w:val="72632259"/>
    <w:multiLevelType w:val="hybridMultilevel"/>
    <w:tmpl w:val="8024467C"/>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9" w15:restartNumberingAfterBreak="0">
    <w:nsid w:val="7E303EB9"/>
    <w:multiLevelType w:val="hybridMultilevel"/>
    <w:tmpl w:val="F76A463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16cid:durableId="1553692261">
    <w:abstractNumId w:val="5"/>
  </w:num>
  <w:num w:numId="2" w16cid:durableId="1678386498">
    <w:abstractNumId w:val="11"/>
  </w:num>
  <w:num w:numId="3" w16cid:durableId="1698118060">
    <w:abstractNumId w:val="15"/>
  </w:num>
  <w:num w:numId="4" w16cid:durableId="1620724484">
    <w:abstractNumId w:val="23"/>
  </w:num>
  <w:num w:numId="5" w16cid:durableId="507334526">
    <w:abstractNumId w:val="33"/>
  </w:num>
  <w:num w:numId="6" w16cid:durableId="1942178312">
    <w:abstractNumId w:val="27"/>
  </w:num>
  <w:num w:numId="7" w16cid:durableId="1718359369">
    <w:abstractNumId w:val="14"/>
  </w:num>
  <w:num w:numId="8" w16cid:durableId="2081979742">
    <w:abstractNumId w:val="4"/>
  </w:num>
  <w:num w:numId="9" w16cid:durableId="1376393320">
    <w:abstractNumId w:val="35"/>
  </w:num>
  <w:num w:numId="10" w16cid:durableId="466582779">
    <w:abstractNumId w:val="22"/>
  </w:num>
  <w:num w:numId="11" w16cid:durableId="1087387035">
    <w:abstractNumId w:val="18"/>
  </w:num>
  <w:num w:numId="12" w16cid:durableId="1988506020">
    <w:abstractNumId w:val="39"/>
  </w:num>
  <w:num w:numId="13" w16cid:durableId="1513839466">
    <w:abstractNumId w:val="8"/>
  </w:num>
  <w:num w:numId="14" w16cid:durableId="654334138">
    <w:abstractNumId w:val="2"/>
  </w:num>
  <w:num w:numId="15" w16cid:durableId="27340772">
    <w:abstractNumId w:val="36"/>
  </w:num>
  <w:num w:numId="16" w16cid:durableId="320472431">
    <w:abstractNumId w:val="34"/>
  </w:num>
  <w:num w:numId="17" w16cid:durableId="268859920">
    <w:abstractNumId w:val="1"/>
  </w:num>
  <w:num w:numId="18" w16cid:durableId="2096584765">
    <w:abstractNumId w:val="16"/>
  </w:num>
  <w:num w:numId="19" w16cid:durableId="368409973">
    <w:abstractNumId w:val="6"/>
  </w:num>
  <w:num w:numId="20" w16cid:durableId="165478774">
    <w:abstractNumId w:val="9"/>
  </w:num>
  <w:num w:numId="21" w16cid:durableId="110826372">
    <w:abstractNumId w:val="30"/>
  </w:num>
  <w:num w:numId="22" w16cid:durableId="769860055">
    <w:abstractNumId w:val="38"/>
  </w:num>
  <w:num w:numId="23" w16cid:durableId="978995882">
    <w:abstractNumId w:val="31"/>
  </w:num>
  <w:num w:numId="24" w16cid:durableId="738021727">
    <w:abstractNumId w:val="17"/>
  </w:num>
  <w:num w:numId="25" w16cid:durableId="832063647">
    <w:abstractNumId w:val="28"/>
  </w:num>
  <w:num w:numId="26" w16cid:durableId="793988417">
    <w:abstractNumId w:val="7"/>
  </w:num>
  <w:num w:numId="27" w16cid:durableId="2147353816">
    <w:abstractNumId w:val="23"/>
  </w:num>
  <w:num w:numId="28" w16cid:durableId="1392850088">
    <w:abstractNumId w:val="0"/>
  </w:num>
  <w:num w:numId="29" w16cid:durableId="1326201463">
    <w:abstractNumId w:val="12"/>
  </w:num>
  <w:num w:numId="30" w16cid:durableId="1934430826">
    <w:abstractNumId w:val="37"/>
  </w:num>
  <w:num w:numId="31" w16cid:durableId="625307976">
    <w:abstractNumId w:val="19"/>
  </w:num>
  <w:num w:numId="32" w16cid:durableId="893850832">
    <w:abstractNumId w:val="13"/>
  </w:num>
  <w:num w:numId="33" w16cid:durableId="901868428">
    <w:abstractNumId w:val="3"/>
  </w:num>
  <w:num w:numId="34" w16cid:durableId="1338651594">
    <w:abstractNumId w:val="10"/>
  </w:num>
  <w:num w:numId="35" w16cid:durableId="1011565051">
    <w:abstractNumId w:val="21"/>
  </w:num>
  <w:num w:numId="36" w16cid:durableId="1124084180">
    <w:abstractNumId w:val="20"/>
  </w:num>
  <w:num w:numId="37" w16cid:durableId="1277443142">
    <w:abstractNumId w:val="26"/>
  </w:num>
  <w:num w:numId="38" w16cid:durableId="834342987">
    <w:abstractNumId w:val="32"/>
  </w:num>
  <w:num w:numId="39" w16cid:durableId="9374734">
    <w:abstractNumId w:val="29"/>
  </w:num>
  <w:num w:numId="40" w16cid:durableId="846528578">
    <w:abstractNumId w:val="23"/>
  </w:num>
  <w:num w:numId="41" w16cid:durableId="1608660642">
    <w:abstractNumId w:val="25"/>
  </w:num>
  <w:num w:numId="42" w16cid:durableId="720251958">
    <w:abstractNumId w:val="23"/>
  </w:num>
  <w:num w:numId="43" w16cid:durableId="1156855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s-MX"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en-US" w:vendorID="64" w:dllVersion="0" w:nlCheck="1" w:checkStyle="0"/>
  <w:activeWritingStyle w:appName="MSWord" w:lang="es-MX"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3MDExNTIwtzC1NDBW0lEKTi0uzszPAykwNDCpBQAp5TA9LgAAAA=="/>
  </w:docVars>
  <w:rsids>
    <w:rsidRoot w:val="00356193"/>
    <w:rsid w:val="0000009B"/>
    <w:rsid w:val="000004C1"/>
    <w:rsid w:val="00000777"/>
    <w:rsid w:val="00000ACF"/>
    <w:rsid w:val="0000104A"/>
    <w:rsid w:val="000013B6"/>
    <w:rsid w:val="00002310"/>
    <w:rsid w:val="00003181"/>
    <w:rsid w:val="00003224"/>
    <w:rsid w:val="00003D3C"/>
    <w:rsid w:val="00004578"/>
    <w:rsid w:val="0000523E"/>
    <w:rsid w:val="000053F6"/>
    <w:rsid w:val="0000575A"/>
    <w:rsid w:val="0000579A"/>
    <w:rsid w:val="00006735"/>
    <w:rsid w:val="00006829"/>
    <w:rsid w:val="0000714B"/>
    <w:rsid w:val="0000723A"/>
    <w:rsid w:val="000073AA"/>
    <w:rsid w:val="0000772D"/>
    <w:rsid w:val="00011961"/>
    <w:rsid w:val="000127E5"/>
    <w:rsid w:val="00012EAA"/>
    <w:rsid w:val="000130CF"/>
    <w:rsid w:val="00013454"/>
    <w:rsid w:val="00013A17"/>
    <w:rsid w:val="00013AE0"/>
    <w:rsid w:val="00014617"/>
    <w:rsid w:val="000147A2"/>
    <w:rsid w:val="0001483D"/>
    <w:rsid w:val="000148D0"/>
    <w:rsid w:val="00015540"/>
    <w:rsid w:val="00015586"/>
    <w:rsid w:val="00015DBB"/>
    <w:rsid w:val="00015F2B"/>
    <w:rsid w:val="00016485"/>
    <w:rsid w:val="000168F3"/>
    <w:rsid w:val="00016D79"/>
    <w:rsid w:val="00016E98"/>
    <w:rsid w:val="00016F84"/>
    <w:rsid w:val="00017435"/>
    <w:rsid w:val="0001744B"/>
    <w:rsid w:val="00020386"/>
    <w:rsid w:val="000209F7"/>
    <w:rsid w:val="00021157"/>
    <w:rsid w:val="000221FB"/>
    <w:rsid w:val="000227D0"/>
    <w:rsid w:val="0002297F"/>
    <w:rsid w:val="000229E2"/>
    <w:rsid w:val="00022B47"/>
    <w:rsid w:val="00022D10"/>
    <w:rsid w:val="00022FEC"/>
    <w:rsid w:val="0002355B"/>
    <w:rsid w:val="00023941"/>
    <w:rsid w:val="000239CB"/>
    <w:rsid w:val="00023B99"/>
    <w:rsid w:val="00024883"/>
    <w:rsid w:val="0002492E"/>
    <w:rsid w:val="00024AA7"/>
    <w:rsid w:val="00024ABA"/>
    <w:rsid w:val="0002544B"/>
    <w:rsid w:val="00025C96"/>
    <w:rsid w:val="00025F32"/>
    <w:rsid w:val="000262F8"/>
    <w:rsid w:val="00026698"/>
    <w:rsid w:val="00026726"/>
    <w:rsid w:val="00026A0D"/>
    <w:rsid w:val="00026C42"/>
    <w:rsid w:val="00026FEC"/>
    <w:rsid w:val="0002729A"/>
    <w:rsid w:val="000272BD"/>
    <w:rsid w:val="00027334"/>
    <w:rsid w:val="00027AA7"/>
    <w:rsid w:val="00030016"/>
    <w:rsid w:val="0003099A"/>
    <w:rsid w:val="000312B8"/>
    <w:rsid w:val="0003133A"/>
    <w:rsid w:val="000324C7"/>
    <w:rsid w:val="00032556"/>
    <w:rsid w:val="000343C0"/>
    <w:rsid w:val="00034E1A"/>
    <w:rsid w:val="00035593"/>
    <w:rsid w:val="0003582F"/>
    <w:rsid w:val="000365F6"/>
    <w:rsid w:val="00036D82"/>
    <w:rsid w:val="00037465"/>
    <w:rsid w:val="000374D3"/>
    <w:rsid w:val="0004038E"/>
    <w:rsid w:val="00040433"/>
    <w:rsid w:val="00041B03"/>
    <w:rsid w:val="000420B7"/>
    <w:rsid w:val="00042191"/>
    <w:rsid w:val="000423B7"/>
    <w:rsid w:val="000424C3"/>
    <w:rsid w:val="00042913"/>
    <w:rsid w:val="0004293B"/>
    <w:rsid w:val="00042A49"/>
    <w:rsid w:val="00042CFF"/>
    <w:rsid w:val="000434E1"/>
    <w:rsid w:val="000436D5"/>
    <w:rsid w:val="00043723"/>
    <w:rsid w:val="00043A51"/>
    <w:rsid w:val="00043C75"/>
    <w:rsid w:val="00043F27"/>
    <w:rsid w:val="000442BA"/>
    <w:rsid w:val="00044554"/>
    <w:rsid w:val="0004473F"/>
    <w:rsid w:val="00044D54"/>
    <w:rsid w:val="00044FD2"/>
    <w:rsid w:val="00045120"/>
    <w:rsid w:val="0004561C"/>
    <w:rsid w:val="0004566C"/>
    <w:rsid w:val="0004576D"/>
    <w:rsid w:val="000460A1"/>
    <w:rsid w:val="000467BD"/>
    <w:rsid w:val="00046805"/>
    <w:rsid w:val="000468D4"/>
    <w:rsid w:val="00046A17"/>
    <w:rsid w:val="00046E2A"/>
    <w:rsid w:val="00047280"/>
    <w:rsid w:val="000472E5"/>
    <w:rsid w:val="00047429"/>
    <w:rsid w:val="0004742D"/>
    <w:rsid w:val="000474D7"/>
    <w:rsid w:val="00047A6D"/>
    <w:rsid w:val="00047B3D"/>
    <w:rsid w:val="0005047C"/>
    <w:rsid w:val="00050741"/>
    <w:rsid w:val="00050F68"/>
    <w:rsid w:val="00051312"/>
    <w:rsid w:val="000514AE"/>
    <w:rsid w:val="00051503"/>
    <w:rsid w:val="00051540"/>
    <w:rsid w:val="00051768"/>
    <w:rsid w:val="000517A7"/>
    <w:rsid w:val="00051D41"/>
    <w:rsid w:val="00051F41"/>
    <w:rsid w:val="00052031"/>
    <w:rsid w:val="000520D2"/>
    <w:rsid w:val="00052E98"/>
    <w:rsid w:val="0005394B"/>
    <w:rsid w:val="00053E6A"/>
    <w:rsid w:val="00054F6E"/>
    <w:rsid w:val="00054F96"/>
    <w:rsid w:val="00055640"/>
    <w:rsid w:val="00055756"/>
    <w:rsid w:val="0005597D"/>
    <w:rsid w:val="000560CF"/>
    <w:rsid w:val="000562D4"/>
    <w:rsid w:val="0005674F"/>
    <w:rsid w:val="00056B7D"/>
    <w:rsid w:val="00056EC7"/>
    <w:rsid w:val="00056FB6"/>
    <w:rsid w:val="000579CC"/>
    <w:rsid w:val="00060C7D"/>
    <w:rsid w:val="00060F77"/>
    <w:rsid w:val="00060F7F"/>
    <w:rsid w:val="00061246"/>
    <w:rsid w:val="000612C4"/>
    <w:rsid w:val="0006162F"/>
    <w:rsid w:val="00061807"/>
    <w:rsid w:val="00061F00"/>
    <w:rsid w:val="0006215A"/>
    <w:rsid w:val="00062AAA"/>
    <w:rsid w:val="000637F0"/>
    <w:rsid w:val="00064481"/>
    <w:rsid w:val="0006449D"/>
    <w:rsid w:val="000656CE"/>
    <w:rsid w:val="00065BE8"/>
    <w:rsid w:val="00065EE1"/>
    <w:rsid w:val="00066176"/>
    <w:rsid w:val="000662E9"/>
    <w:rsid w:val="00066434"/>
    <w:rsid w:val="000664CC"/>
    <w:rsid w:val="00066B01"/>
    <w:rsid w:val="00066DF8"/>
    <w:rsid w:val="00067069"/>
    <w:rsid w:val="00067133"/>
    <w:rsid w:val="00070838"/>
    <w:rsid w:val="00070DB3"/>
    <w:rsid w:val="00071F9C"/>
    <w:rsid w:val="00071FBF"/>
    <w:rsid w:val="0007234E"/>
    <w:rsid w:val="0007255C"/>
    <w:rsid w:val="00072BA4"/>
    <w:rsid w:val="00072F78"/>
    <w:rsid w:val="000735FE"/>
    <w:rsid w:val="000738D9"/>
    <w:rsid w:val="00073BB7"/>
    <w:rsid w:val="00073D45"/>
    <w:rsid w:val="00075198"/>
    <w:rsid w:val="00075A75"/>
    <w:rsid w:val="00075CB5"/>
    <w:rsid w:val="00076969"/>
    <w:rsid w:val="00076A92"/>
    <w:rsid w:val="000771A0"/>
    <w:rsid w:val="000772AA"/>
    <w:rsid w:val="00077567"/>
    <w:rsid w:val="0007799E"/>
    <w:rsid w:val="00077BD1"/>
    <w:rsid w:val="00080825"/>
    <w:rsid w:val="000811EE"/>
    <w:rsid w:val="0008187C"/>
    <w:rsid w:val="00081B28"/>
    <w:rsid w:val="00081BDA"/>
    <w:rsid w:val="00081FB2"/>
    <w:rsid w:val="000820C1"/>
    <w:rsid w:val="000826EF"/>
    <w:rsid w:val="0008272B"/>
    <w:rsid w:val="0008289C"/>
    <w:rsid w:val="00083382"/>
    <w:rsid w:val="0008361E"/>
    <w:rsid w:val="0008370B"/>
    <w:rsid w:val="0008388D"/>
    <w:rsid w:val="000839B5"/>
    <w:rsid w:val="000839D5"/>
    <w:rsid w:val="000839F2"/>
    <w:rsid w:val="0008432E"/>
    <w:rsid w:val="00084605"/>
    <w:rsid w:val="000868FA"/>
    <w:rsid w:val="00086905"/>
    <w:rsid w:val="00086D8E"/>
    <w:rsid w:val="000874C3"/>
    <w:rsid w:val="00087C94"/>
    <w:rsid w:val="00087DDB"/>
    <w:rsid w:val="00090753"/>
    <w:rsid w:val="00090B00"/>
    <w:rsid w:val="00090C17"/>
    <w:rsid w:val="00090D84"/>
    <w:rsid w:val="000912CC"/>
    <w:rsid w:val="0009165D"/>
    <w:rsid w:val="00091D20"/>
    <w:rsid w:val="00092B7B"/>
    <w:rsid w:val="00092BE6"/>
    <w:rsid w:val="00092F6F"/>
    <w:rsid w:val="0009315E"/>
    <w:rsid w:val="000945BB"/>
    <w:rsid w:val="00094983"/>
    <w:rsid w:val="0009675A"/>
    <w:rsid w:val="00096FFB"/>
    <w:rsid w:val="000972F3"/>
    <w:rsid w:val="0009762B"/>
    <w:rsid w:val="0009771F"/>
    <w:rsid w:val="000977B9"/>
    <w:rsid w:val="00097A1C"/>
    <w:rsid w:val="000A04C2"/>
    <w:rsid w:val="000A0920"/>
    <w:rsid w:val="000A0DAA"/>
    <w:rsid w:val="000A1023"/>
    <w:rsid w:val="000A13C3"/>
    <w:rsid w:val="000A1E3E"/>
    <w:rsid w:val="000A260D"/>
    <w:rsid w:val="000A2826"/>
    <w:rsid w:val="000A288F"/>
    <w:rsid w:val="000A296E"/>
    <w:rsid w:val="000A299F"/>
    <w:rsid w:val="000A2A31"/>
    <w:rsid w:val="000A2F7A"/>
    <w:rsid w:val="000A36E8"/>
    <w:rsid w:val="000A494C"/>
    <w:rsid w:val="000A4F2B"/>
    <w:rsid w:val="000A552C"/>
    <w:rsid w:val="000A55A1"/>
    <w:rsid w:val="000A5C6B"/>
    <w:rsid w:val="000A6367"/>
    <w:rsid w:val="000A6AF3"/>
    <w:rsid w:val="000A7B11"/>
    <w:rsid w:val="000B0095"/>
    <w:rsid w:val="000B06EC"/>
    <w:rsid w:val="000B0E6F"/>
    <w:rsid w:val="000B11F9"/>
    <w:rsid w:val="000B12DC"/>
    <w:rsid w:val="000B1470"/>
    <w:rsid w:val="000B1E83"/>
    <w:rsid w:val="000B2111"/>
    <w:rsid w:val="000B26F3"/>
    <w:rsid w:val="000B2976"/>
    <w:rsid w:val="000B2ABD"/>
    <w:rsid w:val="000B384E"/>
    <w:rsid w:val="000B394C"/>
    <w:rsid w:val="000B449B"/>
    <w:rsid w:val="000B477C"/>
    <w:rsid w:val="000B47D6"/>
    <w:rsid w:val="000B50BC"/>
    <w:rsid w:val="000B5137"/>
    <w:rsid w:val="000B5307"/>
    <w:rsid w:val="000B53B9"/>
    <w:rsid w:val="000B681E"/>
    <w:rsid w:val="000B7D66"/>
    <w:rsid w:val="000C0025"/>
    <w:rsid w:val="000C029B"/>
    <w:rsid w:val="000C0FFE"/>
    <w:rsid w:val="000C1036"/>
    <w:rsid w:val="000C1529"/>
    <w:rsid w:val="000C1BD3"/>
    <w:rsid w:val="000C1E11"/>
    <w:rsid w:val="000C2248"/>
    <w:rsid w:val="000C22BA"/>
    <w:rsid w:val="000C2B5F"/>
    <w:rsid w:val="000C2F4D"/>
    <w:rsid w:val="000C331E"/>
    <w:rsid w:val="000C4379"/>
    <w:rsid w:val="000C4DAC"/>
    <w:rsid w:val="000C56C2"/>
    <w:rsid w:val="000C57FD"/>
    <w:rsid w:val="000C5C1B"/>
    <w:rsid w:val="000C5C5C"/>
    <w:rsid w:val="000C5CCD"/>
    <w:rsid w:val="000C5DB0"/>
    <w:rsid w:val="000C6491"/>
    <w:rsid w:val="000C661A"/>
    <w:rsid w:val="000C6A2D"/>
    <w:rsid w:val="000C6FE8"/>
    <w:rsid w:val="000C71F2"/>
    <w:rsid w:val="000C7EA5"/>
    <w:rsid w:val="000C7EB3"/>
    <w:rsid w:val="000D1F7A"/>
    <w:rsid w:val="000D202E"/>
    <w:rsid w:val="000D2AF9"/>
    <w:rsid w:val="000D35F3"/>
    <w:rsid w:val="000D389B"/>
    <w:rsid w:val="000D3D99"/>
    <w:rsid w:val="000D3E90"/>
    <w:rsid w:val="000D5C7E"/>
    <w:rsid w:val="000D5CF5"/>
    <w:rsid w:val="000D614F"/>
    <w:rsid w:val="000D647F"/>
    <w:rsid w:val="000D649B"/>
    <w:rsid w:val="000D67E3"/>
    <w:rsid w:val="000D6B6D"/>
    <w:rsid w:val="000D6CC7"/>
    <w:rsid w:val="000D7104"/>
    <w:rsid w:val="000D7856"/>
    <w:rsid w:val="000D7932"/>
    <w:rsid w:val="000D7D42"/>
    <w:rsid w:val="000E0FCD"/>
    <w:rsid w:val="000E0FD3"/>
    <w:rsid w:val="000E14A2"/>
    <w:rsid w:val="000E1C1A"/>
    <w:rsid w:val="000E220D"/>
    <w:rsid w:val="000E2E80"/>
    <w:rsid w:val="000E40C8"/>
    <w:rsid w:val="000E4190"/>
    <w:rsid w:val="000E4599"/>
    <w:rsid w:val="000E5088"/>
    <w:rsid w:val="000E5856"/>
    <w:rsid w:val="000E5969"/>
    <w:rsid w:val="000E5BB6"/>
    <w:rsid w:val="000E5E19"/>
    <w:rsid w:val="000E6717"/>
    <w:rsid w:val="000E6E35"/>
    <w:rsid w:val="000E7288"/>
    <w:rsid w:val="000E73E0"/>
    <w:rsid w:val="000E7710"/>
    <w:rsid w:val="000E79FE"/>
    <w:rsid w:val="000F00CD"/>
    <w:rsid w:val="000F02AF"/>
    <w:rsid w:val="000F032F"/>
    <w:rsid w:val="000F03D1"/>
    <w:rsid w:val="000F0436"/>
    <w:rsid w:val="000F0CAE"/>
    <w:rsid w:val="000F0F1D"/>
    <w:rsid w:val="000F1122"/>
    <w:rsid w:val="000F1778"/>
    <w:rsid w:val="000F1C04"/>
    <w:rsid w:val="000F1DD8"/>
    <w:rsid w:val="000F1DE2"/>
    <w:rsid w:val="000F1E90"/>
    <w:rsid w:val="000F2410"/>
    <w:rsid w:val="000F2A92"/>
    <w:rsid w:val="000F30AD"/>
    <w:rsid w:val="000F35A3"/>
    <w:rsid w:val="000F361D"/>
    <w:rsid w:val="000F37BF"/>
    <w:rsid w:val="000F3A33"/>
    <w:rsid w:val="000F3CE2"/>
    <w:rsid w:val="000F3EB0"/>
    <w:rsid w:val="000F4812"/>
    <w:rsid w:val="000F4A34"/>
    <w:rsid w:val="000F4ACA"/>
    <w:rsid w:val="000F52AA"/>
    <w:rsid w:val="000F584B"/>
    <w:rsid w:val="000F5F46"/>
    <w:rsid w:val="000F646B"/>
    <w:rsid w:val="000F6A0F"/>
    <w:rsid w:val="000F6AC7"/>
    <w:rsid w:val="000F70D3"/>
    <w:rsid w:val="000F77A8"/>
    <w:rsid w:val="000F7C6C"/>
    <w:rsid w:val="000F7DAA"/>
    <w:rsid w:val="0010013F"/>
    <w:rsid w:val="0010082C"/>
    <w:rsid w:val="00100870"/>
    <w:rsid w:val="00100F49"/>
    <w:rsid w:val="00101054"/>
    <w:rsid w:val="001011A4"/>
    <w:rsid w:val="001020F3"/>
    <w:rsid w:val="0010250E"/>
    <w:rsid w:val="00102F45"/>
    <w:rsid w:val="00103B56"/>
    <w:rsid w:val="00103F9C"/>
    <w:rsid w:val="00104439"/>
    <w:rsid w:val="0010504E"/>
    <w:rsid w:val="00105862"/>
    <w:rsid w:val="00105D87"/>
    <w:rsid w:val="0010632C"/>
    <w:rsid w:val="00106974"/>
    <w:rsid w:val="00106A56"/>
    <w:rsid w:val="00106C9E"/>
    <w:rsid w:val="00107E94"/>
    <w:rsid w:val="001108F0"/>
    <w:rsid w:val="00111902"/>
    <w:rsid w:val="0011203F"/>
    <w:rsid w:val="00112D5C"/>
    <w:rsid w:val="0011348C"/>
    <w:rsid w:val="00113817"/>
    <w:rsid w:val="00113847"/>
    <w:rsid w:val="00113919"/>
    <w:rsid w:val="00113CFE"/>
    <w:rsid w:val="00113F1E"/>
    <w:rsid w:val="001142B7"/>
    <w:rsid w:val="00114A28"/>
    <w:rsid w:val="00114AA7"/>
    <w:rsid w:val="00114DB6"/>
    <w:rsid w:val="0011591C"/>
    <w:rsid w:val="00115FBF"/>
    <w:rsid w:val="00116245"/>
    <w:rsid w:val="00117736"/>
    <w:rsid w:val="00117CF3"/>
    <w:rsid w:val="00120A3D"/>
    <w:rsid w:val="00120F27"/>
    <w:rsid w:val="00121675"/>
    <w:rsid w:val="00121CD9"/>
    <w:rsid w:val="00121FE2"/>
    <w:rsid w:val="00122239"/>
    <w:rsid w:val="001225DE"/>
    <w:rsid w:val="00122838"/>
    <w:rsid w:val="00122B89"/>
    <w:rsid w:val="00122F95"/>
    <w:rsid w:val="001232C0"/>
    <w:rsid w:val="00123E14"/>
    <w:rsid w:val="0012411F"/>
    <w:rsid w:val="00124315"/>
    <w:rsid w:val="00124DA2"/>
    <w:rsid w:val="00125E8F"/>
    <w:rsid w:val="001272CC"/>
    <w:rsid w:val="001274F3"/>
    <w:rsid w:val="00127733"/>
    <w:rsid w:val="001301CE"/>
    <w:rsid w:val="0013081A"/>
    <w:rsid w:val="00131013"/>
    <w:rsid w:val="00131557"/>
    <w:rsid w:val="0013156A"/>
    <w:rsid w:val="001322A6"/>
    <w:rsid w:val="001324B8"/>
    <w:rsid w:val="00132895"/>
    <w:rsid w:val="00132E88"/>
    <w:rsid w:val="0013311D"/>
    <w:rsid w:val="001331D6"/>
    <w:rsid w:val="00133576"/>
    <w:rsid w:val="00133746"/>
    <w:rsid w:val="00133FAB"/>
    <w:rsid w:val="0013493A"/>
    <w:rsid w:val="0013534F"/>
    <w:rsid w:val="00135ED4"/>
    <w:rsid w:val="00135FD3"/>
    <w:rsid w:val="0013608F"/>
    <w:rsid w:val="00136B37"/>
    <w:rsid w:val="00136DE7"/>
    <w:rsid w:val="001400B8"/>
    <w:rsid w:val="001407A8"/>
    <w:rsid w:val="00140ECD"/>
    <w:rsid w:val="001410F7"/>
    <w:rsid w:val="00141310"/>
    <w:rsid w:val="00141585"/>
    <w:rsid w:val="0014176C"/>
    <w:rsid w:val="00141A9E"/>
    <w:rsid w:val="00141C00"/>
    <w:rsid w:val="00142D81"/>
    <w:rsid w:val="0014328A"/>
    <w:rsid w:val="00143887"/>
    <w:rsid w:val="00143B11"/>
    <w:rsid w:val="001441AC"/>
    <w:rsid w:val="001441DD"/>
    <w:rsid w:val="00144560"/>
    <w:rsid w:val="00144CB0"/>
    <w:rsid w:val="00144E5C"/>
    <w:rsid w:val="0014512B"/>
    <w:rsid w:val="00145635"/>
    <w:rsid w:val="0014571A"/>
    <w:rsid w:val="00146154"/>
    <w:rsid w:val="001462CC"/>
    <w:rsid w:val="0014678F"/>
    <w:rsid w:val="0014684F"/>
    <w:rsid w:val="00146947"/>
    <w:rsid w:val="00146B16"/>
    <w:rsid w:val="00146BF7"/>
    <w:rsid w:val="001471FC"/>
    <w:rsid w:val="00147E93"/>
    <w:rsid w:val="001501EB"/>
    <w:rsid w:val="00150528"/>
    <w:rsid w:val="00150CEC"/>
    <w:rsid w:val="0015190B"/>
    <w:rsid w:val="00151996"/>
    <w:rsid w:val="00151DB2"/>
    <w:rsid w:val="0015259A"/>
    <w:rsid w:val="001527F6"/>
    <w:rsid w:val="001528D3"/>
    <w:rsid w:val="00152A5D"/>
    <w:rsid w:val="00152AA1"/>
    <w:rsid w:val="00153ADF"/>
    <w:rsid w:val="00153AF2"/>
    <w:rsid w:val="001541C1"/>
    <w:rsid w:val="0015442E"/>
    <w:rsid w:val="00154BA5"/>
    <w:rsid w:val="0015500E"/>
    <w:rsid w:val="001550DB"/>
    <w:rsid w:val="001559FE"/>
    <w:rsid w:val="00155F84"/>
    <w:rsid w:val="0015614F"/>
    <w:rsid w:val="0015633E"/>
    <w:rsid w:val="00157421"/>
    <w:rsid w:val="0015792B"/>
    <w:rsid w:val="00157C71"/>
    <w:rsid w:val="00157DEA"/>
    <w:rsid w:val="00157FA8"/>
    <w:rsid w:val="00160D3A"/>
    <w:rsid w:val="00160F4F"/>
    <w:rsid w:val="001611BC"/>
    <w:rsid w:val="0016126C"/>
    <w:rsid w:val="00161528"/>
    <w:rsid w:val="00161C79"/>
    <w:rsid w:val="00161EB5"/>
    <w:rsid w:val="00161ECD"/>
    <w:rsid w:val="00161F61"/>
    <w:rsid w:val="00162138"/>
    <w:rsid w:val="00162F17"/>
    <w:rsid w:val="00163486"/>
    <w:rsid w:val="001640F4"/>
    <w:rsid w:val="001643D1"/>
    <w:rsid w:val="0016443B"/>
    <w:rsid w:val="00164D9E"/>
    <w:rsid w:val="00165049"/>
    <w:rsid w:val="001654E1"/>
    <w:rsid w:val="0016563A"/>
    <w:rsid w:val="00166154"/>
    <w:rsid w:val="00166261"/>
    <w:rsid w:val="00167027"/>
    <w:rsid w:val="001673C3"/>
    <w:rsid w:val="00167983"/>
    <w:rsid w:val="00167C00"/>
    <w:rsid w:val="00170589"/>
    <w:rsid w:val="00170765"/>
    <w:rsid w:val="001719C5"/>
    <w:rsid w:val="00171ABB"/>
    <w:rsid w:val="00172541"/>
    <w:rsid w:val="001728B7"/>
    <w:rsid w:val="00172DAE"/>
    <w:rsid w:val="00173CC8"/>
    <w:rsid w:val="001741EC"/>
    <w:rsid w:val="001743A8"/>
    <w:rsid w:val="001745AD"/>
    <w:rsid w:val="00174AA0"/>
    <w:rsid w:val="001750F2"/>
    <w:rsid w:val="001753F1"/>
    <w:rsid w:val="001759A2"/>
    <w:rsid w:val="00175BAB"/>
    <w:rsid w:val="0017600A"/>
    <w:rsid w:val="0017682D"/>
    <w:rsid w:val="00176C4B"/>
    <w:rsid w:val="0017733D"/>
    <w:rsid w:val="00177912"/>
    <w:rsid w:val="00177A8F"/>
    <w:rsid w:val="00177A9E"/>
    <w:rsid w:val="00177C74"/>
    <w:rsid w:val="001810F6"/>
    <w:rsid w:val="00181D53"/>
    <w:rsid w:val="00181ED0"/>
    <w:rsid w:val="00182135"/>
    <w:rsid w:val="00182886"/>
    <w:rsid w:val="0018294A"/>
    <w:rsid w:val="00182A6D"/>
    <w:rsid w:val="0018312F"/>
    <w:rsid w:val="00183536"/>
    <w:rsid w:val="00183949"/>
    <w:rsid w:val="00183C2F"/>
    <w:rsid w:val="0018400E"/>
    <w:rsid w:val="0018420D"/>
    <w:rsid w:val="0018443E"/>
    <w:rsid w:val="0018453D"/>
    <w:rsid w:val="00184F4F"/>
    <w:rsid w:val="00184F8A"/>
    <w:rsid w:val="00185097"/>
    <w:rsid w:val="00185B5D"/>
    <w:rsid w:val="00185BD4"/>
    <w:rsid w:val="00185DD0"/>
    <w:rsid w:val="0018656A"/>
    <w:rsid w:val="0018768B"/>
    <w:rsid w:val="00187A54"/>
    <w:rsid w:val="001903E7"/>
    <w:rsid w:val="00190B8F"/>
    <w:rsid w:val="00190D8D"/>
    <w:rsid w:val="00190F68"/>
    <w:rsid w:val="00191392"/>
    <w:rsid w:val="001914ED"/>
    <w:rsid w:val="00191A92"/>
    <w:rsid w:val="00192670"/>
    <w:rsid w:val="001926D3"/>
    <w:rsid w:val="001926FD"/>
    <w:rsid w:val="0019271E"/>
    <w:rsid w:val="0019279A"/>
    <w:rsid w:val="00192CE4"/>
    <w:rsid w:val="00193009"/>
    <w:rsid w:val="001937ED"/>
    <w:rsid w:val="001939A1"/>
    <w:rsid w:val="00193B5A"/>
    <w:rsid w:val="00193CCB"/>
    <w:rsid w:val="0019465B"/>
    <w:rsid w:val="001948A6"/>
    <w:rsid w:val="00194B8E"/>
    <w:rsid w:val="00194BC7"/>
    <w:rsid w:val="00194D34"/>
    <w:rsid w:val="00194FC5"/>
    <w:rsid w:val="001956F3"/>
    <w:rsid w:val="00195D10"/>
    <w:rsid w:val="001972A3"/>
    <w:rsid w:val="0019741A"/>
    <w:rsid w:val="00197468"/>
    <w:rsid w:val="0019757E"/>
    <w:rsid w:val="00197A4A"/>
    <w:rsid w:val="00197B0D"/>
    <w:rsid w:val="00197F33"/>
    <w:rsid w:val="00197F36"/>
    <w:rsid w:val="001A069D"/>
    <w:rsid w:val="001A0939"/>
    <w:rsid w:val="001A0997"/>
    <w:rsid w:val="001A1372"/>
    <w:rsid w:val="001A137F"/>
    <w:rsid w:val="001A1874"/>
    <w:rsid w:val="001A1A1A"/>
    <w:rsid w:val="001A2773"/>
    <w:rsid w:val="001A2D01"/>
    <w:rsid w:val="001A2DDC"/>
    <w:rsid w:val="001A42CA"/>
    <w:rsid w:val="001A4586"/>
    <w:rsid w:val="001A5F23"/>
    <w:rsid w:val="001A6256"/>
    <w:rsid w:val="001A63AB"/>
    <w:rsid w:val="001A6568"/>
    <w:rsid w:val="001A6A37"/>
    <w:rsid w:val="001A6D5C"/>
    <w:rsid w:val="001A6EE6"/>
    <w:rsid w:val="001A7B9A"/>
    <w:rsid w:val="001B0BBC"/>
    <w:rsid w:val="001B2A7E"/>
    <w:rsid w:val="001B2C97"/>
    <w:rsid w:val="001B3110"/>
    <w:rsid w:val="001B33A7"/>
    <w:rsid w:val="001B3A4C"/>
    <w:rsid w:val="001B3F1F"/>
    <w:rsid w:val="001B3F3C"/>
    <w:rsid w:val="001B3FB5"/>
    <w:rsid w:val="001B5446"/>
    <w:rsid w:val="001B5FF9"/>
    <w:rsid w:val="001B6352"/>
    <w:rsid w:val="001B6554"/>
    <w:rsid w:val="001B6798"/>
    <w:rsid w:val="001B77F7"/>
    <w:rsid w:val="001C056E"/>
    <w:rsid w:val="001C0B1D"/>
    <w:rsid w:val="001C100E"/>
    <w:rsid w:val="001C12FB"/>
    <w:rsid w:val="001C143C"/>
    <w:rsid w:val="001C1B73"/>
    <w:rsid w:val="001C1C62"/>
    <w:rsid w:val="001C1D9C"/>
    <w:rsid w:val="001C21BF"/>
    <w:rsid w:val="001C2A3F"/>
    <w:rsid w:val="001C2AC9"/>
    <w:rsid w:val="001C326D"/>
    <w:rsid w:val="001C32B6"/>
    <w:rsid w:val="001C3605"/>
    <w:rsid w:val="001C3613"/>
    <w:rsid w:val="001C3924"/>
    <w:rsid w:val="001C3A38"/>
    <w:rsid w:val="001C452E"/>
    <w:rsid w:val="001C4573"/>
    <w:rsid w:val="001C4AA8"/>
    <w:rsid w:val="001C4B3F"/>
    <w:rsid w:val="001C4CBB"/>
    <w:rsid w:val="001C4DA7"/>
    <w:rsid w:val="001C50F2"/>
    <w:rsid w:val="001C5B75"/>
    <w:rsid w:val="001C5D07"/>
    <w:rsid w:val="001C6789"/>
    <w:rsid w:val="001C6921"/>
    <w:rsid w:val="001C6943"/>
    <w:rsid w:val="001C715D"/>
    <w:rsid w:val="001C7528"/>
    <w:rsid w:val="001D055C"/>
    <w:rsid w:val="001D0596"/>
    <w:rsid w:val="001D16F7"/>
    <w:rsid w:val="001D1740"/>
    <w:rsid w:val="001D186C"/>
    <w:rsid w:val="001D1B22"/>
    <w:rsid w:val="001D1DE7"/>
    <w:rsid w:val="001D1EBD"/>
    <w:rsid w:val="001D2442"/>
    <w:rsid w:val="001D25AE"/>
    <w:rsid w:val="001D2789"/>
    <w:rsid w:val="001D2885"/>
    <w:rsid w:val="001D29C9"/>
    <w:rsid w:val="001D2B4E"/>
    <w:rsid w:val="001D2C8A"/>
    <w:rsid w:val="001D31A8"/>
    <w:rsid w:val="001D4173"/>
    <w:rsid w:val="001D4556"/>
    <w:rsid w:val="001D48C1"/>
    <w:rsid w:val="001D4D66"/>
    <w:rsid w:val="001D4DE0"/>
    <w:rsid w:val="001D5D3E"/>
    <w:rsid w:val="001D6C03"/>
    <w:rsid w:val="001D6DA9"/>
    <w:rsid w:val="001D79A8"/>
    <w:rsid w:val="001D7EA6"/>
    <w:rsid w:val="001E0582"/>
    <w:rsid w:val="001E065A"/>
    <w:rsid w:val="001E16EB"/>
    <w:rsid w:val="001E1FA4"/>
    <w:rsid w:val="001E20ED"/>
    <w:rsid w:val="001E26AB"/>
    <w:rsid w:val="001E285B"/>
    <w:rsid w:val="001E2A84"/>
    <w:rsid w:val="001E2FCA"/>
    <w:rsid w:val="001E4332"/>
    <w:rsid w:val="001E4B80"/>
    <w:rsid w:val="001E4C4E"/>
    <w:rsid w:val="001E4CB2"/>
    <w:rsid w:val="001E4DF8"/>
    <w:rsid w:val="001E4F11"/>
    <w:rsid w:val="001E530B"/>
    <w:rsid w:val="001E5CDA"/>
    <w:rsid w:val="001E5FBD"/>
    <w:rsid w:val="001E6148"/>
    <w:rsid w:val="001E666E"/>
    <w:rsid w:val="001E67FF"/>
    <w:rsid w:val="001E6D82"/>
    <w:rsid w:val="001E6E51"/>
    <w:rsid w:val="001E74FE"/>
    <w:rsid w:val="001E7666"/>
    <w:rsid w:val="001E7FFC"/>
    <w:rsid w:val="001F009A"/>
    <w:rsid w:val="001F03B8"/>
    <w:rsid w:val="001F0483"/>
    <w:rsid w:val="001F0C21"/>
    <w:rsid w:val="001F1F58"/>
    <w:rsid w:val="001F1F75"/>
    <w:rsid w:val="001F241D"/>
    <w:rsid w:val="001F2737"/>
    <w:rsid w:val="001F28B9"/>
    <w:rsid w:val="001F297E"/>
    <w:rsid w:val="001F2A4A"/>
    <w:rsid w:val="001F2C3E"/>
    <w:rsid w:val="001F3247"/>
    <w:rsid w:val="001F34C9"/>
    <w:rsid w:val="001F397A"/>
    <w:rsid w:val="001F4054"/>
    <w:rsid w:val="001F41D7"/>
    <w:rsid w:val="001F4428"/>
    <w:rsid w:val="001F4DE2"/>
    <w:rsid w:val="001F5240"/>
    <w:rsid w:val="001F52C6"/>
    <w:rsid w:val="001F5369"/>
    <w:rsid w:val="001F5A0E"/>
    <w:rsid w:val="001F5E50"/>
    <w:rsid w:val="001F5ECC"/>
    <w:rsid w:val="001F6229"/>
    <w:rsid w:val="001F62EA"/>
    <w:rsid w:val="001F6402"/>
    <w:rsid w:val="001F6A9C"/>
    <w:rsid w:val="001F6DA2"/>
    <w:rsid w:val="001F7615"/>
    <w:rsid w:val="001F77C4"/>
    <w:rsid w:val="001F7F8C"/>
    <w:rsid w:val="001F7FE3"/>
    <w:rsid w:val="0020101E"/>
    <w:rsid w:val="00201822"/>
    <w:rsid w:val="00201C68"/>
    <w:rsid w:val="00201FAD"/>
    <w:rsid w:val="00202A24"/>
    <w:rsid w:val="00202BEF"/>
    <w:rsid w:val="00202CF3"/>
    <w:rsid w:val="00202DD0"/>
    <w:rsid w:val="00203449"/>
    <w:rsid w:val="00203575"/>
    <w:rsid w:val="00203E81"/>
    <w:rsid w:val="00204315"/>
    <w:rsid w:val="002045BD"/>
    <w:rsid w:val="002045E4"/>
    <w:rsid w:val="0020469B"/>
    <w:rsid w:val="00204F64"/>
    <w:rsid w:val="0020535C"/>
    <w:rsid w:val="0020556A"/>
    <w:rsid w:val="00205751"/>
    <w:rsid w:val="00205E63"/>
    <w:rsid w:val="00206A25"/>
    <w:rsid w:val="00206CA7"/>
    <w:rsid w:val="00206E33"/>
    <w:rsid w:val="00207266"/>
    <w:rsid w:val="00207DB2"/>
    <w:rsid w:val="002106FE"/>
    <w:rsid w:val="0021095A"/>
    <w:rsid w:val="0021111A"/>
    <w:rsid w:val="00212D85"/>
    <w:rsid w:val="00212F77"/>
    <w:rsid w:val="0021362C"/>
    <w:rsid w:val="00213740"/>
    <w:rsid w:val="00214A10"/>
    <w:rsid w:val="00214D51"/>
    <w:rsid w:val="00215953"/>
    <w:rsid w:val="002159AD"/>
    <w:rsid w:val="00215CFA"/>
    <w:rsid w:val="00216144"/>
    <w:rsid w:val="0021614F"/>
    <w:rsid w:val="00216476"/>
    <w:rsid w:val="00216791"/>
    <w:rsid w:val="00216AF2"/>
    <w:rsid w:val="00216BA5"/>
    <w:rsid w:val="002173E9"/>
    <w:rsid w:val="00217E87"/>
    <w:rsid w:val="0022012D"/>
    <w:rsid w:val="002209C9"/>
    <w:rsid w:val="00220AD8"/>
    <w:rsid w:val="00220BBB"/>
    <w:rsid w:val="00220D52"/>
    <w:rsid w:val="00221361"/>
    <w:rsid w:val="0022140D"/>
    <w:rsid w:val="002219D5"/>
    <w:rsid w:val="00221DFD"/>
    <w:rsid w:val="00222502"/>
    <w:rsid w:val="0022258A"/>
    <w:rsid w:val="002225B5"/>
    <w:rsid w:val="0022267E"/>
    <w:rsid w:val="00222788"/>
    <w:rsid w:val="00222BFF"/>
    <w:rsid w:val="0022319C"/>
    <w:rsid w:val="00223B93"/>
    <w:rsid w:val="0022405C"/>
    <w:rsid w:val="00224105"/>
    <w:rsid w:val="00224638"/>
    <w:rsid w:val="0022494B"/>
    <w:rsid w:val="00225CC4"/>
    <w:rsid w:val="00225D86"/>
    <w:rsid w:val="00226398"/>
    <w:rsid w:val="00226749"/>
    <w:rsid w:val="00226CA5"/>
    <w:rsid w:val="00227602"/>
    <w:rsid w:val="00227677"/>
    <w:rsid w:val="00227FEB"/>
    <w:rsid w:val="002308CB"/>
    <w:rsid w:val="00231358"/>
    <w:rsid w:val="00231366"/>
    <w:rsid w:val="00232273"/>
    <w:rsid w:val="00232E6D"/>
    <w:rsid w:val="00233F8E"/>
    <w:rsid w:val="00234034"/>
    <w:rsid w:val="0023421F"/>
    <w:rsid w:val="002345B8"/>
    <w:rsid w:val="00234BB0"/>
    <w:rsid w:val="00235992"/>
    <w:rsid w:val="00236B4A"/>
    <w:rsid w:val="002370AB"/>
    <w:rsid w:val="002370DC"/>
    <w:rsid w:val="00237494"/>
    <w:rsid w:val="002374CD"/>
    <w:rsid w:val="00237874"/>
    <w:rsid w:val="00237972"/>
    <w:rsid w:val="00237A39"/>
    <w:rsid w:val="00237D55"/>
    <w:rsid w:val="00240187"/>
    <w:rsid w:val="00240242"/>
    <w:rsid w:val="002402A4"/>
    <w:rsid w:val="002412EA"/>
    <w:rsid w:val="0024137C"/>
    <w:rsid w:val="0024195E"/>
    <w:rsid w:val="00241E98"/>
    <w:rsid w:val="00242154"/>
    <w:rsid w:val="0024271D"/>
    <w:rsid w:val="00242B2E"/>
    <w:rsid w:val="00242F2D"/>
    <w:rsid w:val="00242F6A"/>
    <w:rsid w:val="00243739"/>
    <w:rsid w:val="002437B8"/>
    <w:rsid w:val="00243908"/>
    <w:rsid w:val="00243BDE"/>
    <w:rsid w:val="00244935"/>
    <w:rsid w:val="00244C15"/>
    <w:rsid w:val="0024519A"/>
    <w:rsid w:val="0024536B"/>
    <w:rsid w:val="002454EB"/>
    <w:rsid w:val="00245DEC"/>
    <w:rsid w:val="002460EF"/>
    <w:rsid w:val="00246199"/>
    <w:rsid w:val="00246235"/>
    <w:rsid w:val="0024627B"/>
    <w:rsid w:val="0024652C"/>
    <w:rsid w:val="002465E6"/>
    <w:rsid w:val="0024660F"/>
    <w:rsid w:val="00246ADC"/>
    <w:rsid w:val="00247321"/>
    <w:rsid w:val="0024745D"/>
    <w:rsid w:val="00247759"/>
    <w:rsid w:val="002478D5"/>
    <w:rsid w:val="002513E5"/>
    <w:rsid w:val="00251486"/>
    <w:rsid w:val="00252DCA"/>
    <w:rsid w:val="00253358"/>
    <w:rsid w:val="00253797"/>
    <w:rsid w:val="0025380A"/>
    <w:rsid w:val="00253E68"/>
    <w:rsid w:val="00254702"/>
    <w:rsid w:val="002549D7"/>
    <w:rsid w:val="00255323"/>
    <w:rsid w:val="0025572C"/>
    <w:rsid w:val="002563E5"/>
    <w:rsid w:val="0025653D"/>
    <w:rsid w:val="002566CB"/>
    <w:rsid w:val="0025682C"/>
    <w:rsid w:val="00256B35"/>
    <w:rsid w:val="00257151"/>
    <w:rsid w:val="002571D4"/>
    <w:rsid w:val="002578A1"/>
    <w:rsid w:val="00257DE9"/>
    <w:rsid w:val="002604AE"/>
    <w:rsid w:val="00260EF6"/>
    <w:rsid w:val="002610B7"/>
    <w:rsid w:val="00261EEF"/>
    <w:rsid w:val="00262B48"/>
    <w:rsid w:val="00262DAE"/>
    <w:rsid w:val="00262F99"/>
    <w:rsid w:val="002636A1"/>
    <w:rsid w:val="00263AB7"/>
    <w:rsid w:val="002644A1"/>
    <w:rsid w:val="002646E9"/>
    <w:rsid w:val="00264E03"/>
    <w:rsid w:val="00265DDC"/>
    <w:rsid w:val="00265F96"/>
    <w:rsid w:val="002661C6"/>
    <w:rsid w:val="002666D0"/>
    <w:rsid w:val="00266A1A"/>
    <w:rsid w:val="00266EB3"/>
    <w:rsid w:val="00267636"/>
    <w:rsid w:val="002704D7"/>
    <w:rsid w:val="00270965"/>
    <w:rsid w:val="00270B29"/>
    <w:rsid w:val="00270B70"/>
    <w:rsid w:val="00270B85"/>
    <w:rsid w:val="002711BF"/>
    <w:rsid w:val="0027122F"/>
    <w:rsid w:val="002714E1"/>
    <w:rsid w:val="00271695"/>
    <w:rsid w:val="00271C9C"/>
    <w:rsid w:val="00271FCD"/>
    <w:rsid w:val="00271FFB"/>
    <w:rsid w:val="00272B0C"/>
    <w:rsid w:val="00272B40"/>
    <w:rsid w:val="00273505"/>
    <w:rsid w:val="00273B7B"/>
    <w:rsid w:val="002749C6"/>
    <w:rsid w:val="00275D95"/>
    <w:rsid w:val="00275EB8"/>
    <w:rsid w:val="00276102"/>
    <w:rsid w:val="0027635E"/>
    <w:rsid w:val="0027682D"/>
    <w:rsid w:val="00276981"/>
    <w:rsid w:val="00276DEF"/>
    <w:rsid w:val="00276F8F"/>
    <w:rsid w:val="0027702D"/>
    <w:rsid w:val="0028020A"/>
    <w:rsid w:val="00280823"/>
    <w:rsid w:val="0028088A"/>
    <w:rsid w:val="00280B16"/>
    <w:rsid w:val="0028108E"/>
    <w:rsid w:val="00281973"/>
    <w:rsid w:val="00282CF1"/>
    <w:rsid w:val="00282D92"/>
    <w:rsid w:val="00283DF1"/>
    <w:rsid w:val="00283F63"/>
    <w:rsid w:val="0028447D"/>
    <w:rsid w:val="00284C97"/>
    <w:rsid w:val="00284F97"/>
    <w:rsid w:val="00285614"/>
    <w:rsid w:val="00285B6B"/>
    <w:rsid w:val="00286853"/>
    <w:rsid w:val="002868B6"/>
    <w:rsid w:val="00286B41"/>
    <w:rsid w:val="00286F62"/>
    <w:rsid w:val="0028752E"/>
    <w:rsid w:val="002879BD"/>
    <w:rsid w:val="00290056"/>
    <w:rsid w:val="002902BA"/>
    <w:rsid w:val="00290631"/>
    <w:rsid w:val="0029162A"/>
    <w:rsid w:val="0029188A"/>
    <w:rsid w:val="00291B9B"/>
    <w:rsid w:val="00292232"/>
    <w:rsid w:val="002923FD"/>
    <w:rsid w:val="0029259B"/>
    <w:rsid w:val="00292BCB"/>
    <w:rsid w:val="00292CBD"/>
    <w:rsid w:val="002931D9"/>
    <w:rsid w:val="002933EF"/>
    <w:rsid w:val="002939B6"/>
    <w:rsid w:val="00293EDB"/>
    <w:rsid w:val="00294609"/>
    <w:rsid w:val="002951A1"/>
    <w:rsid w:val="0029526C"/>
    <w:rsid w:val="00295F5C"/>
    <w:rsid w:val="00296089"/>
    <w:rsid w:val="002968F4"/>
    <w:rsid w:val="00296F3B"/>
    <w:rsid w:val="00296F4E"/>
    <w:rsid w:val="00297694"/>
    <w:rsid w:val="002976E0"/>
    <w:rsid w:val="00297766"/>
    <w:rsid w:val="00297849"/>
    <w:rsid w:val="00297A26"/>
    <w:rsid w:val="00297CE9"/>
    <w:rsid w:val="002A0331"/>
    <w:rsid w:val="002A07F5"/>
    <w:rsid w:val="002A0ED7"/>
    <w:rsid w:val="002A11AE"/>
    <w:rsid w:val="002A2BFB"/>
    <w:rsid w:val="002A2DE3"/>
    <w:rsid w:val="002A2EA4"/>
    <w:rsid w:val="002A3331"/>
    <w:rsid w:val="002A336A"/>
    <w:rsid w:val="002A3384"/>
    <w:rsid w:val="002A3D74"/>
    <w:rsid w:val="002A3E8B"/>
    <w:rsid w:val="002A40B1"/>
    <w:rsid w:val="002A47E8"/>
    <w:rsid w:val="002A4851"/>
    <w:rsid w:val="002A4C54"/>
    <w:rsid w:val="002A5622"/>
    <w:rsid w:val="002A5998"/>
    <w:rsid w:val="002A5D8A"/>
    <w:rsid w:val="002A65CB"/>
    <w:rsid w:val="002A6C52"/>
    <w:rsid w:val="002A6D8A"/>
    <w:rsid w:val="002A6F4E"/>
    <w:rsid w:val="002B0079"/>
    <w:rsid w:val="002B0C4E"/>
    <w:rsid w:val="002B213A"/>
    <w:rsid w:val="002B21BA"/>
    <w:rsid w:val="002B23B4"/>
    <w:rsid w:val="002B26B7"/>
    <w:rsid w:val="002B2A17"/>
    <w:rsid w:val="002B2E28"/>
    <w:rsid w:val="002B3290"/>
    <w:rsid w:val="002B3803"/>
    <w:rsid w:val="002B3993"/>
    <w:rsid w:val="002B3BAA"/>
    <w:rsid w:val="002B3BC0"/>
    <w:rsid w:val="002B3D46"/>
    <w:rsid w:val="002B43DB"/>
    <w:rsid w:val="002B465E"/>
    <w:rsid w:val="002B49C8"/>
    <w:rsid w:val="002B55A6"/>
    <w:rsid w:val="002B5911"/>
    <w:rsid w:val="002B5993"/>
    <w:rsid w:val="002B5E21"/>
    <w:rsid w:val="002B5E73"/>
    <w:rsid w:val="002B6482"/>
    <w:rsid w:val="002B7155"/>
    <w:rsid w:val="002B7395"/>
    <w:rsid w:val="002B7CF7"/>
    <w:rsid w:val="002C0168"/>
    <w:rsid w:val="002C0176"/>
    <w:rsid w:val="002C01DB"/>
    <w:rsid w:val="002C0461"/>
    <w:rsid w:val="002C1646"/>
    <w:rsid w:val="002C1754"/>
    <w:rsid w:val="002C1DC5"/>
    <w:rsid w:val="002C1F1B"/>
    <w:rsid w:val="002C1F4D"/>
    <w:rsid w:val="002C223B"/>
    <w:rsid w:val="002C2639"/>
    <w:rsid w:val="002C2CD8"/>
    <w:rsid w:val="002C2DDE"/>
    <w:rsid w:val="002C3166"/>
    <w:rsid w:val="002C32A4"/>
    <w:rsid w:val="002C361C"/>
    <w:rsid w:val="002C3787"/>
    <w:rsid w:val="002C4459"/>
    <w:rsid w:val="002C451A"/>
    <w:rsid w:val="002C469F"/>
    <w:rsid w:val="002C4A07"/>
    <w:rsid w:val="002C4C1B"/>
    <w:rsid w:val="002C4F9D"/>
    <w:rsid w:val="002C579D"/>
    <w:rsid w:val="002C5849"/>
    <w:rsid w:val="002C5CA4"/>
    <w:rsid w:val="002C5E22"/>
    <w:rsid w:val="002C606F"/>
    <w:rsid w:val="002C611D"/>
    <w:rsid w:val="002C651A"/>
    <w:rsid w:val="002C677D"/>
    <w:rsid w:val="002C70B8"/>
    <w:rsid w:val="002C70FC"/>
    <w:rsid w:val="002C7178"/>
    <w:rsid w:val="002C7288"/>
    <w:rsid w:val="002C7EA7"/>
    <w:rsid w:val="002D0110"/>
    <w:rsid w:val="002D0510"/>
    <w:rsid w:val="002D06CA"/>
    <w:rsid w:val="002D0BFF"/>
    <w:rsid w:val="002D0DE2"/>
    <w:rsid w:val="002D0ECA"/>
    <w:rsid w:val="002D12D8"/>
    <w:rsid w:val="002D1CD9"/>
    <w:rsid w:val="002D2D55"/>
    <w:rsid w:val="002D2ED3"/>
    <w:rsid w:val="002D2F8C"/>
    <w:rsid w:val="002D35AA"/>
    <w:rsid w:val="002D3C0D"/>
    <w:rsid w:val="002D54E0"/>
    <w:rsid w:val="002D5867"/>
    <w:rsid w:val="002D5A38"/>
    <w:rsid w:val="002D5C09"/>
    <w:rsid w:val="002D5DE7"/>
    <w:rsid w:val="002D7491"/>
    <w:rsid w:val="002D7492"/>
    <w:rsid w:val="002D78AC"/>
    <w:rsid w:val="002D7B5E"/>
    <w:rsid w:val="002D7CDF"/>
    <w:rsid w:val="002E02A3"/>
    <w:rsid w:val="002E1588"/>
    <w:rsid w:val="002E1D22"/>
    <w:rsid w:val="002E1E0B"/>
    <w:rsid w:val="002E2AFB"/>
    <w:rsid w:val="002E2B4C"/>
    <w:rsid w:val="002E2BA4"/>
    <w:rsid w:val="002E2CDC"/>
    <w:rsid w:val="002E32EF"/>
    <w:rsid w:val="002E3834"/>
    <w:rsid w:val="002E3A97"/>
    <w:rsid w:val="002E46E4"/>
    <w:rsid w:val="002E5521"/>
    <w:rsid w:val="002E5992"/>
    <w:rsid w:val="002E60A5"/>
    <w:rsid w:val="002E67FC"/>
    <w:rsid w:val="002E6F57"/>
    <w:rsid w:val="002F0228"/>
    <w:rsid w:val="002F0841"/>
    <w:rsid w:val="002F0871"/>
    <w:rsid w:val="002F0BD8"/>
    <w:rsid w:val="002F12DE"/>
    <w:rsid w:val="002F1758"/>
    <w:rsid w:val="002F2253"/>
    <w:rsid w:val="002F2738"/>
    <w:rsid w:val="002F2939"/>
    <w:rsid w:val="002F2CDE"/>
    <w:rsid w:val="002F2D19"/>
    <w:rsid w:val="002F2E3D"/>
    <w:rsid w:val="002F2F13"/>
    <w:rsid w:val="002F370B"/>
    <w:rsid w:val="002F378A"/>
    <w:rsid w:val="002F3893"/>
    <w:rsid w:val="002F3DA0"/>
    <w:rsid w:val="002F4276"/>
    <w:rsid w:val="002F4751"/>
    <w:rsid w:val="002F4ACA"/>
    <w:rsid w:val="002F589F"/>
    <w:rsid w:val="002F5EC8"/>
    <w:rsid w:val="002F6ABE"/>
    <w:rsid w:val="002F6C48"/>
    <w:rsid w:val="002F747B"/>
    <w:rsid w:val="002F778D"/>
    <w:rsid w:val="002F7D85"/>
    <w:rsid w:val="002F7E1D"/>
    <w:rsid w:val="00300056"/>
    <w:rsid w:val="00300421"/>
    <w:rsid w:val="003007E2"/>
    <w:rsid w:val="0030083E"/>
    <w:rsid w:val="003015A5"/>
    <w:rsid w:val="003015D5"/>
    <w:rsid w:val="003019B9"/>
    <w:rsid w:val="00301AEE"/>
    <w:rsid w:val="00301C0B"/>
    <w:rsid w:val="00301D67"/>
    <w:rsid w:val="00302261"/>
    <w:rsid w:val="0030244A"/>
    <w:rsid w:val="00302A01"/>
    <w:rsid w:val="0030320E"/>
    <w:rsid w:val="00303785"/>
    <w:rsid w:val="00303883"/>
    <w:rsid w:val="00303AED"/>
    <w:rsid w:val="00303B84"/>
    <w:rsid w:val="0030488C"/>
    <w:rsid w:val="003050C7"/>
    <w:rsid w:val="003050E0"/>
    <w:rsid w:val="0030512D"/>
    <w:rsid w:val="00305829"/>
    <w:rsid w:val="00305AFE"/>
    <w:rsid w:val="00305DB4"/>
    <w:rsid w:val="00306C62"/>
    <w:rsid w:val="00306C9C"/>
    <w:rsid w:val="00306E98"/>
    <w:rsid w:val="0030718F"/>
    <w:rsid w:val="0030757B"/>
    <w:rsid w:val="00307824"/>
    <w:rsid w:val="0031058C"/>
    <w:rsid w:val="00310A6C"/>
    <w:rsid w:val="003116EF"/>
    <w:rsid w:val="003117DB"/>
    <w:rsid w:val="003118D3"/>
    <w:rsid w:val="00311B37"/>
    <w:rsid w:val="00311C93"/>
    <w:rsid w:val="00313147"/>
    <w:rsid w:val="00313298"/>
    <w:rsid w:val="0031338A"/>
    <w:rsid w:val="00313636"/>
    <w:rsid w:val="00313770"/>
    <w:rsid w:val="003137BB"/>
    <w:rsid w:val="00313800"/>
    <w:rsid w:val="003143F5"/>
    <w:rsid w:val="00315631"/>
    <w:rsid w:val="0031578C"/>
    <w:rsid w:val="00315BDC"/>
    <w:rsid w:val="0031630A"/>
    <w:rsid w:val="00316449"/>
    <w:rsid w:val="0031652A"/>
    <w:rsid w:val="00316F2B"/>
    <w:rsid w:val="00317424"/>
    <w:rsid w:val="003179CB"/>
    <w:rsid w:val="003200F7"/>
    <w:rsid w:val="003201D1"/>
    <w:rsid w:val="003213F0"/>
    <w:rsid w:val="0032169C"/>
    <w:rsid w:val="003217C6"/>
    <w:rsid w:val="00322433"/>
    <w:rsid w:val="003234BD"/>
    <w:rsid w:val="00323A38"/>
    <w:rsid w:val="0032436C"/>
    <w:rsid w:val="003244A6"/>
    <w:rsid w:val="0032608D"/>
    <w:rsid w:val="00326781"/>
    <w:rsid w:val="00326D15"/>
    <w:rsid w:val="00326F16"/>
    <w:rsid w:val="00327014"/>
    <w:rsid w:val="00327253"/>
    <w:rsid w:val="00327276"/>
    <w:rsid w:val="00327402"/>
    <w:rsid w:val="00327C30"/>
    <w:rsid w:val="00330497"/>
    <w:rsid w:val="0033073C"/>
    <w:rsid w:val="003307F0"/>
    <w:rsid w:val="003309C3"/>
    <w:rsid w:val="00331407"/>
    <w:rsid w:val="003314E9"/>
    <w:rsid w:val="003316C6"/>
    <w:rsid w:val="00331A54"/>
    <w:rsid w:val="00332D6C"/>
    <w:rsid w:val="00332FC5"/>
    <w:rsid w:val="0033300B"/>
    <w:rsid w:val="00333B1F"/>
    <w:rsid w:val="00334199"/>
    <w:rsid w:val="003341DC"/>
    <w:rsid w:val="0033496A"/>
    <w:rsid w:val="00334E4E"/>
    <w:rsid w:val="00334F2C"/>
    <w:rsid w:val="0033582B"/>
    <w:rsid w:val="0033593B"/>
    <w:rsid w:val="00335BF8"/>
    <w:rsid w:val="00335D7C"/>
    <w:rsid w:val="00335F8F"/>
    <w:rsid w:val="00336063"/>
    <w:rsid w:val="003360C7"/>
    <w:rsid w:val="003368C1"/>
    <w:rsid w:val="003369AB"/>
    <w:rsid w:val="00336C77"/>
    <w:rsid w:val="00336EA7"/>
    <w:rsid w:val="0033765B"/>
    <w:rsid w:val="003405D1"/>
    <w:rsid w:val="003408A1"/>
    <w:rsid w:val="0034123D"/>
    <w:rsid w:val="00341A48"/>
    <w:rsid w:val="00342387"/>
    <w:rsid w:val="003426CE"/>
    <w:rsid w:val="00342BED"/>
    <w:rsid w:val="00342C3F"/>
    <w:rsid w:val="00343499"/>
    <w:rsid w:val="003435B8"/>
    <w:rsid w:val="00343BBB"/>
    <w:rsid w:val="00343C7E"/>
    <w:rsid w:val="00343E7A"/>
    <w:rsid w:val="00343F0C"/>
    <w:rsid w:val="003441F2"/>
    <w:rsid w:val="003443C8"/>
    <w:rsid w:val="00344508"/>
    <w:rsid w:val="00344687"/>
    <w:rsid w:val="00344C46"/>
    <w:rsid w:val="00344C67"/>
    <w:rsid w:val="00344E5A"/>
    <w:rsid w:val="00346996"/>
    <w:rsid w:val="00346A97"/>
    <w:rsid w:val="00346B78"/>
    <w:rsid w:val="00347311"/>
    <w:rsid w:val="0034765F"/>
    <w:rsid w:val="00350164"/>
    <w:rsid w:val="003502B1"/>
    <w:rsid w:val="00350635"/>
    <w:rsid w:val="00350E6E"/>
    <w:rsid w:val="00351845"/>
    <w:rsid w:val="003518B9"/>
    <w:rsid w:val="00351C8A"/>
    <w:rsid w:val="00352417"/>
    <w:rsid w:val="003529D0"/>
    <w:rsid w:val="00352EF6"/>
    <w:rsid w:val="00352FE8"/>
    <w:rsid w:val="00353C52"/>
    <w:rsid w:val="00353EEA"/>
    <w:rsid w:val="00353F08"/>
    <w:rsid w:val="0035429D"/>
    <w:rsid w:val="00354452"/>
    <w:rsid w:val="00355D03"/>
    <w:rsid w:val="00355D0F"/>
    <w:rsid w:val="00356193"/>
    <w:rsid w:val="0035732A"/>
    <w:rsid w:val="003576DB"/>
    <w:rsid w:val="00360774"/>
    <w:rsid w:val="00360BF0"/>
    <w:rsid w:val="0036160E"/>
    <w:rsid w:val="00361E4F"/>
    <w:rsid w:val="003624BB"/>
    <w:rsid w:val="003635AA"/>
    <w:rsid w:val="0036391D"/>
    <w:rsid w:val="003642E1"/>
    <w:rsid w:val="00364664"/>
    <w:rsid w:val="003649E8"/>
    <w:rsid w:val="00364A1B"/>
    <w:rsid w:val="00364D19"/>
    <w:rsid w:val="00365520"/>
    <w:rsid w:val="0036557F"/>
    <w:rsid w:val="0036573E"/>
    <w:rsid w:val="00366314"/>
    <w:rsid w:val="0036638B"/>
    <w:rsid w:val="00366452"/>
    <w:rsid w:val="0036675F"/>
    <w:rsid w:val="00366D9E"/>
    <w:rsid w:val="00366FAE"/>
    <w:rsid w:val="00366FC7"/>
    <w:rsid w:val="00367606"/>
    <w:rsid w:val="00367839"/>
    <w:rsid w:val="00370AE8"/>
    <w:rsid w:val="00370EEC"/>
    <w:rsid w:val="00371448"/>
    <w:rsid w:val="00371BFA"/>
    <w:rsid w:val="00372231"/>
    <w:rsid w:val="003726F1"/>
    <w:rsid w:val="00372AC5"/>
    <w:rsid w:val="00372C13"/>
    <w:rsid w:val="0037445C"/>
    <w:rsid w:val="00374637"/>
    <w:rsid w:val="00375BBC"/>
    <w:rsid w:val="00376519"/>
    <w:rsid w:val="00376B93"/>
    <w:rsid w:val="00376D14"/>
    <w:rsid w:val="00376E87"/>
    <w:rsid w:val="00377338"/>
    <w:rsid w:val="00377891"/>
    <w:rsid w:val="00377CB7"/>
    <w:rsid w:val="00377EFC"/>
    <w:rsid w:val="003805A0"/>
    <w:rsid w:val="00381153"/>
    <w:rsid w:val="003813FA"/>
    <w:rsid w:val="00381448"/>
    <w:rsid w:val="003819A6"/>
    <w:rsid w:val="00381CEC"/>
    <w:rsid w:val="00381F16"/>
    <w:rsid w:val="00381FEA"/>
    <w:rsid w:val="00382115"/>
    <w:rsid w:val="00382C58"/>
    <w:rsid w:val="003831A7"/>
    <w:rsid w:val="0038359E"/>
    <w:rsid w:val="003835CE"/>
    <w:rsid w:val="00383A4B"/>
    <w:rsid w:val="00383C5D"/>
    <w:rsid w:val="00384A7D"/>
    <w:rsid w:val="00384D1A"/>
    <w:rsid w:val="00384F65"/>
    <w:rsid w:val="00384FC7"/>
    <w:rsid w:val="0038508C"/>
    <w:rsid w:val="00385343"/>
    <w:rsid w:val="0038590D"/>
    <w:rsid w:val="0038596B"/>
    <w:rsid w:val="0038652E"/>
    <w:rsid w:val="003865AB"/>
    <w:rsid w:val="00386D07"/>
    <w:rsid w:val="00387288"/>
    <w:rsid w:val="00387360"/>
    <w:rsid w:val="003878A4"/>
    <w:rsid w:val="00387B49"/>
    <w:rsid w:val="00387EDF"/>
    <w:rsid w:val="0039089B"/>
    <w:rsid w:val="00391455"/>
    <w:rsid w:val="003914DE"/>
    <w:rsid w:val="0039190F"/>
    <w:rsid w:val="00391CEF"/>
    <w:rsid w:val="00392041"/>
    <w:rsid w:val="003922A2"/>
    <w:rsid w:val="00393BA8"/>
    <w:rsid w:val="00393DE2"/>
    <w:rsid w:val="00393F32"/>
    <w:rsid w:val="00393F99"/>
    <w:rsid w:val="00394865"/>
    <w:rsid w:val="003948BD"/>
    <w:rsid w:val="00394E02"/>
    <w:rsid w:val="00395053"/>
    <w:rsid w:val="003955BD"/>
    <w:rsid w:val="0039570B"/>
    <w:rsid w:val="00395FEF"/>
    <w:rsid w:val="003961F9"/>
    <w:rsid w:val="00396232"/>
    <w:rsid w:val="00396570"/>
    <w:rsid w:val="00396584"/>
    <w:rsid w:val="003967AF"/>
    <w:rsid w:val="003972BD"/>
    <w:rsid w:val="0039744C"/>
    <w:rsid w:val="003976F3"/>
    <w:rsid w:val="003979CA"/>
    <w:rsid w:val="00397A4F"/>
    <w:rsid w:val="00397B26"/>
    <w:rsid w:val="00397E43"/>
    <w:rsid w:val="003A03B9"/>
    <w:rsid w:val="003A0D61"/>
    <w:rsid w:val="003A1164"/>
    <w:rsid w:val="003A13EF"/>
    <w:rsid w:val="003A13F7"/>
    <w:rsid w:val="003A22A4"/>
    <w:rsid w:val="003A2AE0"/>
    <w:rsid w:val="003A2B50"/>
    <w:rsid w:val="003A2EC9"/>
    <w:rsid w:val="003A2F6E"/>
    <w:rsid w:val="003A33A5"/>
    <w:rsid w:val="003A3972"/>
    <w:rsid w:val="003A40F3"/>
    <w:rsid w:val="003A4279"/>
    <w:rsid w:val="003A45F6"/>
    <w:rsid w:val="003A4BBB"/>
    <w:rsid w:val="003A5123"/>
    <w:rsid w:val="003A556A"/>
    <w:rsid w:val="003A5BCC"/>
    <w:rsid w:val="003A66EC"/>
    <w:rsid w:val="003A72E3"/>
    <w:rsid w:val="003A7874"/>
    <w:rsid w:val="003A79E7"/>
    <w:rsid w:val="003B072A"/>
    <w:rsid w:val="003B08B8"/>
    <w:rsid w:val="003B10F2"/>
    <w:rsid w:val="003B11C2"/>
    <w:rsid w:val="003B1502"/>
    <w:rsid w:val="003B195B"/>
    <w:rsid w:val="003B1DA7"/>
    <w:rsid w:val="003B20DF"/>
    <w:rsid w:val="003B253A"/>
    <w:rsid w:val="003B35F5"/>
    <w:rsid w:val="003B3639"/>
    <w:rsid w:val="003B3F87"/>
    <w:rsid w:val="003B4260"/>
    <w:rsid w:val="003B4981"/>
    <w:rsid w:val="003B4ED1"/>
    <w:rsid w:val="003B5C74"/>
    <w:rsid w:val="003B6192"/>
    <w:rsid w:val="003B6230"/>
    <w:rsid w:val="003B6284"/>
    <w:rsid w:val="003B66D5"/>
    <w:rsid w:val="003B6A6D"/>
    <w:rsid w:val="003B6ED5"/>
    <w:rsid w:val="003B6F11"/>
    <w:rsid w:val="003B7213"/>
    <w:rsid w:val="003B774E"/>
    <w:rsid w:val="003B79E6"/>
    <w:rsid w:val="003B7A9D"/>
    <w:rsid w:val="003B7D91"/>
    <w:rsid w:val="003B7E45"/>
    <w:rsid w:val="003C035E"/>
    <w:rsid w:val="003C0AD2"/>
    <w:rsid w:val="003C0B95"/>
    <w:rsid w:val="003C12B3"/>
    <w:rsid w:val="003C141E"/>
    <w:rsid w:val="003C189F"/>
    <w:rsid w:val="003C27E4"/>
    <w:rsid w:val="003C27EB"/>
    <w:rsid w:val="003C2903"/>
    <w:rsid w:val="003C292A"/>
    <w:rsid w:val="003C2CE0"/>
    <w:rsid w:val="003C3087"/>
    <w:rsid w:val="003C385F"/>
    <w:rsid w:val="003C497D"/>
    <w:rsid w:val="003C4A35"/>
    <w:rsid w:val="003C539A"/>
    <w:rsid w:val="003C5E12"/>
    <w:rsid w:val="003C5F85"/>
    <w:rsid w:val="003C6702"/>
    <w:rsid w:val="003C6755"/>
    <w:rsid w:val="003C71B4"/>
    <w:rsid w:val="003C7403"/>
    <w:rsid w:val="003C749F"/>
    <w:rsid w:val="003C752D"/>
    <w:rsid w:val="003C7707"/>
    <w:rsid w:val="003C7849"/>
    <w:rsid w:val="003C7C33"/>
    <w:rsid w:val="003C7DA9"/>
    <w:rsid w:val="003D0B63"/>
    <w:rsid w:val="003D1215"/>
    <w:rsid w:val="003D1411"/>
    <w:rsid w:val="003D151A"/>
    <w:rsid w:val="003D189E"/>
    <w:rsid w:val="003D2558"/>
    <w:rsid w:val="003D2624"/>
    <w:rsid w:val="003D35BB"/>
    <w:rsid w:val="003D3A58"/>
    <w:rsid w:val="003D3E3C"/>
    <w:rsid w:val="003D3F12"/>
    <w:rsid w:val="003D4101"/>
    <w:rsid w:val="003D45A4"/>
    <w:rsid w:val="003D556F"/>
    <w:rsid w:val="003D5972"/>
    <w:rsid w:val="003D59DB"/>
    <w:rsid w:val="003D5C3D"/>
    <w:rsid w:val="003D60BD"/>
    <w:rsid w:val="003D644B"/>
    <w:rsid w:val="003D6B89"/>
    <w:rsid w:val="003D6FD6"/>
    <w:rsid w:val="003D7BEF"/>
    <w:rsid w:val="003D7DD8"/>
    <w:rsid w:val="003E0057"/>
    <w:rsid w:val="003E01BA"/>
    <w:rsid w:val="003E1244"/>
    <w:rsid w:val="003E1419"/>
    <w:rsid w:val="003E153C"/>
    <w:rsid w:val="003E1784"/>
    <w:rsid w:val="003E1F76"/>
    <w:rsid w:val="003E1FA8"/>
    <w:rsid w:val="003E23F3"/>
    <w:rsid w:val="003E2437"/>
    <w:rsid w:val="003E2BE2"/>
    <w:rsid w:val="003E2C9B"/>
    <w:rsid w:val="003E31D6"/>
    <w:rsid w:val="003E3979"/>
    <w:rsid w:val="003E4478"/>
    <w:rsid w:val="003E4802"/>
    <w:rsid w:val="003E4FF9"/>
    <w:rsid w:val="003E58FE"/>
    <w:rsid w:val="003E67CC"/>
    <w:rsid w:val="003E67F0"/>
    <w:rsid w:val="003E6B38"/>
    <w:rsid w:val="003E6C9A"/>
    <w:rsid w:val="003E7576"/>
    <w:rsid w:val="003E7707"/>
    <w:rsid w:val="003F0422"/>
    <w:rsid w:val="003F0D85"/>
    <w:rsid w:val="003F0F86"/>
    <w:rsid w:val="003F12EE"/>
    <w:rsid w:val="003F18F7"/>
    <w:rsid w:val="003F1FD4"/>
    <w:rsid w:val="003F1FEA"/>
    <w:rsid w:val="003F2825"/>
    <w:rsid w:val="003F2C67"/>
    <w:rsid w:val="003F3ACC"/>
    <w:rsid w:val="003F3D63"/>
    <w:rsid w:val="003F3DB2"/>
    <w:rsid w:val="003F453C"/>
    <w:rsid w:val="003F48B6"/>
    <w:rsid w:val="003F4C9F"/>
    <w:rsid w:val="003F5902"/>
    <w:rsid w:val="003F593B"/>
    <w:rsid w:val="003F64A3"/>
    <w:rsid w:val="003F6EF8"/>
    <w:rsid w:val="003F7265"/>
    <w:rsid w:val="003F7E83"/>
    <w:rsid w:val="00400298"/>
    <w:rsid w:val="0040046E"/>
    <w:rsid w:val="0040048C"/>
    <w:rsid w:val="004006AB"/>
    <w:rsid w:val="0040073E"/>
    <w:rsid w:val="00400A53"/>
    <w:rsid w:val="00401175"/>
    <w:rsid w:val="004013AE"/>
    <w:rsid w:val="0040159A"/>
    <w:rsid w:val="00401630"/>
    <w:rsid w:val="00401663"/>
    <w:rsid w:val="0040205E"/>
    <w:rsid w:val="0040207A"/>
    <w:rsid w:val="004025EA"/>
    <w:rsid w:val="00402A16"/>
    <w:rsid w:val="00402A4C"/>
    <w:rsid w:val="00402C47"/>
    <w:rsid w:val="00402DA2"/>
    <w:rsid w:val="00402E18"/>
    <w:rsid w:val="00404756"/>
    <w:rsid w:val="0040592B"/>
    <w:rsid w:val="0040599A"/>
    <w:rsid w:val="004065EB"/>
    <w:rsid w:val="00406B9E"/>
    <w:rsid w:val="0040719B"/>
    <w:rsid w:val="00407235"/>
    <w:rsid w:val="00407D2E"/>
    <w:rsid w:val="004102F5"/>
    <w:rsid w:val="004107A2"/>
    <w:rsid w:val="00410D59"/>
    <w:rsid w:val="00410FC0"/>
    <w:rsid w:val="0041132D"/>
    <w:rsid w:val="00411619"/>
    <w:rsid w:val="00411A1A"/>
    <w:rsid w:val="004121AE"/>
    <w:rsid w:val="004123D0"/>
    <w:rsid w:val="00412BE5"/>
    <w:rsid w:val="004134EC"/>
    <w:rsid w:val="00413631"/>
    <w:rsid w:val="00413678"/>
    <w:rsid w:val="00413E14"/>
    <w:rsid w:val="00416396"/>
    <w:rsid w:val="0041699E"/>
    <w:rsid w:val="00416C13"/>
    <w:rsid w:val="00417859"/>
    <w:rsid w:val="004204B7"/>
    <w:rsid w:val="004212CA"/>
    <w:rsid w:val="00421495"/>
    <w:rsid w:val="0042198D"/>
    <w:rsid w:val="00421AE1"/>
    <w:rsid w:val="00421BF0"/>
    <w:rsid w:val="00421CC3"/>
    <w:rsid w:val="00421D18"/>
    <w:rsid w:val="00421F24"/>
    <w:rsid w:val="00422104"/>
    <w:rsid w:val="0042296C"/>
    <w:rsid w:val="004229A8"/>
    <w:rsid w:val="00423624"/>
    <w:rsid w:val="00423A1A"/>
    <w:rsid w:val="00424715"/>
    <w:rsid w:val="00424D6D"/>
    <w:rsid w:val="004254F5"/>
    <w:rsid w:val="00425DFA"/>
    <w:rsid w:val="00425F9D"/>
    <w:rsid w:val="0042630F"/>
    <w:rsid w:val="004269C9"/>
    <w:rsid w:val="00426F8B"/>
    <w:rsid w:val="0042724C"/>
    <w:rsid w:val="00427E99"/>
    <w:rsid w:val="00430342"/>
    <w:rsid w:val="00430808"/>
    <w:rsid w:val="00430A87"/>
    <w:rsid w:val="00430F99"/>
    <w:rsid w:val="00431D6A"/>
    <w:rsid w:val="0043297E"/>
    <w:rsid w:val="00432B16"/>
    <w:rsid w:val="00433A7D"/>
    <w:rsid w:val="00433F1A"/>
    <w:rsid w:val="00434074"/>
    <w:rsid w:val="00434497"/>
    <w:rsid w:val="004353DF"/>
    <w:rsid w:val="00435413"/>
    <w:rsid w:val="0043647E"/>
    <w:rsid w:val="00436542"/>
    <w:rsid w:val="004365D3"/>
    <w:rsid w:val="0043663F"/>
    <w:rsid w:val="004375EF"/>
    <w:rsid w:val="00437A8B"/>
    <w:rsid w:val="00437AAB"/>
    <w:rsid w:val="00437C38"/>
    <w:rsid w:val="00440B2B"/>
    <w:rsid w:val="00441583"/>
    <w:rsid w:val="004416D6"/>
    <w:rsid w:val="00441E57"/>
    <w:rsid w:val="00441F28"/>
    <w:rsid w:val="004420BD"/>
    <w:rsid w:val="00442789"/>
    <w:rsid w:val="00442799"/>
    <w:rsid w:val="0044287D"/>
    <w:rsid w:val="00442ECC"/>
    <w:rsid w:val="00442FCB"/>
    <w:rsid w:val="004434C6"/>
    <w:rsid w:val="00443CAA"/>
    <w:rsid w:val="00443D0F"/>
    <w:rsid w:val="00444F89"/>
    <w:rsid w:val="0044561B"/>
    <w:rsid w:val="00445DF4"/>
    <w:rsid w:val="00445EB4"/>
    <w:rsid w:val="00445F85"/>
    <w:rsid w:val="004461A2"/>
    <w:rsid w:val="00446320"/>
    <w:rsid w:val="004464EF"/>
    <w:rsid w:val="0044670C"/>
    <w:rsid w:val="004467F0"/>
    <w:rsid w:val="00446892"/>
    <w:rsid w:val="00446F20"/>
    <w:rsid w:val="004472EA"/>
    <w:rsid w:val="004477D2"/>
    <w:rsid w:val="004478EB"/>
    <w:rsid w:val="00447C78"/>
    <w:rsid w:val="00447CBC"/>
    <w:rsid w:val="00450233"/>
    <w:rsid w:val="004502A7"/>
    <w:rsid w:val="004504E8"/>
    <w:rsid w:val="00450AA9"/>
    <w:rsid w:val="00451C39"/>
    <w:rsid w:val="00451D97"/>
    <w:rsid w:val="004528D6"/>
    <w:rsid w:val="00452ADD"/>
    <w:rsid w:val="00453206"/>
    <w:rsid w:val="00453313"/>
    <w:rsid w:val="00453612"/>
    <w:rsid w:val="004536FA"/>
    <w:rsid w:val="00453AFA"/>
    <w:rsid w:val="00454092"/>
    <w:rsid w:val="004542A8"/>
    <w:rsid w:val="00454C31"/>
    <w:rsid w:val="00454EBF"/>
    <w:rsid w:val="0045519A"/>
    <w:rsid w:val="00455CAE"/>
    <w:rsid w:val="00455D6D"/>
    <w:rsid w:val="00455DDC"/>
    <w:rsid w:val="0045742A"/>
    <w:rsid w:val="004576F5"/>
    <w:rsid w:val="00460015"/>
    <w:rsid w:val="004607BE"/>
    <w:rsid w:val="00460A26"/>
    <w:rsid w:val="00460D97"/>
    <w:rsid w:val="00461FB2"/>
    <w:rsid w:val="00462402"/>
    <w:rsid w:val="00462A09"/>
    <w:rsid w:val="00462D96"/>
    <w:rsid w:val="00463365"/>
    <w:rsid w:val="00463B6F"/>
    <w:rsid w:val="00464F22"/>
    <w:rsid w:val="00465095"/>
    <w:rsid w:val="00465472"/>
    <w:rsid w:val="004657A3"/>
    <w:rsid w:val="00465900"/>
    <w:rsid w:val="00465D14"/>
    <w:rsid w:val="00465EA8"/>
    <w:rsid w:val="00466467"/>
    <w:rsid w:val="00466BD6"/>
    <w:rsid w:val="00466F14"/>
    <w:rsid w:val="004677C5"/>
    <w:rsid w:val="004702FB"/>
    <w:rsid w:val="0047053E"/>
    <w:rsid w:val="004705B2"/>
    <w:rsid w:val="004707A1"/>
    <w:rsid w:val="00470E80"/>
    <w:rsid w:val="00471094"/>
    <w:rsid w:val="00471477"/>
    <w:rsid w:val="00471DB8"/>
    <w:rsid w:val="00471E60"/>
    <w:rsid w:val="00471F40"/>
    <w:rsid w:val="004721B7"/>
    <w:rsid w:val="004728A4"/>
    <w:rsid w:val="00472B02"/>
    <w:rsid w:val="004737F1"/>
    <w:rsid w:val="00473928"/>
    <w:rsid w:val="00473B14"/>
    <w:rsid w:val="00473F58"/>
    <w:rsid w:val="00474256"/>
    <w:rsid w:val="00474DA3"/>
    <w:rsid w:val="00474F16"/>
    <w:rsid w:val="00474FDA"/>
    <w:rsid w:val="00476BD9"/>
    <w:rsid w:val="00476E9F"/>
    <w:rsid w:val="00477E59"/>
    <w:rsid w:val="004801A3"/>
    <w:rsid w:val="004804A5"/>
    <w:rsid w:val="00480C30"/>
    <w:rsid w:val="00480FD0"/>
    <w:rsid w:val="0048196C"/>
    <w:rsid w:val="00481C93"/>
    <w:rsid w:val="0048201C"/>
    <w:rsid w:val="0048258B"/>
    <w:rsid w:val="004826DF"/>
    <w:rsid w:val="00482CDD"/>
    <w:rsid w:val="00482E47"/>
    <w:rsid w:val="00483018"/>
    <w:rsid w:val="004836D3"/>
    <w:rsid w:val="00483AE6"/>
    <w:rsid w:val="00483F81"/>
    <w:rsid w:val="004843F6"/>
    <w:rsid w:val="004846E9"/>
    <w:rsid w:val="00485074"/>
    <w:rsid w:val="00485638"/>
    <w:rsid w:val="0048579B"/>
    <w:rsid w:val="004864A5"/>
    <w:rsid w:val="0048652D"/>
    <w:rsid w:val="00486BDA"/>
    <w:rsid w:val="00486DAC"/>
    <w:rsid w:val="004870C6"/>
    <w:rsid w:val="0048727F"/>
    <w:rsid w:val="00487A2B"/>
    <w:rsid w:val="00490B0A"/>
    <w:rsid w:val="0049153A"/>
    <w:rsid w:val="004919D4"/>
    <w:rsid w:val="00491CB0"/>
    <w:rsid w:val="00491D5E"/>
    <w:rsid w:val="00491E43"/>
    <w:rsid w:val="0049247B"/>
    <w:rsid w:val="00493124"/>
    <w:rsid w:val="00493194"/>
    <w:rsid w:val="00493332"/>
    <w:rsid w:val="00493BC6"/>
    <w:rsid w:val="00494051"/>
    <w:rsid w:val="0049527F"/>
    <w:rsid w:val="00495FE9"/>
    <w:rsid w:val="00496D4E"/>
    <w:rsid w:val="00496DFD"/>
    <w:rsid w:val="00497176"/>
    <w:rsid w:val="004971FA"/>
    <w:rsid w:val="0049729D"/>
    <w:rsid w:val="00497D43"/>
    <w:rsid w:val="004A0144"/>
    <w:rsid w:val="004A03DB"/>
    <w:rsid w:val="004A060E"/>
    <w:rsid w:val="004A0D9B"/>
    <w:rsid w:val="004A0DCC"/>
    <w:rsid w:val="004A1D10"/>
    <w:rsid w:val="004A21C2"/>
    <w:rsid w:val="004A221E"/>
    <w:rsid w:val="004A3168"/>
    <w:rsid w:val="004A34E5"/>
    <w:rsid w:val="004A4417"/>
    <w:rsid w:val="004A4619"/>
    <w:rsid w:val="004A4C58"/>
    <w:rsid w:val="004A4E31"/>
    <w:rsid w:val="004A619E"/>
    <w:rsid w:val="004A652F"/>
    <w:rsid w:val="004A71FE"/>
    <w:rsid w:val="004A76C9"/>
    <w:rsid w:val="004A778B"/>
    <w:rsid w:val="004A7B0B"/>
    <w:rsid w:val="004A7C17"/>
    <w:rsid w:val="004B08A9"/>
    <w:rsid w:val="004B13E5"/>
    <w:rsid w:val="004B1716"/>
    <w:rsid w:val="004B178F"/>
    <w:rsid w:val="004B1A6F"/>
    <w:rsid w:val="004B26F6"/>
    <w:rsid w:val="004B2D9D"/>
    <w:rsid w:val="004B2F2A"/>
    <w:rsid w:val="004B4555"/>
    <w:rsid w:val="004B4CA9"/>
    <w:rsid w:val="004B556C"/>
    <w:rsid w:val="004B557A"/>
    <w:rsid w:val="004B61F2"/>
    <w:rsid w:val="004B70A3"/>
    <w:rsid w:val="004B70D0"/>
    <w:rsid w:val="004B7358"/>
    <w:rsid w:val="004B7424"/>
    <w:rsid w:val="004B78DE"/>
    <w:rsid w:val="004C0410"/>
    <w:rsid w:val="004C169C"/>
    <w:rsid w:val="004C1F7F"/>
    <w:rsid w:val="004C270E"/>
    <w:rsid w:val="004C2E56"/>
    <w:rsid w:val="004C3157"/>
    <w:rsid w:val="004C3914"/>
    <w:rsid w:val="004C3F52"/>
    <w:rsid w:val="004C4102"/>
    <w:rsid w:val="004C43F0"/>
    <w:rsid w:val="004C43FF"/>
    <w:rsid w:val="004C4ABC"/>
    <w:rsid w:val="004C5241"/>
    <w:rsid w:val="004C573E"/>
    <w:rsid w:val="004C5A15"/>
    <w:rsid w:val="004C5C08"/>
    <w:rsid w:val="004C6729"/>
    <w:rsid w:val="004C6C0D"/>
    <w:rsid w:val="004C6C77"/>
    <w:rsid w:val="004C7470"/>
    <w:rsid w:val="004C751E"/>
    <w:rsid w:val="004C75D8"/>
    <w:rsid w:val="004C77F6"/>
    <w:rsid w:val="004C79C3"/>
    <w:rsid w:val="004C7F7C"/>
    <w:rsid w:val="004D012A"/>
    <w:rsid w:val="004D037A"/>
    <w:rsid w:val="004D0678"/>
    <w:rsid w:val="004D0778"/>
    <w:rsid w:val="004D0989"/>
    <w:rsid w:val="004D0C9E"/>
    <w:rsid w:val="004D0CE8"/>
    <w:rsid w:val="004D0D25"/>
    <w:rsid w:val="004D0E33"/>
    <w:rsid w:val="004D0FE2"/>
    <w:rsid w:val="004D1390"/>
    <w:rsid w:val="004D1AF0"/>
    <w:rsid w:val="004D1EBD"/>
    <w:rsid w:val="004D2B8B"/>
    <w:rsid w:val="004D340C"/>
    <w:rsid w:val="004D3542"/>
    <w:rsid w:val="004D365A"/>
    <w:rsid w:val="004D3995"/>
    <w:rsid w:val="004D3D2B"/>
    <w:rsid w:val="004D401C"/>
    <w:rsid w:val="004D4FDA"/>
    <w:rsid w:val="004D509A"/>
    <w:rsid w:val="004D5773"/>
    <w:rsid w:val="004D5D40"/>
    <w:rsid w:val="004D5D5B"/>
    <w:rsid w:val="004D6EA2"/>
    <w:rsid w:val="004D7211"/>
    <w:rsid w:val="004D7989"/>
    <w:rsid w:val="004D7F8B"/>
    <w:rsid w:val="004E0603"/>
    <w:rsid w:val="004E0E7E"/>
    <w:rsid w:val="004E1336"/>
    <w:rsid w:val="004E157B"/>
    <w:rsid w:val="004E159E"/>
    <w:rsid w:val="004E1CB5"/>
    <w:rsid w:val="004E1E77"/>
    <w:rsid w:val="004E2696"/>
    <w:rsid w:val="004E26A6"/>
    <w:rsid w:val="004E2C91"/>
    <w:rsid w:val="004E3767"/>
    <w:rsid w:val="004E3F07"/>
    <w:rsid w:val="004E445A"/>
    <w:rsid w:val="004E45FE"/>
    <w:rsid w:val="004E461C"/>
    <w:rsid w:val="004E4728"/>
    <w:rsid w:val="004E4B90"/>
    <w:rsid w:val="004E5033"/>
    <w:rsid w:val="004E5269"/>
    <w:rsid w:val="004E55CE"/>
    <w:rsid w:val="004E5943"/>
    <w:rsid w:val="004E6611"/>
    <w:rsid w:val="004E66B8"/>
    <w:rsid w:val="004E6738"/>
    <w:rsid w:val="004E6DC3"/>
    <w:rsid w:val="004E7CA5"/>
    <w:rsid w:val="004E7E2C"/>
    <w:rsid w:val="004F027A"/>
    <w:rsid w:val="004F156D"/>
    <w:rsid w:val="004F247D"/>
    <w:rsid w:val="004F3A63"/>
    <w:rsid w:val="004F40D5"/>
    <w:rsid w:val="004F428C"/>
    <w:rsid w:val="004F42D5"/>
    <w:rsid w:val="004F45F2"/>
    <w:rsid w:val="004F46FD"/>
    <w:rsid w:val="004F4FDC"/>
    <w:rsid w:val="004F55B5"/>
    <w:rsid w:val="004F5837"/>
    <w:rsid w:val="004F5BF9"/>
    <w:rsid w:val="004F5E76"/>
    <w:rsid w:val="004F5EDB"/>
    <w:rsid w:val="004F6105"/>
    <w:rsid w:val="004F6C7C"/>
    <w:rsid w:val="004F6F0B"/>
    <w:rsid w:val="004F7BCF"/>
    <w:rsid w:val="004F7E14"/>
    <w:rsid w:val="004F7E94"/>
    <w:rsid w:val="0050020A"/>
    <w:rsid w:val="005004BA"/>
    <w:rsid w:val="00500BA1"/>
    <w:rsid w:val="00501311"/>
    <w:rsid w:val="0050144B"/>
    <w:rsid w:val="00501771"/>
    <w:rsid w:val="00501945"/>
    <w:rsid w:val="005024C6"/>
    <w:rsid w:val="00502600"/>
    <w:rsid w:val="0050265C"/>
    <w:rsid w:val="005026C1"/>
    <w:rsid w:val="00502E92"/>
    <w:rsid w:val="005031F2"/>
    <w:rsid w:val="0050329A"/>
    <w:rsid w:val="005032F6"/>
    <w:rsid w:val="00503712"/>
    <w:rsid w:val="005043A1"/>
    <w:rsid w:val="0050440A"/>
    <w:rsid w:val="00504A44"/>
    <w:rsid w:val="00504C7C"/>
    <w:rsid w:val="00504E09"/>
    <w:rsid w:val="00504F98"/>
    <w:rsid w:val="00505133"/>
    <w:rsid w:val="00505194"/>
    <w:rsid w:val="0050519E"/>
    <w:rsid w:val="005053D5"/>
    <w:rsid w:val="005054AE"/>
    <w:rsid w:val="00505602"/>
    <w:rsid w:val="00506B4E"/>
    <w:rsid w:val="00507529"/>
    <w:rsid w:val="00507839"/>
    <w:rsid w:val="00507B14"/>
    <w:rsid w:val="00510512"/>
    <w:rsid w:val="00510E72"/>
    <w:rsid w:val="005117E9"/>
    <w:rsid w:val="00511CA8"/>
    <w:rsid w:val="00512410"/>
    <w:rsid w:val="005128D7"/>
    <w:rsid w:val="0051299B"/>
    <w:rsid w:val="00512B58"/>
    <w:rsid w:val="00512D77"/>
    <w:rsid w:val="00513780"/>
    <w:rsid w:val="00514971"/>
    <w:rsid w:val="00514CAD"/>
    <w:rsid w:val="00514D0A"/>
    <w:rsid w:val="00514E93"/>
    <w:rsid w:val="0051624C"/>
    <w:rsid w:val="00516359"/>
    <w:rsid w:val="0051642D"/>
    <w:rsid w:val="00516805"/>
    <w:rsid w:val="00516C18"/>
    <w:rsid w:val="00516D7F"/>
    <w:rsid w:val="005175EF"/>
    <w:rsid w:val="00517920"/>
    <w:rsid w:val="005200B9"/>
    <w:rsid w:val="00520149"/>
    <w:rsid w:val="005204C7"/>
    <w:rsid w:val="005209D3"/>
    <w:rsid w:val="00520AA5"/>
    <w:rsid w:val="005218D9"/>
    <w:rsid w:val="00521960"/>
    <w:rsid w:val="00521C7E"/>
    <w:rsid w:val="0052292E"/>
    <w:rsid w:val="00522C2A"/>
    <w:rsid w:val="005234AD"/>
    <w:rsid w:val="0052354E"/>
    <w:rsid w:val="00523748"/>
    <w:rsid w:val="00523963"/>
    <w:rsid w:val="005239F0"/>
    <w:rsid w:val="00523D5C"/>
    <w:rsid w:val="00523E25"/>
    <w:rsid w:val="005241DB"/>
    <w:rsid w:val="00524951"/>
    <w:rsid w:val="00524B0A"/>
    <w:rsid w:val="00524BFB"/>
    <w:rsid w:val="005253AE"/>
    <w:rsid w:val="005255CD"/>
    <w:rsid w:val="0052576B"/>
    <w:rsid w:val="00525C5E"/>
    <w:rsid w:val="0052632D"/>
    <w:rsid w:val="0052651F"/>
    <w:rsid w:val="005267E4"/>
    <w:rsid w:val="00526A06"/>
    <w:rsid w:val="00526CFB"/>
    <w:rsid w:val="00527318"/>
    <w:rsid w:val="005277DE"/>
    <w:rsid w:val="00527FC9"/>
    <w:rsid w:val="00530017"/>
    <w:rsid w:val="00530054"/>
    <w:rsid w:val="00530934"/>
    <w:rsid w:val="00530A7B"/>
    <w:rsid w:val="00531F4B"/>
    <w:rsid w:val="00532479"/>
    <w:rsid w:val="005324ED"/>
    <w:rsid w:val="0053287F"/>
    <w:rsid w:val="00534DAD"/>
    <w:rsid w:val="0053555A"/>
    <w:rsid w:val="0053579A"/>
    <w:rsid w:val="00535CE6"/>
    <w:rsid w:val="00535D48"/>
    <w:rsid w:val="00535DA5"/>
    <w:rsid w:val="00536091"/>
    <w:rsid w:val="005368CF"/>
    <w:rsid w:val="00536AC9"/>
    <w:rsid w:val="00536E8E"/>
    <w:rsid w:val="00537D2D"/>
    <w:rsid w:val="00537DB2"/>
    <w:rsid w:val="00540389"/>
    <w:rsid w:val="00540400"/>
    <w:rsid w:val="00540535"/>
    <w:rsid w:val="0054069B"/>
    <w:rsid w:val="00540BEF"/>
    <w:rsid w:val="0054144D"/>
    <w:rsid w:val="00541471"/>
    <w:rsid w:val="0054185C"/>
    <w:rsid w:val="005418C1"/>
    <w:rsid w:val="00542463"/>
    <w:rsid w:val="00542CB6"/>
    <w:rsid w:val="00542D78"/>
    <w:rsid w:val="00542F7B"/>
    <w:rsid w:val="005431DD"/>
    <w:rsid w:val="005435BF"/>
    <w:rsid w:val="0054429E"/>
    <w:rsid w:val="00545474"/>
    <w:rsid w:val="005455DF"/>
    <w:rsid w:val="00545C88"/>
    <w:rsid w:val="0054743A"/>
    <w:rsid w:val="00547AEE"/>
    <w:rsid w:val="005502E5"/>
    <w:rsid w:val="00550377"/>
    <w:rsid w:val="00550862"/>
    <w:rsid w:val="00550A9B"/>
    <w:rsid w:val="00550C9B"/>
    <w:rsid w:val="00551605"/>
    <w:rsid w:val="005516A6"/>
    <w:rsid w:val="0055170A"/>
    <w:rsid w:val="0055199A"/>
    <w:rsid w:val="00551D04"/>
    <w:rsid w:val="005522DA"/>
    <w:rsid w:val="00552D6F"/>
    <w:rsid w:val="0055319B"/>
    <w:rsid w:val="00553859"/>
    <w:rsid w:val="00553ED8"/>
    <w:rsid w:val="00553FE2"/>
    <w:rsid w:val="0055464A"/>
    <w:rsid w:val="00554B21"/>
    <w:rsid w:val="00554D16"/>
    <w:rsid w:val="00554F9B"/>
    <w:rsid w:val="00554F9E"/>
    <w:rsid w:val="00555A84"/>
    <w:rsid w:val="00555B8A"/>
    <w:rsid w:val="00555C6C"/>
    <w:rsid w:val="00556561"/>
    <w:rsid w:val="00556865"/>
    <w:rsid w:val="005568A3"/>
    <w:rsid w:val="00556D97"/>
    <w:rsid w:val="005579EB"/>
    <w:rsid w:val="00557C37"/>
    <w:rsid w:val="00557E88"/>
    <w:rsid w:val="005603B9"/>
    <w:rsid w:val="005604FA"/>
    <w:rsid w:val="00561375"/>
    <w:rsid w:val="00561691"/>
    <w:rsid w:val="0056176D"/>
    <w:rsid w:val="005617F8"/>
    <w:rsid w:val="0056201E"/>
    <w:rsid w:val="00562370"/>
    <w:rsid w:val="00562724"/>
    <w:rsid w:val="00562CDB"/>
    <w:rsid w:val="005633D9"/>
    <w:rsid w:val="005635CE"/>
    <w:rsid w:val="00564AFF"/>
    <w:rsid w:val="00565074"/>
    <w:rsid w:val="005650FD"/>
    <w:rsid w:val="005656F2"/>
    <w:rsid w:val="00565866"/>
    <w:rsid w:val="005663EB"/>
    <w:rsid w:val="0056664C"/>
    <w:rsid w:val="00566BDE"/>
    <w:rsid w:val="00566EAF"/>
    <w:rsid w:val="005674EA"/>
    <w:rsid w:val="00567B86"/>
    <w:rsid w:val="005702CD"/>
    <w:rsid w:val="00570C47"/>
    <w:rsid w:val="005711B8"/>
    <w:rsid w:val="0057146F"/>
    <w:rsid w:val="005716F8"/>
    <w:rsid w:val="005718DF"/>
    <w:rsid w:val="00571901"/>
    <w:rsid w:val="00571935"/>
    <w:rsid w:val="00571A4D"/>
    <w:rsid w:val="00571C26"/>
    <w:rsid w:val="0057213F"/>
    <w:rsid w:val="00572281"/>
    <w:rsid w:val="00572D75"/>
    <w:rsid w:val="00572F86"/>
    <w:rsid w:val="005745CA"/>
    <w:rsid w:val="00574785"/>
    <w:rsid w:val="00574A28"/>
    <w:rsid w:val="00575803"/>
    <w:rsid w:val="00577125"/>
    <w:rsid w:val="00577206"/>
    <w:rsid w:val="005804A8"/>
    <w:rsid w:val="00580B66"/>
    <w:rsid w:val="00580B99"/>
    <w:rsid w:val="00580CD7"/>
    <w:rsid w:val="005813DB"/>
    <w:rsid w:val="00581716"/>
    <w:rsid w:val="00581967"/>
    <w:rsid w:val="00581D87"/>
    <w:rsid w:val="00582135"/>
    <w:rsid w:val="00583DC2"/>
    <w:rsid w:val="0058430B"/>
    <w:rsid w:val="00584C13"/>
    <w:rsid w:val="00584E35"/>
    <w:rsid w:val="00584F5E"/>
    <w:rsid w:val="005856BA"/>
    <w:rsid w:val="00585D0B"/>
    <w:rsid w:val="00585E44"/>
    <w:rsid w:val="005860D5"/>
    <w:rsid w:val="00586212"/>
    <w:rsid w:val="00586B42"/>
    <w:rsid w:val="00586FEC"/>
    <w:rsid w:val="0058780E"/>
    <w:rsid w:val="0058790C"/>
    <w:rsid w:val="00587E91"/>
    <w:rsid w:val="005900C8"/>
    <w:rsid w:val="005900CC"/>
    <w:rsid w:val="005908AF"/>
    <w:rsid w:val="00590BCF"/>
    <w:rsid w:val="00590FAA"/>
    <w:rsid w:val="005938D6"/>
    <w:rsid w:val="00594052"/>
    <w:rsid w:val="0059411D"/>
    <w:rsid w:val="0059413C"/>
    <w:rsid w:val="005942F4"/>
    <w:rsid w:val="00595AE3"/>
    <w:rsid w:val="00595EE0"/>
    <w:rsid w:val="00595F31"/>
    <w:rsid w:val="0059600B"/>
    <w:rsid w:val="00596D2C"/>
    <w:rsid w:val="00597009"/>
    <w:rsid w:val="005970CE"/>
    <w:rsid w:val="005A02DB"/>
    <w:rsid w:val="005A0803"/>
    <w:rsid w:val="005A09DF"/>
    <w:rsid w:val="005A0AF3"/>
    <w:rsid w:val="005A11C1"/>
    <w:rsid w:val="005A1AA4"/>
    <w:rsid w:val="005A254A"/>
    <w:rsid w:val="005A27C9"/>
    <w:rsid w:val="005A2A73"/>
    <w:rsid w:val="005A3819"/>
    <w:rsid w:val="005A3E2E"/>
    <w:rsid w:val="005A3F59"/>
    <w:rsid w:val="005A44A8"/>
    <w:rsid w:val="005A4529"/>
    <w:rsid w:val="005A4C5D"/>
    <w:rsid w:val="005A51EF"/>
    <w:rsid w:val="005A52E4"/>
    <w:rsid w:val="005A52E6"/>
    <w:rsid w:val="005A5B63"/>
    <w:rsid w:val="005A5E0C"/>
    <w:rsid w:val="005A6985"/>
    <w:rsid w:val="005A75EB"/>
    <w:rsid w:val="005A77B5"/>
    <w:rsid w:val="005A7869"/>
    <w:rsid w:val="005A78BF"/>
    <w:rsid w:val="005B00E1"/>
    <w:rsid w:val="005B0437"/>
    <w:rsid w:val="005B0454"/>
    <w:rsid w:val="005B0E66"/>
    <w:rsid w:val="005B0F2D"/>
    <w:rsid w:val="005B1F5A"/>
    <w:rsid w:val="005B2179"/>
    <w:rsid w:val="005B252C"/>
    <w:rsid w:val="005B27F6"/>
    <w:rsid w:val="005B2DB7"/>
    <w:rsid w:val="005B3B3F"/>
    <w:rsid w:val="005B44D1"/>
    <w:rsid w:val="005B4690"/>
    <w:rsid w:val="005B46FF"/>
    <w:rsid w:val="005B5243"/>
    <w:rsid w:val="005B550B"/>
    <w:rsid w:val="005B56CD"/>
    <w:rsid w:val="005B5E3E"/>
    <w:rsid w:val="005B63C9"/>
    <w:rsid w:val="005B68E5"/>
    <w:rsid w:val="005B697A"/>
    <w:rsid w:val="005B774D"/>
    <w:rsid w:val="005B7A5F"/>
    <w:rsid w:val="005C0085"/>
    <w:rsid w:val="005C0470"/>
    <w:rsid w:val="005C06EA"/>
    <w:rsid w:val="005C0832"/>
    <w:rsid w:val="005C0F97"/>
    <w:rsid w:val="005C119A"/>
    <w:rsid w:val="005C13C8"/>
    <w:rsid w:val="005C17E4"/>
    <w:rsid w:val="005C2337"/>
    <w:rsid w:val="005C318A"/>
    <w:rsid w:val="005C3BC5"/>
    <w:rsid w:val="005C3ED1"/>
    <w:rsid w:val="005C41B1"/>
    <w:rsid w:val="005C4524"/>
    <w:rsid w:val="005C51CB"/>
    <w:rsid w:val="005C5F6F"/>
    <w:rsid w:val="005C6782"/>
    <w:rsid w:val="005C6D26"/>
    <w:rsid w:val="005C7007"/>
    <w:rsid w:val="005C7539"/>
    <w:rsid w:val="005C75BD"/>
    <w:rsid w:val="005C77FE"/>
    <w:rsid w:val="005C7B7A"/>
    <w:rsid w:val="005C7D22"/>
    <w:rsid w:val="005D0412"/>
    <w:rsid w:val="005D14CA"/>
    <w:rsid w:val="005D162E"/>
    <w:rsid w:val="005D16BD"/>
    <w:rsid w:val="005D267A"/>
    <w:rsid w:val="005D3243"/>
    <w:rsid w:val="005D3C37"/>
    <w:rsid w:val="005D4796"/>
    <w:rsid w:val="005D4D2E"/>
    <w:rsid w:val="005D55A5"/>
    <w:rsid w:val="005D5861"/>
    <w:rsid w:val="005D5CAF"/>
    <w:rsid w:val="005D5D6B"/>
    <w:rsid w:val="005D5D96"/>
    <w:rsid w:val="005D602B"/>
    <w:rsid w:val="005D69EF"/>
    <w:rsid w:val="005D6C6F"/>
    <w:rsid w:val="005D7182"/>
    <w:rsid w:val="005D780A"/>
    <w:rsid w:val="005D79DF"/>
    <w:rsid w:val="005D7C15"/>
    <w:rsid w:val="005E0095"/>
    <w:rsid w:val="005E08BB"/>
    <w:rsid w:val="005E0B3E"/>
    <w:rsid w:val="005E0BFE"/>
    <w:rsid w:val="005E0EA9"/>
    <w:rsid w:val="005E1538"/>
    <w:rsid w:val="005E16AC"/>
    <w:rsid w:val="005E2342"/>
    <w:rsid w:val="005E2345"/>
    <w:rsid w:val="005E2610"/>
    <w:rsid w:val="005E2C34"/>
    <w:rsid w:val="005E3089"/>
    <w:rsid w:val="005E3612"/>
    <w:rsid w:val="005E3DC2"/>
    <w:rsid w:val="005E455D"/>
    <w:rsid w:val="005E485A"/>
    <w:rsid w:val="005E4B45"/>
    <w:rsid w:val="005E50F8"/>
    <w:rsid w:val="005E52FB"/>
    <w:rsid w:val="005E54E7"/>
    <w:rsid w:val="005E65A2"/>
    <w:rsid w:val="005E6A56"/>
    <w:rsid w:val="005E6FD0"/>
    <w:rsid w:val="005E7339"/>
    <w:rsid w:val="005E7A24"/>
    <w:rsid w:val="005E7AD1"/>
    <w:rsid w:val="005E7EB4"/>
    <w:rsid w:val="005F0112"/>
    <w:rsid w:val="005F02FE"/>
    <w:rsid w:val="005F099A"/>
    <w:rsid w:val="005F0C69"/>
    <w:rsid w:val="005F10D5"/>
    <w:rsid w:val="005F1496"/>
    <w:rsid w:val="005F1E5D"/>
    <w:rsid w:val="005F1EE0"/>
    <w:rsid w:val="005F236C"/>
    <w:rsid w:val="005F279E"/>
    <w:rsid w:val="005F2A09"/>
    <w:rsid w:val="005F32FF"/>
    <w:rsid w:val="005F3509"/>
    <w:rsid w:val="005F3606"/>
    <w:rsid w:val="005F4370"/>
    <w:rsid w:val="005F439A"/>
    <w:rsid w:val="005F441A"/>
    <w:rsid w:val="005F46D9"/>
    <w:rsid w:val="005F47ED"/>
    <w:rsid w:val="005F4F67"/>
    <w:rsid w:val="005F5351"/>
    <w:rsid w:val="005F5F6B"/>
    <w:rsid w:val="005F6585"/>
    <w:rsid w:val="005F7057"/>
    <w:rsid w:val="005F7073"/>
    <w:rsid w:val="005F71BE"/>
    <w:rsid w:val="005F7B2F"/>
    <w:rsid w:val="005F7FC7"/>
    <w:rsid w:val="005F7FCE"/>
    <w:rsid w:val="00600142"/>
    <w:rsid w:val="006003FC"/>
    <w:rsid w:val="00600AD3"/>
    <w:rsid w:val="00601193"/>
    <w:rsid w:val="006011E6"/>
    <w:rsid w:val="00601280"/>
    <w:rsid w:val="00601827"/>
    <w:rsid w:val="00601B20"/>
    <w:rsid w:val="00601C51"/>
    <w:rsid w:val="00601E99"/>
    <w:rsid w:val="0060246D"/>
    <w:rsid w:val="00602696"/>
    <w:rsid w:val="006029F9"/>
    <w:rsid w:val="006030AB"/>
    <w:rsid w:val="00603170"/>
    <w:rsid w:val="00603F85"/>
    <w:rsid w:val="006047E7"/>
    <w:rsid w:val="00604CFD"/>
    <w:rsid w:val="006063DB"/>
    <w:rsid w:val="00607101"/>
    <w:rsid w:val="0060734F"/>
    <w:rsid w:val="0060788E"/>
    <w:rsid w:val="00607A68"/>
    <w:rsid w:val="00607F31"/>
    <w:rsid w:val="0061017C"/>
    <w:rsid w:val="00610533"/>
    <w:rsid w:val="006107FD"/>
    <w:rsid w:val="00610956"/>
    <w:rsid w:val="0061099D"/>
    <w:rsid w:val="0061100E"/>
    <w:rsid w:val="00611EB3"/>
    <w:rsid w:val="00611ED6"/>
    <w:rsid w:val="00612259"/>
    <w:rsid w:val="00612554"/>
    <w:rsid w:val="0061271A"/>
    <w:rsid w:val="0061281C"/>
    <w:rsid w:val="006128F9"/>
    <w:rsid w:val="00612C3C"/>
    <w:rsid w:val="006136CE"/>
    <w:rsid w:val="00613AFC"/>
    <w:rsid w:val="00613D87"/>
    <w:rsid w:val="006141E8"/>
    <w:rsid w:val="00614343"/>
    <w:rsid w:val="006149EA"/>
    <w:rsid w:val="00614D1B"/>
    <w:rsid w:val="00614EBF"/>
    <w:rsid w:val="00614F30"/>
    <w:rsid w:val="0061504F"/>
    <w:rsid w:val="0061571B"/>
    <w:rsid w:val="006158B2"/>
    <w:rsid w:val="006159CF"/>
    <w:rsid w:val="00615DB6"/>
    <w:rsid w:val="0061609C"/>
    <w:rsid w:val="006161D9"/>
    <w:rsid w:val="00616AE0"/>
    <w:rsid w:val="00616AF4"/>
    <w:rsid w:val="00616D5E"/>
    <w:rsid w:val="00617217"/>
    <w:rsid w:val="006174F6"/>
    <w:rsid w:val="0061752F"/>
    <w:rsid w:val="00617CE1"/>
    <w:rsid w:val="00617D00"/>
    <w:rsid w:val="00621317"/>
    <w:rsid w:val="00621555"/>
    <w:rsid w:val="00621929"/>
    <w:rsid w:val="00621FDF"/>
    <w:rsid w:val="00622CE8"/>
    <w:rsid w:val="0062387F"/>
    <w:rsid w:val="006238E1"/>
    <w:rsid w:val="00624804"/>
    <w:rsid w:val="0062540A"/>
    <w:rsid w:val="006254A9"/>
    <w:rsid w:val="006254E2"/>
    <w:rsid w:val="0062594D"/>
    <w:rsid w:val="00625F49"/>
    <w:rsid w:val="00625F8A"/>
    <w:rsid w:val="0062679E"/>
    <w:rsid w:val="00627010"/>
    <w:rsid w:val="006270EC"/>
    <w:rsid w:val="00627744"/>
    <w:rsid w:val="00627827"/>
    <w:rsid w:val="00627CDA"/>
    <w:rsid w:val="00631046"/>
    <w:rsid w:val="006316D4"/>
    <w:rsid w:val="00631CC1"/>
    <w:rsid w:val="00633B2B"/>
    <w:rsid w:val="00633DF1"/>
    <w:rsid w:val="00634F0E"/>
    <w:rsid w:val="006358FB"/>
    <w:rsid w:val="00635C31"/>
    <w:rsid w:val="0063637E"/>
    <w:rsid w:val="00636417"/>
    <w:rsid w:val="00636785"/>
    <w:rsid w:val="00637844"/>
    <w:rsid w:val="006378B1"/>
    <w:rsid w:val="00640451"/>
    <w:rsid w:val="006404FE"/>
    <w:rsid w:val="00640F4B"/>
    <w:rsid w:val="0064102D"/>
    <w:rsid w:val="00641B0E"/>
    <w:rsid w:val="00641BB0"/>
    <w:rsid w:val="00641E20"/>
    <w:rsid w:val="00642513"/>
    <w:rsid w:val="00642912"/>
    <w:rsid w:val="00642D93"/>
    <w:rsid w:val="00642EE6"/>
    <w:rsid w:val="00643075"/>
    <w:rsid w:val="006437B8"/>
    <w:rsid w:val="00643D41"/>
    <w:rsid w:val="00643D9C"/>
    <w:rsid w:val="00645039"/>
    <w:rsid w:val="00645419"/>
    <w:rsid w:val="00645893"/>
    <w:rsid w:val="00645CBA"/>
    <w:rsid w:val="0064688B"/>
    <w:rsid w:val="006468BA"/>
    <w:rsid w:val="00646A5D"/>
    <w:rsid w:val="006470BF"/>
    <w:rsid w:val="006473A3"/>
    <w:rsid w:val="0064786E"/>
    <w:rsid w:val="0064788A"/>
    <w:rsid w:val="00650B73"/>
    <w:rsid w:val="006511FA"/>
    <w:rsid w:val="006518A2"/>
    <w:rsid w:val="00652666"/>
    <w:rsid w:val="006528B1"/>
    <w:rsid w:val="00652BD8"/>
    <w:rsid w:val="00652F3B"/>
    <w:rsid w:val="00653601"/>
    <w:rsid w:val="00653718"/>
    <w:rsid w:val="00653803"/>
    <w:rsid w:val="0065398F"/>
    <w:rsid w:val="00653D5F"/>
    <w:rsid w:val="00654062"/>
    <w:rsid w:val="0065414D"/>
    <w:rsid w:val="006542FB"/>
    <w:rsid w:val="006548DB"/>
    <w:rsid w:val="00654B19"/>
    <w:rsid w:val="00654CA4"/>
    <w:rsid w:val="00655099"/>
    <w:rsid w:val="0065531F"/>
    <w:rsid w:val="006557CE"/>
    <w:rsid w:val="0065592D"/>
    <w:rsid w:val="00655BAF"/>
    <w:rsid w:val="00655ECE"/>
    <w:rsid w:val="006562E8"/>
    <w:rsid w:val="0065715D"/>
    <w:rsid w:val="00657381"/>
    <w:rsid w:val="006600E0"/>
    <w:rsid w:val="00660889"/>
    <w:rsid w:val="00660BAB"/>
    <w:rsid w:val="00660D13"/>
    <w:rsid w:val="0066280A"/>
    <w:rsid w:val="006632B1"/>
    <w:rsid w:val="00663BFE"/>
    <w:rsid w:val="006643FC"/>
    <w:rsid w:val="00664994"/>
    <w:rsid w:val="00665793"/>
    <w:rsid w:val="00665B8B"/>
    <w:rsid w:val="0066603F"/>
    <w:rsid w:val="0066695F"/>
    <w:rsid w:val="00666DB7"/>
    <w:rsid w:val="00666DCF"/>
    <w:rsid w:val="0066702D"/>
    <w:rsid w:val="0066734B"/>
    <w:rsid w:val="00667A55"/>
    <w:rsid w:val="00667B15"/>
    <w:rsid w:val="00670403"/>
    <w:rsid w:val="00670C83"/>
    <w:rsid w:val="00670F10"/>
    <w:rsid w:val="006713C9"/>
    <w:rsid w:val="00671486"/>
    <w:rsid w:val="006716A9"/>
    <w:rsid w:val="0067233B"/>
    <w:rsid w:val="00672780"/>
    <w:rsid w:val="006727E9"/>
    <w:rsid w:val="00672A5F"/>
    <w:rsid w:val="0067356A"/>
    <w:rsid w:val="00673AFA"/>
    <w:rsid w:val="00673ED9"/>
    <w:rsid w:val="006744A0"/>
    <w:rsid w:val="006744AF"/>
    <w:rsid w:val="00674CB9"/>
    <w:rsid w:val="00675072"/>
    <w:rsid w:val="006756DF"/>
    <w:rsid w:val="00675C1E"/>
    <w:rsid w:val="00675CA9"/>
    <w:rsid w:val="0067635A"/>
    <w:rsid w:val="00676CD7"/>
    <w:rsid w:val="0067739F"/>
    <w:rsid w:val="006778E2"/>
    <w:rsid w:val="00680213"/>
    <w:rsid w:val="00680434"/>
    <w:rsid w:val="006818A2"/>
    <w:rsid w:val="00681BEF"/>
    <w:rsid w:val="00681F9A"/>
    <w:rsid w:val="0068256E"/>
    <w:rsid w:val="00683249"/>
    <w:rsid w:val="006832B4"/>
    <w:rsid w:val="00683D92"/>
    <w:rsid w:val="006840B1"/>
    <w:rsid w:val="0068413F"/>
    <w:rsid w:val="006845BF"/>
    <w:rsid w:val="006846CF"/>
    <w:rsid w:val="00684902"/>
    <w:rsid w:val="00684B96"/>
    <w:rsid w:val="00685910"/>
    <w:rsid w:val="006859CD"/>
    <w:rsid w:val="00685B18"/>
    <w:rsid w:val="00686B2F"/>
    <w:rsid w:val="0068701B"/>
    <w:rsid w:val="006872D3"/>
    <w:rsid w:val="00687862"/>
    <w:rsid w:val="00687A21"/>
    <w:rsid w:val="00687BDB"/>
    <w:rsid w:val="00687D72"/>
    <w:rsid w:val="00687DD6"/>
    <w:rsid w:val="006901ED"/>
    <w:rsid w:val="006908CD"/>
    <w:rsid w:val="00690B6D"/>
    <w:rsid w:val="00691490"/>
    <w:rsid w:val="00691B3A"/>
    <w:rsid w:val="00691EE0"/>
    <w:rsid w:val="00692202"/>
    <w:rsid w:val="006925D6"/>
    <w:rsid w:val="006929C9"/>
    <w:rsid w:val="00692D5A"/>
    <w:rsid w:val="00692EED"/>
    <w:rsid w:val="00692F63"/>
    <w:rsid w:val="006933D6"/>
    <w:rsid w:val="00693BFA"/>
    <w:rsid w:val="00693F80"/>
    <w:rsid w:val="0069408E"/>
    <w:rsid w:val="006946BD"/>
    <w:rsid w:val="00694731"/>
    <w:rsid w:val="00694AB0"/>
    <w:rsid w:val="006950B3"/>
    <w:rsid w:val="006955C7"/>
    <w:rsid w:val="00695AF5"/>
    <w:rsid w:val="00696731"/>
    <w:rsid w:val="006968B8"/>
    <w:rsid w:val="00696C10"/>
    <w:rsid w:val="00697741"/>
    <w:rsid w:val="006A0054"/>
    <w:rsid w:val="006A051A"/>
    <w:rsid w:val="006A056B"/>
    <w:rsid w:val="006A0E85"/>
    <w:rsid w:val="006A1477"/>
    <w:rsid w:val="006A14B2"/>
    <w:rsid w:val="006A29CA"/>
    <w:rsid w:val="006A2F2B"/>
    <w:rsid w:val="006A354D"/>
    <w:rsid w:val="006A369E"/>
    <w:rsid w:val="006A36EC"/>
    <w:rsid w:val="006A3A80"/>
    <w:rsid w:val="006A3CD3"/>
    <w:rsid w:val="006A449C"/>
    <w:rsid w:val="006A5E36"/>
    <w:rsid w:val="006A6AB8"/>
    <w:rsid w:val="006A6EC7"/>
    <w:rsid w:val="006A724C"/>
    <w:rsid w:val="006A7474"/>
    <w:rsid w:val="006A7869"/>
    <w:rsid w:val="006A7ADF"/>
    <w:rsid w:val="006A7C9A"/>
    <w:rsid w:val="006A7F14"/>
    <w:rsid w:val="006B0C44"/>
    <w:rsid w:val="006B0E34"/>
    <w:rsid w:val="006B1138"/>
    <w:rsid w:val="006B11B9"/>
    <w:rsid w:val="006B122E"/>
    <w:rsid w:val="006B1346"/>
    <w:rsid w:val="006B14AB"/>
    <w:rsid w:val="006B178A"/>
    <w:rsid w:val="006B1968"/>
    <w:rsid w:val="006B1FBD"/>
    <w:rsid w:val="006B24ED"/>
    <w:rsid w:val="006B2738"/>
    <w:rsid w:val="006B2793"/>
    <w:rsid w:val="006B2878"/>
    <w:rsid w:val="006B34D6"/>
    <w:rsid w:val="006B39A4"/>
    <w:rsid w:val="006B3A94"/>
    <w:rsid w:val="006B4992"/>
    <w:rsid w:val="006B527A"/>
    <w:rsid w:val="006B5385"/>
    <w:rsid w:val="006B59CF"/>
    <w:rsid w:val="006B59DC"/>
    <w:rsid w:val="006B5BF4"/>
    <w:rsid w:val="006B5FF0"/>
    <w:rsid w:val="006B6510"/>
    <w:rsid w:val="006B7688"/>
    <w:rsid w:val="006B7A25"/>
    <w:rsid w:val="006C03A4"/>
    <w:rsid w:val="006C0CD9"/>
    <w:rsid w:val="006C13AC"/>
    <w:rsid w:val="006C1494"/>
    <w:rsid w:val="006C15B5"/>
    <w:rsid w:val="006C17D9"/>
    <w:rsid w:val="006C27F3"/>
    <w:rsid w:val="006C2AAA"/>
    <w:rsid w:val="006C3BE1"/>
    <w:rsid w:val="006C4589"/>
    <w:rsid w:val="006C4A6F"/>
    <w:rsid w:val="006C4FD4"/>
    <w:rsid w:val="006C553F"/>
    <w:rsid w:val="006C570C"/>
    <w:rsid w:val="006C5FD8"/>
    <w:rsid w:val="006C6A80"/>
    <w:rsid w:val="006C731A"/>
    <w:rsid w:val="006C7570"/>
    <w:rsid w:val="006C792D"/>
    <w:rsid w:val="006C7CCB"/>
    <w:rsid w:val="006D02B7"/>
    <w:rsid w:val="006D047D"/>
    <w:rsid w:val="006D0705"/>
    <w:rsid w:val="006D0C94"/>
    <w:rsid w:val="006D0E09"/>
    <w:rsid w:val="006D127A"/>
    <w:rsid w:val="006D1294"/>
    <w:rsid w:val="006D1727"/>
    <w:rsid w:val="006D17B8"/>
    <w:rsid w:val="006D17DE"/>
    <w:rsid w:val="006D18C5"/>
    <w:rsid w:val="006D1FFC"/>
    <w:rsid w:val="006D23D9"/>
    <w:rsid w:val="006D2685"/>
    <w:rsid w:val="006D2772"/>
    <w:rsid w:val="006D3725"/>
    <w:rsid w:val="006D386E"/>
    <w:rsid w:val="006D38DD"/>
    <w:rsid w:val="006D399B"/>
    <w:rsid w:val="006D3E6A"/>
    <w:rsid w:val="006D3F60"/>
    <w:rsid w:val="006D41AA"/>
    <w:rsid w:val="006D452E"/>
    <w:rsid w:val="006D48D5"/>
    <w:rsid w:val="006D513E"/>
    <w:rsid w:val="006D51AB"/>
    <w:rsid w:val="006D534D"/>
    <w:rsid w:val="006D57E4"/>
    <w:rsid w:val="006D59F5"/>
    <w:rsid w:val="006D5D55"/>
    <w:rsid w:val="006D7C46"/>
    <w:rsid w:val="006D7CA7"/>
    <w:rsid w:val="006D7D9B"/>
    <w:rsid w:val="006D7F13"/>
    <w:rsid w:val="006E108F"/>
    <w:rsid w:val="006E168B"/>
    <w:rsid w:val="006E176D"/>
    <w:rsid w:val="006E18B8"/>
    <w:rsid w:val="006E1D64"/>
    <w:rsid w:val="006E20C6"/>
    <w:rsid w:val="006E21A0"/>
    <w:rsid w:val="006E23A4"/>
    <w:rsid w:val="006E2FAB"/>
    <w:rsid w:val="006E3EFD"/>
    <w:rsid w:val="006E3F08"/>
    <w:rsid w:val="006E45E4"/>
    <w:rsid w:val="006E49B5"/>
    <w:rsid w:val="006E4F66"/>
    <w:rsid w:val="006E4FF0"/>
    <w:rsid w:val="006E510B"/>
    <w:rsid w:val="006E525D"/>
    <w:rsid w:val="006E560C"/>
    <w:rsid w:val="006E5EA5"/>
    <w:rsid w:val="006E6AF7"/>
    <w:rsid w:val="006E6CDE"/>
    <w:rsid w:val="006E722A"/>
    <w:rsid w:val="006E731F"/>
    <w:rsid w:val="006E741C"/>
    <w:rsid w:val="006E7A81"/>
    <w:rsid w:val="006E7B01"/>
    <w:rsid w:val="006E7E60"/>
    <w:rsid w:val="006F0790"/>
    <w:rsid w:val="006F0D8D"/>
    <w:rsid w:val="006F0E9E"/>
    <w:rsid w:val="006F117E"/>
    <w:rsid w:val="006F1CA4"/>
    <w:rsid w:val="006F2066"/>
    <w:rsid w:val="006F218B"/>
    <w:rsid w:val="006F24C4"/>
    <w:rsid w:val="006F2537"/>
    <w:rsid w:val="006F29DE"/>
    <w:rsid w:val="006F3169"/>
    <w:rsid w:val="006F3757"/>
    <w:rsid w:val="006F38C5"/>
    <w:rsid w:val="006F3CE7"/>
    <w:rsid w:val="006F3F34"/>
    <w:rsid w:val="006F3F69"/>
    <w:rsid w:val="006F408E"/>
    <w:rsid w:val="006F4A38"/>
    <w:rsid w:val="006F53EA"/>
    <w:rsid w:val="006F54EE"/>
    <w:rsid w:val="006F5A81"/>
    <w:rsid w:val="006F5AB7"/>
    <w:rsid w:val="006F65B4"/>
    <w:rsid w:val="006F6E2D"/>
    <w:rsid w:val="006F6EC6"/>
    <w:rsid w:val="006F7A5A"/>
    <w:rsid w:val="006F7AF2"/>
    <w:rsid w:val="006F7E78"/>
    <w:rsid w:val="00700045"/>
    <w:rsid w:val="00700EEA"/>
    <w:rsid w:val="0070118D"/>
    <w:rsid w:val="00701526"/>
    <w:rsid w:val="00701744"/>
    <w:rsid w:val="00701997"/>
    <w:rsid w:val="00701CDC"/>
    <w:rsid w:val="00701FF6"/>
    <w:rsid w:val="0070223A"/>
    <w:rsid w:val="00702E6F"/>
    <w:rsid w:val="00702F76"/>
    <w:rsid w:val="007031D4"/>
    <w:rsid w:val="007032B5"/>
    <w:rsid w:val="0070369A"/>
    <w:rsid w:val="00703A52"/>
    <w:rsid w:val="00703B75"/>
    <w:rsid w:val="00703E2D"/>
    <w:rsid w:val="00703EBD"/>
    <w:rsid w:val="00704F92"/>
    <w:rsid w:val="00705215"/>
    <w:rsid w:val="00705472"/>
    <w:rsid w:val="0070692C"/>
    <w:rsid w:val="00706D5F"/>
    <w:rsid w:val="00707A59"/>
    <w:rsid w:val="00707B85"/>
    <w:rsid w:val="00710D44"/>
    <w:rsid w:val="00710EBA"/>
    <w:rsid w:val="007117F1"/>
    <w:rsid w:val="00711A4D"/>
    <w:rsid w:val="00711AE8"/>
    <w:rsid w:val="00711B68"/>
    <w:rsid w:val="00712A72"/>
    <w:rsid w:val="00712A8B"/>
    <w:rsid w:val="00713C64"/>
    <w:rsid w:val="00713DB3"/>
    <w:rsid w:val="00713EA5"/>
    <w:rsid w:val="00713F22"/>
    <w:rsid w:val="007141AC"/>
    <w:rsid w:val="007144F7"/>
    <w:rsid w:val="00714B40"/>
    <w:rsid w:val="00716025"/>
    <w:rsid w:val="00717D17"/>
    <w:rsid w:val="007200AE"/>
    <w:rsid w:val="00721387"/>
    <w:rsid w:val="00721598"/>
    <w:rsid w:val="00721692"/>
    <w:rsid w:val="00721AA7"/>
    <w:rsid w:val="00722A1D"/>
    <w:rsid w:val="007232DF"/>
    <w:rsid w:val="00723A34"/>
    <w:rsid w:val="007240AF"/>
    <w:rsid w:val="0072413B"/>
    <w:rsid w:val="007249DB"/>
    <w:rsid w:val="007256FF"/>
    <w:rsid w:val="0072582E"/>
    <w:rsid w:val="0072586C"/>
    <w:rsid w:val="00725A39"/>
    <w:rsid w:val="00725C07"/>
    <w:rsid w:val="00726001"/>
    <w:rsid w:val="00726B0F"/>
    <w:rsid w:val="00726B39"/>
    <w:rsid w:val="0072798C"/>
    <w:rsid w:val="00727E8C"/>
    <w:rsid w:val="00730648"/>
    <w:rsid w:val="00730659"/>
    <w:rsid w:val="007307BA"/>
    <w:rsid w:val="007313A0"/>
    <w:rsid w:val="00731C69"/>
    <w:rsid w:val="00731E7E"/>
    <w:rsid w:val="00731F7F"/>
    <w:rsid w:val="007326BF"/>
    <w:rsid w:val="00732C43"/>
    <w:rsid w:val="007338FB"/>
    <w:rsid w:val="00733AC1"/>
    <w:rsid w:val="00733EB0"/>
    <w:rsid w:val="00734470"/>
    <w:rsid w:val="00734B7F"/>
    <w:rsid w:val="00734E81"/>
    <w:rsid w:val="0073520E"/>
    <w:rsid w:val="007357E3"/>
    <w:rsid w:val="00735872"/>
    <w:rsid w:val="00736286"/>
    <w:rsid w:val="00736C70"/>
    <w:rsid w:val="00737B55"/>
    <w:rsid w:val="00737C5F"/>
    <w:rsid w:val="0074001C"/>
    <w:rsid w:val="00740684"/>
    <w:rsid w:val="007407DF"/>
    <w:rsid w:val="0074082E"/>
    <w:rsid w:val="00740A76"/>
    <w:rsid w:val="00741144"/>
    <w:rsid w:val="00741A39"/>
    <w:rsid w:val="00741C77"/>
    <w:rsid w:val="00742764"/>
    <w:rsid w:val="007430C9"/>
    <w:rsid w:val="0074345C"/>
    <w:rsid w:val="00743AD9"/>
    <w:rsid w:val="00743F0F"/>
    <w:rsid w:val="00744493"/>
    <w:rsid w:val="007446A8"/>
    <w:rsid w:val="007454CD"/>
    <w:rsid w:val="00745940"/>
    <w:rsid w:val="00746053"/>
    <w:rsid w:val="007471D1"/>
    <w:rsid w:val="00747435"/>
    <w:rsid w:val="00747688"/>
    <w:rsid w:val="00747848"/>
    <w:rsid w:val="007478BE"/>
    <w:rsid w:val="00750431"/>
    <w:rsid w:val="0075043B"/>
    <w:rsid w:val="0075052F"/>
    <w:rsid w:val="0075124F"/>
    <w:rsid w:val="0075206E"/>
    <w:rsid w:val="007523C0"/>
    <w:rsid w:val="00752751"/>
    <w:rsid w:val="0075378D"/>
    <w:rsid w:val="00753EB1"/>
    <w:rsid w:val="007547BB"/>
    <w:rsid w:val="007556F0"/>
    <w:rsid w:val="007566E5"/>
    <w:rsid w:val="00756BCF"/>
    <w:rsid w:val="00756DC1"/>
    <w:rsid w:val="00757036"/>
    <w:rsid w:val="007570AC"/>
    <w:rsid w:val="007576A7"/>
    <w:rsid w:val="00760A1B"/>
    <w:rsid w:val="00760CBE"/>
    <w:rsid w:val="00761351"/>
    <w:rsid w:val="007615FA"/>
    <w:rsid w:val="0076163E"/>
    <w:rsid w:val="00761A32"/>
    <w:rsid w:val="007624A3"/>
    <w:rsid w:val="00762563"/>
    <w:rsid w:val="00762A01"/>
    <w:rsid w:val="00762E67"/>
    <w:rsid w:val="00762FCF"/>
    <w:rsid w:val="00763478"/>
    <w:rsid w:val="007637CC"/>
    <w:rsid w:val="007648D0"/>
    <w:rsid w:val="00764DF9"/>
    <w:rsid w:val="007654B5"/>
    <w:rsid w:val="007656A3"/>
    <w:rsid w:val="007663EC"/>
    <w:rsid w:val="00766F8D"/>
    <w:rsid w:val="00767377"/>
    <w:rsid w:val="007708CC"/>
    <w:rsid w:val="00770AD2"/>
    <w:rsid w:val="007715D7"/>
    <w:rsid w:val="007715E4"/>
    <w:rsid w:val="00771CF2"/>
    <w:rsid w:val="0077261D"/>
    <w:rsid w:val="0077262C"/>
    <w:rsid w:val="0077293C"/>
    <w:rsid w:val="007729C3"/>
    <w:rsid w:val="00772EE6"/>
    <w:rsid w:val="00773006"/>
    <w:rsid w:val="00773218"/>
    <w:rsid w:val="0077380D"/>
    <w:rsid w:val="00773963"/>
    <w:rsid w:val="007739B7"/>
    <w:rsid w:val="00773D51"/>
    <w:rsid w:val="0077432D"/>
    <w:rsid w:val="0077457D"/>
    <w:rsid w:val="00774CA3"/>
    <w:rsid w:val="00774FC7"/>
    <w:rsid w:val="007757A9"/>
    <w:rsid w:val="00775A5B"/>
    <w:rsid w:val="0077656C"/>
    <w:rsid w:val="007768CB"/>
    <w:rsid w:val="00776F6A"/>
    <w:rsid w:val="00777EC3"/>
    <w:rsid w:val="007806C6"/>
    <w:rsid w:val="00780C7A"/>
    <w:rsid w:val="007810AB"/>
    <w:rsid w:val="007815E2"/>
    <w:rsid w:val="007816A6"/>
    <w:rsid w:val="007824E3"/>
    <w:rsid w:val="0078287B"/>
    <w:rsid w:val="00782AB4"/>
    <w:rsid w:val="00782F1E"/>
    <w:rsid w:val="00783017"/>
    <w:rsid w:val="0078386C"/>
    <w:rsid w:val="007839C6"/>
    <w:rsid w:val="00783C03"/>
    <w:rsid w:val="00783C3C"/>
    <w:rsid w:val="00783F65"/>
    <w:rsid w:val="0078411C"/>
    <w:rsid w:val="00784212"/>
    <w:rsid w:val="0078469D"/>
    <w:rsid w:val="00784784"/>
    <w:rsid w:val="00784C40"/>
    <w:rsid w:val="00785370"/>
    <w:rsid w:val="00785655"/>
    <w:rsid w:val="00785A1E"/>
    <w:rsid w:val="00785B3D"/>
    <w:rsid w:val="00785D0B"/>
    <w:rsid w:val="00785E55"/>
    <w:rsid w:val="007866FA"/>
    <w:rsid w:val="00786A15"/>
    <w:rsid w:val="00786BCE"/>
    <w:rsid w:val="00786C28"/>
    <w:rsid w:val="0078771B"/>
    <w:rsid w:val="007900A1"/>
    <w:rsid w:val="007909EC"/>
    <w:rsid w:val="00790A72"/>
    <w:rsid w:val="00790F03"/>
    <w:rsid w:val="00790F05"/>
    <w:rsid w:val="007913B2"/>
    <w:rsid w:val="00791517"/>
    <w:rsid w:val="00791702"/>
    <w:rsid w:val="00792AD6"/>
    <w:rsid w:val="0079350F"/>
    <w:rsid w:val="00793518"/>
    <w:rsid w:val="007935F4"/>
    <w:rsid w:val="00793FEA"/>
    <w:rsid w:val="007944E1"/>
    <w:rsid w:val="00794515"/>
    <w:rsid w:val="007946DD"/>
    <w:rsid w:val="007949F1"/>
    <w:rsid w:val="00794DD9"/>
    <w:rsid w:val="00795482"/>
    <w:rsid w:val="00795CF0"/>
    <w:rsid w:val="00796099"/>
    <w:rsid w:val="007960AC"/>
    <w:rsid w:val="007966C7"/>
    <w:rsid w:val="007971BD"/>
    <w:rsid w:val="0079780F"/>
    <w:rsid w:val="0079787A"/>
    <w:rsid w:val="00797C7F"/>
    <w:rsid w:val="007A01E2"/>
    <w:rsid w:val="007A07E5"/>
    <w:rsid w:val="007A0858"/>
    <w:rsid w:val="007A0B1E"/>
    <w:rsid w:val="007A1266"/>
    <w:rsid w:val="007A12A5"/>
    <w:rsid w:val="007A1484"/>
    <w:rsid w:val="007A2C67"/>
    <w:rsid w:val="007A2EC6"/>
    <w:rsid w:val="007A343F"/>
    <w:rsid w:val="007A3F55"/>
    <w:rsid w:val="007A6044"/>
    <w:rsid w:val="007A6379"/>
    <w:rsid w:val="007A6967"/>
    <w:rsid w:val="007A6E0B"/>
    <w:rsid w:val="007A6F66"/>
    <w:rsid w:val="007A7081"/>
    <w:rsid w:val="007A7CA7"/>
    <w:rsid w:val="007A7D28"/>
    <w:rsid w:val="007B105F"/>
    <w:rsid w:val="007B10CE"/>
    <w:rsid w:val="007B1236"/>
    <w:rsid w:val="007B1373"/>
    <w:rsid w:val="007B2221"/>
    <w:rsid w:val="007B2897"/>
    <w:rsid w:val="007B2D9A"/>
    <w:rsid w:val="007B2EEC"/>
    <w:rsid w:val="007B32C5"/>
    <w:rsid w:val="007B3352"/>
    <w:rsid w:val="007B36E9"/>
    <w:rsid w:val="007B37B5"/>
    <w:rsid w:val="007B3864"/>
    <w:rsid w:val="007B4063"/>
    <w:rsid w:val="007B4451"/>
    <w:rsid w:val="007B483A"/>
    <w:rsid w:val="007B4A84"/>
    <w:rsid w:val="007B4B71"/>
    <w:rsid w:val="007B516A"/>
    <w:rsid w:val="007B58C8"/>
    <w:rsid w:val="007B5EFA"/>
    <w:rsid w:val="007B6230"/>
    <w:rsid w:val="007B64BB"/>
    <w:rsid w:val="007B6CC9"/>
    <w:rsid w:val="007B6D52"/>
    <w:rsid w:val="007B706F"/>
    <w:rsid w:val="007C005D"/>
    <w:rsid w:val="007C024C"/>
    <w:rsid w:val="007C061F"/>
    <w:rsid w:val="007C2503"/>
    <w:rsid w:val="007C25F4"/>
    <w:rsid w:val="007C302C"/>
    <w:rsid w:val="007C3E18"/>
    <w:rsid w:val="007C5253"/>
    <w:rsid w:val="007C52EA"/>
    <w:rsid w:val="007C55D2"/>
    <w:rsid w:val="007C62AF"/>
    <w:rsid w:val="007C6D48"/>
    <w:rsid w:val="007C79CD"/>
    <w:rsid w:val="007C7EFA"/>
    <w:rsid w:val="007C7F5C"/>
    <w:rsid w:val="007D0353"/>
    <w:rsid w:val="007D08A0"/>
    <w:rsid w:val="007D1624"/>
    <w:rsid w:val="007D1C57"/>
    <w:rsid w:val="007D1DEB"/>
    <w:rsid w:val="007D2196"/>
    <w:rsid w:val="007D2353"/>
    <w:rsid w:val="007D269F"/>
    <w:rsid w:val="007D2897"/>
    <w:rsid w:val="007D2E3F"/>
    <w:rsid w:val="007D2E62"/>
    <w:rsid w:val="007D320F"/>
    <w:rsid w:val="007D33F5"/>
    <w:rsid w:val="007D342D"/>
    <w:rsid w:val="007D4206"/>
    <w:rsid w:val="007D4413"/>
    <w:rsid w:val="007D4471"/>
    <w:rsid w:val="007D4852"/>
    <w:rsid w:val="007D48C6"/>
    <w:rsid w:val="007D4E42"/>
    <w:rsid w:val="007D4F59"/>
    <w:rsid w:val="007D508E"/>
    <w:rsid w:val="007D53C5"/>
    <w:rsid w:val="007D5985"/>
    <w:rsid w:val="007D64CA"/>
    <w:rsid w:val="007D74A3"/>
    <w:rsid w:val="007D795D"/>
    <w:rsid w:val="007D7EA0"/>
    <w:rsid w:val="007E0532"/>
    <w:rsid w:val="007E0749"/>
    <w:rsid w:val="007E14DA"/>
    <w:rsid w:val="007E1AE3"/>
    <w:rsid w:val="007E2190"/>
    <w:rsid w:val="007E2406"/>
    <w:rsid w:val="007E2544"/>
    <w:rsid w:val="007E29E1"/>
    <w:rsid w:val="007E2BCA"/>
    <w:rsid w:val="007E2DB8"/>
    <w:rsid w:val="007E3C5B"/>
    <w:rsid w:val="007E4528"/>
    <w:rsid w:val="007E45B8"/>
    <w:rsid w:val="007E45EE"/>
    <w:rsid w:val="007E485B"/>
    <w:rsid w:val="007E4D58"/>
    <w:rsid w:val="007E508A"/>
    <w:rsid w:val="007E55D9"/>
    <w:rsid w:val="007E5BA2"/>
    <w:rsid w:val="007E5C2E"/>
    <w:rsid w:val="007E5CBF"/>
    <w:rsid w:val="007E61D1"/>
    <w:rsid w:val="007E6B60"/>
    <w:rsid w:val="007E6E5C"/>
    <w:rsid w:val="007E770A"/>
    <w:rsid w:val="007E79A6"/>
    <w:rsid w:val="007E7BA2"/>
    <w:rsid w:val="007E7ED1"/>
    <w:rsid w:val="007E7FE0"/>
    <w:rsid w:val="007F03F9"/>
    <w:rsid w:val="007F0660"/>
    <w:rsid w:val="007F0869"/>
    <w:rsid w:val="007F08C8"/>
    <w:rsid w:val="007F0A91"/>
    <w:rsid w:val="007F0E12"/>
    <w:rsid w:val="007F33B2"/>
    <w:rsid w:val="007F421E"/>
    <w:rsid w:val="007F4F79"/>
    <w:rsid w:val="007F572D"/>
    <w:rsid w:val="007F57E4"/>
    <w:rsid w:val="007F61E2"/>
    <w:rsid w:val="007F66D3"/>
    <w:rsid w:val="007F7290"/>
    <w:rsid w:val="007F7535"/>
    <w:rsid w:val="008000AC"/>
    <w:rsid w:val="00800BB1"/>
    <w:rsid w:val="00801521"/>
    <w:rsid w:val="00801581"/>
    <w:rsid w:val="00801678"/>
    <w:rsid w:val="00801702"/>
    <w:rsid w:val="008018F0"/>
    <w:rsid w:val="008023FC"/>
    <w:rsid w:val="0080280E"/>
    <w:rsid w:val="00803561"/>
    <w:rsid w:val="008035EC"/>
    <w:rsid w:val="008036A8"/>
    <w:rsid w:val="00803B2D"/>
    <w:rsid w:val="00803FD0"/>
    <w:rsid w:val="008043BA"/>
    <w:rsid w:val="008045DE"/>
    <w:rsid w:val="008055D7"/>
    <w:rsid w:val="00805C8B"/>
    <w:rsid w:val="008060E0"/>
    <w:rsid w:val="00806273"/>
    <w:rsid w:val="008062E5"/>
    <w:rsid w:val="00806D47"/>
    <w:rsid w:val="008072DB"/>
    <w:rsid w:val="0080753C"/>
    <w:rsid w:val="00807794"/>
    <w:rsid w:val="00807C70"/>
    <w:rsid w:val="00810994"/>
    <w:rsid w:val="008109E4"/>
    <w:rsid w:val="008110E5"/>
    <w:rsid w:val="00811EC6"/>
    <w:rsid w:val="00812451"/>
    <w:rsid w:val="00812A5F"/>
    <w:rsid w:val="008132D2"/>
    <w:rsid w:val="00813F39"/>
    <w:rsid w:val="00814035"/>
    <w:rsid w:val="008140CC"/>
    <w:rsid w:val="00814321"/>
    <w:rsid w:val="00814337"/>
    <w:rsid w:val="00814507"/>
    <w:rsid w:val="00814975"/>
    <w:rsid w:val="008152F4"/>
    <w:rsid w:val="00815698"/>
    <w:rsid w:val="00815781"/>
    <w:rsid w:val="00815B85"/>
    <w:rsid w:val="008169A9"/>
    <w:rsid w:val="00816B5A"/>
    <w:rsid w:val="00816C6C"/>
    <w:rsid w:val="00817E6F"/>
    <w:rsid w:val="00820013"/>
    <w:rsid w:val="00820062"/>
    <w:rsid w:val="0082090F"/>
    <w:rsid w:val="00821913"/>
    <w:rsid w:val="00821F2D"/>
    <w:rsid w:val="0082238C"/>
    <w:rsid w:val="00822474"/>
    <w:rsid w:val="008233C9"/>
    <w:rsid w:val="008238B2"/>
    <w:rsid w:val="00823D8C"/>
    <w:rsid w:val="00824233"/>
    <w:rsid w:val="00824747"/>
    <w:rsid w:val="00824CC4"/>
    <w:rsid w:val="00824FAD"/>
    <w:rsid w:val="008253BE"/>
    <w:rsid w:val="00825577"/>
    <w:rsid w:val="00825688"/>
    <w:rsid w:val="00825C31"/>
    <w:rsid w:val="008261F6"/>
    <w:rsid w:val="00826403"/>
    <w:rsid w:val="008266A7"/>
    <w:rsid w:val="0082744D"/>
    <w:rsid w:val="00827756"/>
    <w:rsid w:val="008278C6"/>
    <w:rsid w:val="00830226"/>
    <w:rsid w:val="00830323"/>
    <w:rsid w:val="00830826"/>
    <w:rsid w:val="00830CAE"/>
    <w:rsid w:val="008315E7"/>
    <w:rsid w:val="008319FE"/>
    <w:rsid w:val="00831D3D"/>
    <w:rsid w:val="00831DCD"/>
    <w:rsid w:val="0083218E"/>
    <w:rsid w:val="008321E8"/>
    <w:rsid w:val="008322C8"/>
    <w:rsid w:val="00832A3D"/>
    <w:rsid w:val="00833136"/>
    <w:rsid w:val="008333F6"/>
    <w:rsid w:val="00833400"/>
    <w:rsid w:val="00833459"/>
    <w:rsid w:val="008334D7"/>
    <w:rsid w:val="008339A8"/>
    <w:rsid w:val="00833C13"/>
    <w:rsid w:val="00833C17"/>
    <w:rsid w:val="00833E37"/>
    <w:rsid w:val="00833FAA"/>
    <w:rsid w:val="00834263"/>
    <w:rsid w:val="0083445E"/>
    <w:rsid w:val="008344EB"/>
    <w:rsid w:val="00834BA6"/>
    <w:rsid w:val="00835BA9"/>
    <w:rsid w:val="00835D6E"/>
    <w:rsid w:val="0083651E"/>
    <w:rsid w:val="008368D4"/>
    <w:rsid w:val="00836962"/>
    <w:rsid w:val="0083717E"/>
    <w:rsid w:val="008377DD"/>
    <w:rsid w:val="00837AB9"/>
    <w:rsid w:val="00837BF5"/>
    <w:rsid w:val="00837D6D"/>
    <w:rsid w:val="00840216"/>
    <w:rsid w:val="0084069A"/>
    <w:rsid w:val="00840756"/>
    <w:rsid w:val="008409D0"/>
    <w:rsid w:val="00841705"/>
    <w:rsid w:val="00841EAC"/>
    <w:rsid w:val="00841FC5"/>
    <w:rsid w:val="00842228"/>
    <w:rsid w:val="00842BF4"/>
    <w:rsid w:val="00842C0C"/>
    <w:rsid w:val="00842E55"/>
    <w:rsid w:val="00842EDE"/>
    <w:rsid w:val="00842F3A"/>
    <w:rsid w:val="008436A0"/>
    <w:rsid w:val="0084388D"/>
    <w:rsid w:val="008447B3"/>
    <w:rsid w:val="00844BB1"/>
    <w:rsid w:val="00844F86"/>
    <w:rsid w:val="008452B4"/>
    <w:rsid w:val="00845844"/>
    <w:rsid w:val="00845AC8"/>
    <w:rsid w:val="00845C83"/>
    <w:rsid w:val="00846E20"/>
    <w:rsid w:val="00846FE1"/>
    <w:rsid w:val="008472A4"/>
    <w:rsid w:val="00847FED"/>
    <w:rsid w:val="00850EA1"/>
    <w:rsid w:val="00850EAC"/>
    <w:rsid w:val="00851084"/>
    <w:rsid w:val="008510DD"/>
    <w:rsid w:val="0085181A"/>
    <w:rsid w:val="00853063"/>
    <w:rsid w:val="0085363C"/>
    <w:rsid w:val="00853BCF"/>
    <w:rsid w:val="008540A8"/>
    <w:rsid w:val="00854317"/>
    <w:rsid w:val="00854414"/>
    <w:rsid w:val="0085442C"/>
    <w:rsid w:val="00854801"/>
    <w:rsid w:val="00854A48"/>
    <w:rsid w:val="00854C3E"/>
    <w:rsid w:val="00854C8C"/>
    <w:rsid w:val="00854D89"/>
    <w:rsid w:val="0085503A"/>
    <w:rsid w:val="0085524D"/>
    <w:rsid w:val="008553BA"/>
    <w:rsid w:val="0085588E"/>
    <w:rsid w:val="00855BDE"/>
    <w:rsid w:val="008565A6"/>
    <w:rsid w:val="0085664D"/>
    <w:rsid w:val="0085743E"/>
    <w:rsid w:val="00857662"/>
    <w:rsid w:val="008579F7"/>
    <w:rsid w:val="00857A09"/>
    <w:rsid w:val="00857AEF"/>
    <w:rsid w:val="00857B72"/>
    <w:rsid w:val="00857E61"/>
    <w:rsid w:val="00860246"/>
    <w:rsid w:val="0086054B"/>
    <w:rsid w:val="00860ABA"/>
    <w:rsid w:val="008614D5"/>
    <w:rsid w:val="008615F5"/>
    <w:rsid w:val="00861B93"/>
    <w:rsid w:val="00862619"/>
    <w:rsid w:val="008626AC"/>
    <w:rsid w:val="00862D2C"/>
    <w:rsid w:val="00862E6E"/>
    <w:rsid w:val="00863454"/>
    <w:rsid w:val="0086374D"/>
    <w:rsid w:val="00863963"/>
    <w:rsid w:val="00863EFB"/>
    <w:rsid w:val="00863F29"/>
    <w:rsid w:val="00864AB3"/>
    <w:rsid w:val="00864B11"/>
    <w:rsid w:val="00864D77"/>
    <w:rsid w:val="00864ED5"/>
    <w:rsid w:val="008651F4"/>
    <w:rsid w:val="008652CB"/>
    <w:rsid w:val="00865602"/>
    <w:rsid w:val="0086563D"/>
    <w:rsid w:val="00865BFB"/>
    <w:rsid w:val="00865DB8"/>
    <w:rsid w:val="00866AEE"/>
    <w:rsid w:val="0086773B"/>
    <w:rsid w:val="008678CC"/>
    <w:rsid w:val="00867B3F"/>
    <w:rsid w:val="008707C0"/>
    <w:rsid w:val="0087083D"/>
    <w:rsid w:val="008710E4"/>
    <w:rsid w:val="00871882"/>
    <w:rsid w:val="008719F7"/>
    <w:rsid w:val="00871C4F"/>
    <w:rsid w:val="008734D3"/>
    <w:rsid w:val="00873E8A"/>
    <w:rsid w:val="008741CE"/>
    <w:rsid w:val="00874419"/>
    <w:rsid w:val="00874749"/>
    <w:rsid w:val="00874D65"/>
    <w:rsid w:val="00875586"/>
    <w:rsid w:val="008763B1"/>
    <w:rsid w:val="008767E2"/>
    <w:rsid w:val="008768E5"/>
    <w:rsid w:val="00877F12"/>
    <w:rsid w:val="00880078"/>
    <w:rsid w:val="008802DD"/>
    <w:rsid w:val="00880876"/>
    <w:rsid w:val="00880E54"/>
    <w:rsid w:val="008814BC"/>
    <w:rsid w:val="0088167C"/>
    <w:rsid w:val="008816A7"/>
    <w:rsid w:val="00881912"/>
    <w:rsid w:val="00881CAC"/>
    <w:rsid w:val="0088212A"/>
    <w:rsid w:val="008822C9"/>
    <w:rsid w:val="00883716"/>
    <w:rsid w:val="0088375E"/>
    <w:rsid w:val="00883D25"/>
    <w:rsid w:val="00884280"/>
    <w:rsid w:val="00884596"/>
    <w:rsid w:val="00884A68"/>
    <w:rsid w:val="00884BAA"/>
    <w:rsid w:val="00884F18"/>
    <w:rsid w:val="00885882"/>
    <w:rsid w:val="00885AB5"/>
    <w:rsid w:val="00885E07"/>
    <w:rsid w:val="00885F80"/>
    <w:rsid w:val="0088662D"/>
    <w:rsid w:val="00886897"/>
    <w:rsid w:val="008868CF"/>
    <w:rsid w:val="00886FBC"/>
    <w:rsid w:val="00887195"/>
    <w:rsid w:val="0088775F"/>
    <w:rsid w:val="00887AAF"/>
    <w:rsid w:val="00887B68"/>
    <w:rsid w:val="00887BB4"/>
    <w:rsid w:val="00887D73"/>
    <w:rsid w:val="00887E24"/>
    <w:rsid w:val="00890403"/>
    <w:rsid w:val="00890623"/>
    <w:rsid w:val="008910D1"/>
    <w:rsid w:val="00891465"/>
    <w:rsid w:val="008914C1"/>
    <w:rsid w:val="00892040"/>
    <w:rsid w:val="00892198"/>
    <w:rsid w:val="00892D80"/>
    <w:rsid w:val="00892FB1"/>
    <w:rsid w:val="00893517"/>
    <w:rsid w:val="00893BA8"/>
    <w:rsid w:val="00894ACF"/>
    <w:rsid w:val="00894E14"/>
    <w:rsid w:val="00895151"/>
    <w:rsid w:val="008955F6"/>
    <w:rsid w:val="00895EAC"/>
    <w:rsid w:val="008963E1"/>
    <w:rsid w:val="008968DD"/>
    <w:rsid w:val="008969D1"/>
    <w:rsid w:val="00896A5D"/>
    <w:rsid w:val="008972A2"/>
    <w:rsid w:val="00897F12"/>
    <w:rsid w:val="00897FEB"/>
    <w:rsid w:val="008A05F1"/>
    <w:rsid w:val="008A0B80"/>
    <w:rsid w:val="008A1150"/>
    <w:rsid w:val="008A20CD"/>
    <w:rsid w:val="008A2439"/>
    <w:rsid w:val="008A2625"/>
    <w:rsid w:val="008A2752"/>
    <w:rsid w:val="008A2D33"/>
    <w:rsid w:val="008A33A0"/>
    <w:rsid w:val="008A34EC"/>
    <w:rsid w:val="008A3AEA"/>
    <w:rsid w:val="008A3B7D"/>
    <w:rsid w:val="008A3CC3"/>
    <w:rsid w:val="008A4419"/>
    <w:rsid w:val="008A4456"/>
    <w:rsid w:val="008A504E"/>
    <w:rsid w:val="008A53C4"/>
    <w:rsid w:val="008A587E"/>
    <w:rsid w:val="008A5E77"/>
    <w:rsid w:val="008A5EC9"/>
    <w:rsid w:val="008A5EED"/>
    <w:rsid w:val="008A6254"/>
    <w:rsid w:val="008A64C4"/>
    <w:rsid w:val="008A6595"/>
    <w:rsid w:val="008A7489"/>
    <w:rsid w:val="008A766C"/>
    <w:rsid w:val="008A79E1"/>
    <w:rsid w:val="008B0135"/>
    <w:rsid w:val="008B0CB6"/>
    <w:rsid w:val="008B0D1F"/>
    <w:rsid w:val="008B1131"/>
    <w:rsid w:val="008B1904"/>
    <w:rsid w:val="008B1E4C"/>
    <w:rsid w:val="008B22BA"/>
    <w:rsid w:val="008B24D6"/>
    <w:rsid w:val="008B25AE"/>
    <w:rsid w:val="008B2C13"/>
    <w:rsid w:val="008B300E"/>
    <w:rsid w:val="008B30E9"/>
    <w:rsid w:val="008B3539"/>
    <w:rsid w:val="008B37A1"/>
    <w:rsid w:val="008B3BC7"/>
    <w:rsid w:val="008B3C4C"/>
    <w:rsid w:val="008B3C80"/>
    <w:rsid w:val="008B4031"/>
    <w:rsid w:val="008B4595"/>
    <w:rsid w:val="008B4D66"/>
    <w:rsid w:val="008B5B03"/>
    <w:rsid w:val="008B5C15"/>
    <w:rsid w:val="008B618D"/>
    <w:rsid w:val="008B67BE"/>
    <w:rsid w:val="008B6BFC"/>
    <w:rsid w:val="008B7987"/>
    <w:rsid w:val="008B7CDB"/>
    <w:rsid w:val="008B7D55"/>
    <w:rsid w:val="008B7F23"/>
    <w:rsid w:val="008C01A4"/>
    <w:rsid w:val="008C0897"/>
    <w:rsid w:val="008C0977"/>
    <w:rsid w:val="008C0F29"/>
    <w:rsid w:val="008C16E7"/>
    <w:rsid w:val="008C24EC"/>
    <w:rsid w:val="008C27FC"/>
    <w:rsid w:val="008C3003"/>
    <w:rsid w:val="008C3B1A"/>
    <w:rsid w:val="008C3CEB"/>
    <w:rsid w:val="008C3D34"/>
    <w:rsid w:val="008C48A3"/>
    <w:rsid w:val="008C4914"/>
    <w:rsid w:val="008C5044"/>
    <w:rsid w:val="008C5BB2"/>
    <w:rsid w:val="008C5DC1"/>
    <w:rsid w:val="008C5E86"/>
    <w:rsid w:val="008C6C59"/>
    <w:rsid w:val="008C7056"/>
    <w:rsid w:val="008C7340"/>
    <w:rsid w:val="008C7720"/>
    <w:rsid w:val="008D01C4"/>
    <w:rsid w:val="008D0416"/>
    <w:rsid w:val="008D094F"/>
    <w:rsid w:val="008D0C3A"/>
    <w:rsid w:val="008D0F4F"/>
    <w:rsid w:val="008D2157"/>
    <w:rsid w:val="008D27F1"/>
    <w:rsid w:val="008D2FFE"/>
    <w:rsid w:val="008D305E"/>
    <w:rsid w:val="008D3067"/>
    <w:rsid w:val="008D338B"/>
    <w:rsid w:val="008D3A77"/>
    <w:rsid w:val="008D3AEC"/>
    <w:rsid w:val="008D4825"/>
    <w:rsid w:val="008D4A60"/>
    <w:rsid w:val="008D4B40"/>
    <w:rsid w:val="008D4EB7"/>
    <w:rsid w:val="008D51F7"/>
    <w:rsid w:val="008D5326"/>
    <w:rsid w:val="008D53E0"/>
    <w:rsid w:val="008D55D4"/>
    <w:rsid w:val="008D5624"/>
    <w:rsid w:val="008D57EE"/>
    <w:rsid w:val="008D59B1"/>
    <w:rsid w:val="008D628E"/>
    <w:rsid w:val="008D6B93"/>
    <w:rsid w:val="008D6E47"/>
    <w:rsid w:val="008D73C8"/>
    <w:rsid w:val="008D749A"/>
    <w:rsid w:val="008D75F7"/>
    <w:rsid w:val="008D79C0"/>
    <w:rsid w:val="008D7B2B"/>
    <w:rsid w:val="008E022F"/>
    <w:rsid w:val="008E06B7"/>
    <w:rsid w:val="008E0765"/>
    <w:rsid w:val="008E0E89"/>
    <w:rsid w:val="008E11BD"/>
    <w:rsid w:val="008E16A2"/>
    <w:rsid w:val="008E181F"/>
    <w:rsid w:val="008E1954"/>
    <w:rsid w:val="008E1A05"/>
    <w:rsid w:val="008E1B08"/>
    <w:rsid w:val="008E1B99"/>
    <w:rsid w:val="008E1D54"/>
    <w:rsid w:val="008E21D9"/>
    <w:rsid w:val="008E287A"/>
    <w:rsid w:val="008E2B71"/>
    <w:rsid w:val="008E2DE7"/>
    <w:rsid w:val="008E35EB"/>
    <w:rsid w:val="008E3752"/>
    <w:rsid w:val="008E3E85"/>
    <w:rsid w:val="008E4694"/>
    <w:rsid w:val="008E4B57"/>
    <w:rsid w:val="008E5887"/>
    <w:rsid w:val="008E5DA0"/>
    <w:rsid w:val="008E60A4"/>
    <w:rsid w:val="008E62CE"/>
    <w:rsid w:val="008E78E5"/>
    <w:rsid w:val="008E7953"/>
    <w:rsid w:val="008F0A7C"/>
    <w:rsid w:val="008F0E04"/>
    <w:rsid w:val="008F1D1B"/>
    <w:rsid w:val="008F1DFB"/>
    <w:rsid w:val="008F2296"/>
    <w:rsid w:val="008F289D"/>
    <w:rsid w:val="008F2D21"/>
    <w:rsid w:val="008F3845"/>
    <w:rsid w:val="008F3A06"/>
    <w:rsid w:val="008F3BDD"/>
    <w:rsid w:val="008F3EDE"/>
    <w:rsid w:val="008F4092"/>
    <w:rsid w:val="008F4460"/>
    <w:rsid w:val="008F4A42"/>
    <w:rsid w:val="008F57EB"/>
    <w:rsid w:val="008F5E99"/>
    <w:rsid w:val="008F6734"/>
    <w:rsid w:val="008F6887"/>
    <w:rsid w:val="008F6C05"/>
    <w:rsid w:val="008F75AB"/>
    <w:rsid w:val="008F7719"/>
    <w:rsid w:val="008F79B2"/>
    <w:rsid w:val="008F7D41"/>
    <w:rsid w:val="009003A5"/>
    <w:rsid w:val="009005A7"/>
    <w:rsid w:val="00900DEF"/>
    <w:rsid w:val="00901070"/>
    <w:rsid w:val="009014E8"/>
    <w:rsid w:val="00901D87"/>
    <w:rsid w:val="009020A2"/>
    <w:rsid w:val="00902596"/>
    <w:rsid w:val="009025AD"/>
    <w:rsid w:val="00902613"/>
    <w:rsid w:val="00902760"/>
    <w:rsid w:val="0090390E"/>
    <w:rsid w:val="00903BAC"/>
    <w:rsid w:val="00905492"/>
    <w:rsid w:val="00906512"/>
    <w:rsid w:val="00906755"/>
    <w:rsid w:val="00906F23"/>
    <w:rsid w:val="00907C2D"/>
    <w:rsid w:val="00907CB7"/>
    <w:rsid w:val="00910237"/>
    <w:rsid w:val="009103BC"/>
    <w:rsid w:val="00910C35"/>
    <w:rsid w:val="009110EA"/>
    <w:rsid w:val="0091169B"/>
    <w:rsid w:val="00911A6E"/>
    <w:rsid w:val="00911FA7"/>
    <w:rsid w:val="009124B0"/>
    <w:rsid w:val="009124FE"/>
    <w:rsid w:val="00912E45"/>
    <w:rsid w:val="009135E1"/>
    <w:rsid w:val="00913673"/>
    <w:rsid w:val="00914730"/>
    <w:rsid w:val="00914EA3"/>
    <w:rsid w:val="009150A9"/>
    <w:rsid w:val="00915569"/>
    <w:rsid w:val="009161AE"/>
    <w:rsid w:val="00916603"/>
    <w:rsid w:val="00916920"/>
    <w:rsid w:val="00916FA3"/>
    <w:rsid w:val="009175AC"/>
    <w:rsid w:val="00917991"/>
    <w:rsid w:val="00917C6F"/>
    <w:rsid w:val="00917D38"/>
    <w:rsid w:val="00917D72"/>
    <w:rsid w:val="00917D89"/>
    <w:rsid w:val="00917E14"/>
    <w:rsid w:val="009200EA"/>
    <w:rsid w:val="00921BD6"/>
    <w:rsid w:val="00921E06"/>
    <w:rsid w:val="00921E08"/>
    <w:rsid w:val="00921E65"/>
    <w:rsid w:val="00921F59"/>
    <w:rsid w:val="009226C0"/>
    <w:rsid w:val="00922DA4"/>
    <w:rsid w:val="00923105"/>
    <w:rsid w:val="00923422"/>
    <w:rsid w:val="009237EF"/>
    <w:rsid w:val="009240DC"/>
    <w:rsid w:val="009243DD"/>
    <w:rsid w:val="0092459A"/>
    <w:rsid w:val="00924720"/>
    <w:rsid w:val="0092525B"/>
    <w:rsid w:val="009252A9"/>
    <w:rsid w:val="00925853"/>
    <w:rsid w:val="00925B50"/>
    <w:rsid w:val="00925B81"/>
    <w:rsid w:val="009263C7"/>
    <w:rsid w:val="00926422"/>
    <w:rsid w:val="00926EFA"/>
    <w:rsid w:val="00927378"/>
    <w:rsid w:val="00927556"/>
    <w:rsid w:val="009279E4"/>
    <w:rsid w:val="00930265"/>
    <w:rsid w:val="009303CE"/>
    <w:rsid w:val="0093052B"/>
    <w:rsid w:val="00930A19"/>
    <w:rsid w:val="00931937"/>
    <w:rsid w:val="00931B42"/>
    <w:rsid w:val="00931F91"/>
    <w:rsid w:val="009320E2"/>
    <w:rsid w:val="009327EC"/>
    <w:rsid w:val="00933067"/>
    <w:rsid w:val="0093388F"/>
    <w:rsid w:val="00933DBD"/>
    <w:rsid w:val="00933DE6"/>
    <w:rsid w:val="009340BC"/>
    <w:rsid w:val="00934C78"/>
    <w:rsid w:val="00934E3A"/>
    <w:rsid w:val="00935448"/>
    <w:rsid w:val="009365DD"/>
    <w:rsid w:val="00936AA8"/>
    <w:rsid w:val="00936C70"/>
    <w:rsid w:val="00936E80"/>
    <w:rsid w:val="00937658"/>
    <w:rsid w:val="009376DE"/>
    <w:rsid w:val="00937956"/>
    <w:rsid w:val="00940B7A"/>
    <w:rsid w:val="009417A8"/>
    <w:rsid w:val="009419DA"/>
    <w:rsid w:val="0094245E"/>
    <w:rsid w:val="0094264D"/>
    <w:rsid w:val="00942E7E"/>
    <w:rsid w:val="0094328A"/>
    <w:rsid w:val="0094376D"/>
    <w:rsid w:val="009439A8"/>
    <w:rsid w:val="00944F45"/>
    <w:rsid w:val="00945AE3"/>
    <w:rsid w:val="00945BE2"/>
    <w:rsid w:val="00946014"/>
    <w:rsid w:val="009461B9"/>
    <w:rsid w:val="009465E5"/>
    <w:rsid w:val="0094667A"/>
    <w:rsid w:val="00946FB5"/>
    <w:rsid w:val="0094730E"/>
    <w:rsid w:val="00947C49"/>
    <w:rsid w:val="00947EB3"/>
    <w:rsid w:val="00947F09"/>
    <w:rsid w:val="009503DC"/>
    <w:rsid w:val="0095051F"/>
    <w:rsid w:val="009505CB"/>
    <w:rsid w:val="009508FF"/>
    <w:rsid w:val="0095098B"/>
    <w:rsid w:val="00950ED1"/>
    <w:rsid w:val="00951F0A"/>
    <w:rsid w:val="0095243E"/>
    <w:rsid w:val="009528FE"/>
    <w:rsid w:val="00952978"/>
    <w:rsid w:val="00952CA1"/>
    <w:rsid w:val="0095322E"/>
    <w:rsid w:val="0095326F"/>
    <w:rsid w:val="009533D7"/>
    <w:rsid w:val="00953770"/>
    <w:rsid w:val="00953FFC"/>
    <w:rsid w:val="00954077"/>
    <w:rsid w:val="009542A0"/>
    <w:rsid w:val="00954579"/>
    <w:rsid w:val="009549F5"/>
    <w:rsid w:val="0095517C"/>
    <w:rsid w:val="00955A32"/>
    <w:rsid w:val="00956105"/>
    <w:rsid w:val="0095628C"/>
    <w:rsid w:val="00956CC9"/>
    <w:rsid w:val="009574B0"/>
    <w:rsid w:val="00957608"/>
    <w:rsid w:val="009601BE"/>
    <w:rsid w:val="009605A9"/>
    <w:rsid w:val="00960C15"/>
    <w:rsid w:val="009616C8"/>
    <w:rsid w:val="00962447"/>
    <w:rsid w:val="0096369A"/>
    <w:rsid w:val="009637F0"/>
    <w:rsid w:val="00963B06"/>
    <w:rsid w:val="00963EC4"/>
    <w:rsid w:val="0096417D"/>
    <w:rsid w:val="0096471B"/>
    <w:rsid w:val="009647F3"/>
    <w:rsid w:val="009654E3"/>
    <w:rsid w:val="00965C6C"/>
    <w:rsid w:val="00965F91"/>
    <w:rsid w:val="0096632A"/>
    <w:rsid w:val="009663FF"/>
    <w:rsid w:val="009664A6"/>
    <w:rsid w:val="009665B5"/>
    <w:rsid w:val="00966963"/>
    <w:rsid w:val="00966E4A"/>
    <w:rsid w:val="00967199"/>
    <w:rsid w:val="009671E5"/>
    <w:rsid w:val="009678C8"/>
    <w:rsid w:val="00967D3A"/>
    <w:rsid w:val="00967EBD"/>
    <w:rsid w:val="00967FEB"/>
    <w:rsid w:val="0097001C"/>
    <w:rsid w:val="0097063D"/>
    <w:rsid w:val="009708B5"/>
    <w:rsid w:val="00970ECE"/>
    <w:rsid w:val="0097101A"/>
    <w:rsid w:val="0097120E"/>
    <w:rsid w:val="00971379"/>
    <w:rsid w:val="00971B3E"/>
    <w:rsid w:val="00971B5F"/>
    <w:rsid w:val="009725B9"/>
    <w:rsid w:val="009727EC"/>
    <w:rsid w:val="0097337E"/>
    <w:rsid w:val="009734D5"/>
    <w:rsid w:val="00973D79"/>
    <w:rsid w:val="009742AE"/>
    <w:rsid w:val="00974B0A"/>
    <w:rsid w:val="009755B8"/>
    <w:rsid w:val="009760CD"/>
    <w:rsid w:val="009767A4"/>
    <w:rsid w:val="00976AD1"/>
    <w:rsid w:val="00976CF5"/>
    <w:rsid w:val="009770BA"/>
    <w:rsid w:val="00977960"/>
    <w:rsid w:val="00977A12"/>
    <w:rsid w:val="00977EFE"/>
    <w:rsid w:val="0098068B"/>
    <w:rsid w:val="00981161"/>
    <w:rsid w:val="009812FD"/>
    <w:rsid w:val="00981BF5"/>
    <w:rsid w:val="00981C43"/>
    <w:rsid w:val="00982F10"/>
    <w:rsid w:val="009833F7"/>
    <w:rsid w:val="009836F0"/>
    <w:rsid w:val="00983BA8"/>
    <w:rsid w:val="009840F1"/>
    <w:rsid w:val="009842A6"/>
    <w:rsid w:val="009846B6"/>
    <w:rsid w:val="0098495E"/>
    <w:rsid w:val="00984B03"/>
    <w:rsid w:val="00987314"/>
    <w:rsid w:val="0098768A"/>
    <w:rsid w:val="00987A91"/>
    <w:rsid w:val="00990619"/>
    <w:rsid w:val="00990B1E"/>
    <w:rsid w:val="00990B35"/>
    <w:rsid w:val="009925DE"/>
    <w:rsid w:val="00992ADE"/>
    <w:rsid w:val="00992BFB"/>
    <w:rsid w:val="0099370E"/>
    <w:rsid w:val="009938C0"/>
    <w:rsid w:val="009945F8"/>
    <w:rsid w:val="009949B7"/>
    <w:rsid w:val="009951BF"/>
    <w:rsid w:val="00995BB4"/>
    <w:rsid w:val="00996461"/>
    <w:rsid w:val="00996947"/>
    <w:rsid w:val="00996A83"/>
    <w:rsid w:val="00996B33"/>
    <w:rsid w:val="0099767B"/>
    <w:rsid w:val="009978E4"/>
    <w:rsid w:val="00997D37"/>
    <w:rsid w:val="00997D50"/>
    <w:rsid w:val="00997E12"/>
    <w:rsid w:val="009A065C"/>
    <w:rsid w:val="009A0D90"/>
    <w:rsid w:val="009A1441"/>
    <w:rsid w:val="009A1B81"/>
    <w:rsid w:val="009A28C3"/>
    <w:rsid w:val="009A2DF2"/>
    <w:rsid w:val="009A2F35"/>
    <w:rsid w:val="009A2FC8"/>
    <w:rsid w:val="009A3417"/>
    <w:rsid w:val="009A3723"/>
    <w:rsid w:val="009A3776"/>
    <w:rsid w:val="009A3D59"/>
    <w:rsid w:val="009A49E7"/>
    <w:rsid w:val="009A4BD3"/>
    <w:rsid w:val="009A4F90"/>
    <w:rsid w:val="009A51F8"/>
    <w:rsid w:val="009A6555"/>
    <w:rsid w:val="009A660C"/>
    <w:rsid w:val="009A6D38"/>
    <w:rsid w:val="009A6E02"/>
    <w:rsid w:val="009A6FDE"/>
    <w:rsid w:val="009A7C7A"/>
    <w:rsid w:val="009A7DBF"/>
    <w:rsid w:val="009B01E7"/>
    <w:rsid w:val="009B12F4"/>
    <w:rsid w:val="009B18BC"/>
    <w:rsid w:val="009B1936"/>
    <w:rsid w:val="009B1A76"/>
    <w:rsid w:val="009B1E37"/>
    <w:rsid w:val="009B3AB6"/>
    <w:rsid w:val="009B3D4B"/>
    <w:rsid w:val="009B3F2C"/>
    <w:rsid w:val="009B4178"/>
    <w:rsid w:val="009B41D7"/>
    <w:rsid w:val="009B42C6"/>
    <w:rsid w:val="009B4B52"/>
    <w:rsid w:val="009B5825"/>
    <w:rsid w:val="009B5BBF"/>
    <w:rsid w:val="009B5D3E"/>
    <w:rsid w:val="009B659C"/>
    <w:rsid w:val="009B6D50"/>
    <w:rsid w:val="009B71B0"/>
    <w:rsid w:val="009B7A40"/>
    <w:rsid w:val="009B7BA0"/>
    <w:rsid w:val="009C02DD"/>
    <w:rsid w:val="009C03A3"/>
    <w:rsid w:val="009C05A2"/>
    <w:rsid w:val="009C05B6"/>
    <w:rsid w:val="009C11DB"/>
    <w:rsid w:val="009C1248"/>
    <w:rsid w:val="009C12CE"/>
    <w:rsid w:val="009C16CC"/>
    <w:rsid w:val="009C189C"/>
    <w:rsid w:val="009C1A2D"/>
    <w:rsid w:val="009C1BF8"/>
    <w:rsid w:val="009C2093"/>
    <w:rsid w:val="009C24F9"/>
    <w:rsid w:val="009C2902"/>
    <w:rsid w:val="009C2A85"/>
    <w:rsid w:val="009C2E48"/>
    <w:rsid w:val="009C3A03"/>
    <w:rsid w:val="009C418A"/>
    <w:rsid w:val="009C41F6"/>
    <w:rsid w:val="009C48E7"/>
    <w:rsid w:val="009C4DE3"/>
    <w:rsid w:val="009C4FEB"/>
    <w:rsid w:val="009C5819"/>
    <w:rsid w:val="009C5E51"/>
    <w:rsid w:val="009C6496"/>
    <w:rsid w:val="009C666D"/>
    <w:rsid w:val="009C6857"/>
    <w:rsid w:val="009C6DA6"/>
    <w:rsid w:val="009C6EE9"/>
    <w:rsid w:val="009C725C"/>
    <w:rsid w:val="009D05EB"/>
    <w:rsid w:val="009D096C"/>
    <w:rsid w:val="009D0A31"/>
    <w:rsid w:val="009D2F45"/>
    <w:rsid w:val="009D39EE"/>
    <w:rsid w:val="009D3EDC"/>
    <w:rsid w:val="009D3F2D"/>
    <w:rsid w:val="009D41D7"/>
    <w:rsid w:val="009D4773"/>
    <w:rsid w:val="009D4FFB"/>
    <w:rsid w:val="009D53D6"/>
    <w:rsid w:val="009D56A9"/>
    <w:rsid w:val="009D5753"/>
    <w:rsid w:val="009D5933"/>
    <w:rsid w:val="009D5965"/>
    <w:rsid w:val="009D655A"/>
    <w:rsid w:val="009D6744"/>
    <w:rsid w:val="009D6849"/>
    <w:rsid w:val="009D6ED6"/>
    <w:rsid w:val="009D724D"/>
    <w:rsid w:val="009D73FE"/>
    <w:rsid w:val="009E0E2B"/>
    <w:rsid w:val="009E119D"/>
    <w:rsid w:val="009E121E"/>
    <w:rsid w:val="009E13FC"/>
    <w:rsid w:val="009E19EB"/>
    <w:rsid w:val="009E1B22"/>
    <w:rsid w:val="009E1B57"/>
    <w:rsid w:val="009E1DAB"/>
    <w:rsid w:val="009E2548"/>
    <w:rsid w:val="009E2A22"/>
    <w:rsid w:val="009E329B"/>
    <w:rsid w:val="009E39D8"/>
    <w:rsid w:val="009E460C"/>
    <w:rsid w:val="009E5187"/>
    <w:rsid w:val="009E5B0F"/>
    <w:rsid w:val="009E626B"/>
    <w:rsid w:val="009E6CCD"/>
    <w:rsid w:val="009E6EDE"/>
    <w:rsid w:val="009E7539"/>
    <w:rsid w:val="009E777A"/>
    <w:rsid w:val="009E7940"/>
    <w:rsid w:val="009E79FC"/>
    <w:rsid w:val="009F00E2"/>
    <w:rsid w:val="009F0293"/>
    <w:rsid w:val="009F09A8"/>
    <w:rsid w:val="009F0B03"/>
    <w:rsid w:val="009F0CE8"/>
    <w:rsid w:val="009F1501"/>
    <w:rsid w:val="009F1D02"/>
    <w:rsid w:val="009F2227"/>
    <w:rsid w:val="009F24CF"/>
    <w:rsid w:val="009F27D6"/>
    <w:rsid w:val="009F2A5A"/>
    <w:rsid w:val="009F33E2"/>
    <w:rsid w:val="009F35C5"/>
    <w:rsid w:val="009F369F"/>
    <w:rsid w:val="009F3802"/>
    <w:rsid w:val="009F3EEA"/>
    <w:rsid w:val="009F401F"/>
    <w:rsid w:val="009F42BC"/>
    <w:rsid w:val="009F4BE0"/>
    <w:rsid w:val="009F59D9"/>
    <w:rsid w:val="009F5ADB"/>
    <w:rsid w:val="009F6A04"/>
    <w:rsid w:val="009F6AD3"/>
    <w:rsid w:val="009F6D1B"/>
    <w:rsid w:val="009F73B4"/>
    <w:rsid w:val="009F74D5"/>
    <w:rsid w:val="009F75F5"/>
    <w:rsid w:val="009F7740"/>
    <w:rsid w:val="009F7889"/>
    <w:rsid w:val="009F78BE"/>
    <w:rsid w:val="009F7962"/>
    <w:rsid w:val="00A00055"/>
    <w:rsid w:val="00A0031D"/>
    <w:rsid w:val="00A004C1"/>
    <w:rsid w:val="00A00D4D"/>
    <w:rsid w:val="00A01ECD"/>
    <w:rsid w:val="00A01EF7"/>
    <w:rsid w:val="00A02A95"/>
    <w:rsid w:val="00A03422"/>
    <w:rsid w:val="00A03426"/>
    <w:rsid w:val="00A0397E"/>
    <w:rsid w:val="00A03A24"/>
    <w:rsid w:val="00A03C94"/>
    <w:rsid w:val="00A0498A"/>
    <w:rsid w:val="00A04E7E"/>
    <w:rsid w:val="00A0501C"/>
    <w:rsid w:val="00A051F9"/>
    <w:rsid w:val="00A05742"/>
    <w:rsid w:val="00A05834"/>
    <w:rsid w:val="00A05A73"/>
    <w:rsid w:val="00A060B6"/>
    <w:rsid w:val="00A0680F"/>
    <w:rsid w:val="00A06C4E"/>
    <w:rsid w:val="00A06CCB"/>
    <w:rsid w:val="00A06CEC"/>
    <w:rsid w:val="00A06FE1"/>
    <w:rsid w:val="00A0735A"/>
    <w:rsid w:val="00A07419"/>
    <w:rsid w:val="00A07944"/>
    <w:rsid w:val="00A10766"/>
    <w:rsid w:val="00A10B24"/>
    <w:rsid w:val="00A11218"/>
    <w:rsid w:val="00A114D4"/>
    <w:rsid w:val="00A119B5"/>
    <w:rsid w:val="00A11A45"/>
    <w:rsid w:val="00A11C58"/>
    <w:rsid w:val="00A11CD4"/>
    <w:rsid w:val="00A12129"/>
    <w:rsid w:val="00A125F7"/>
    <w:rsid w:val="00A12D21"/>
    <w:rsid w:val="00A13373"/>
    <w:rsid w:val="00A13737"/>
    <w:rsid w:val="00A13AE9"/>
    <w:rsid w:val="00A13DAE"/>
    <w:rsid w:val="00A13FE0"/>
    <w:rsid w:val="00A1415A"/>
    <w:rsid w:val="00A14240"/>
    <w:rsid w:val="00A14B4C"/>
    <w:rsid w:val="00A14C77"/>
    <w:rsid w:val="00A14DC5"/>
    <w:rsid w:val="00A150FA"/>
    <w:rsid w:val="00A1544F"/>
    <w:rsid w:val="00A156E6"/>
    <w:rsid w:val="00A15E13"/>
    <w:rsid w:val="00A16877"/>
    <w:rsid w:val="00A17665"/>
    <w:rsid w:val="00A1795C"/>
    <w:rsid w:val="00A20809"/>
    <w:rsid w:val="00A20C0C"/>
    <w:rsid w:val="00A21586"/>
    <w:rsid w:val="00A226AE"/>
    <w:rsid w:val="00A228E8"/>
    <w:rsid w:val="00A237A9"/>
    <w:rsid w:val="00A23885"/>
    <w:rsid w:val="00A24658"/>
    <w:rsid w:val="00A24F7F"/>
    <w:rsid w:val="00A257A9"/>
    <w:rsid w:val="00A25D02"/>
    <w:rsid w:val="00A26087"/>
    <w:rsid w:val="00A2691D"/>
    <w:rsid w:val="00A30044"/>
    <w:rsid w:val="00A30061"/>
    <w:rsid w:val="00A302E8"/>
    <w:rsid w:val="00A303A1"/>
    <w:rsid w:val="00A3042A"/>
    <w:rsid w:val="00A308EA"/>
    <w:rsid w:val="00A30A0A"/>
    <w:rsid w:val="00A30B2A"/>
    <w:rsid w:val="00A31818"/>
    <w:rsid w:val="00A31AA7"/>
    <w:rsid w:val="00A31CE3"/>
    <w:rsid w:val="00A31D39"/>
    <w:rsid w:val="00A31F72"/>
    <w:rsid w:val="00A32167"/>
    <w:rsid w:val="00A32BDF"/>
    <w:rsid w:val="00A32E79"/>
    <w:rsid w:val="00A3301D"/>
    <w:rsid w:val="00A333F0"/>
    <w:rsid w:val="00A33580"/>
    <w:rsid w:val="00A33E48"/>
    <w:rsid w:val="00A344FB"/>
    <w:rsid w:val="00A346FB"/>
    <w:rsid w:val="00A34777"/>
    <w:rsid w:val="00A34AD8"/>
    <w:rsid w:val="00A34F6C"/>
    <w:rsid w:val="00A35090"/>
    <w:rsid w:val="00A36065"/>
    <w:rsid w:val="00A365C0"/>
    <w:rsid w:val="00A374CC"/>
    <w:rsid w:val="00A40103"/>
    <w:rsid w:val="00A406FC"/>
    <w:rsid w:val="00A40AF1"/>
    <w:rsid w:val="00A41432"/>
    <w:rsid w:val="00A4210A"/>
    <w:rsid w:val="00A42AB8"/>
    <w:rsid w:val="00A42B64"/>
    <w:rsid w:val="00A42D02"/>
    <w:rsid w:val="00A433B1"/>
    <w:rsid w:val="00A44131"/>
    <w:rsid w:val="00A447D7"/>
    <w:rsid w:val="00A45113"/>
    <w:rsid w:val="00A455D4"/>
    <w:rsid w:val="00A46758"/>
    <w:rsid w:val="00A46B00"/>
    <w:rsid w:val="00A46EC6"/>
    <w:rsid w:val="00A47D09"/>
    <w:rsid w:val="00A5027D"/>
    <w:rsid w:val="00A507D1"/>
    <w:rsid w:val="00A51C68"/>
    <w:rsid w:val="00A52138"/>
    <w:rsid w:val="00A52950"/>
    <w:rsid w:val="00A52E0F"/>
    <w:rsid w:val="00A52E3E"/>
    <w:rsid w:val="00A531BB"/>
    <w:rsid w:val="00A53623"/>
    <w:rsid w:val="00A548C3"/>
    <w:rsid w:val="00A54B39"/>
    <w:rsid w:val="00A54C8E"/>
    <w:rsid w:val="00A554DE"/>
    <w:rsid w:val="00A55D7B"/>
    <w:rsid w:val="00A56267"/>
    <w:rsid w:val="00A57DBD"/>
    <w:rsid w:val="00A6017B"/>
    <w:rsid w:val="00A606DF"/>
    <w:rsid w:val="00A615B7"/>
    <w:rsid w:val="00A618C9"/>
    <w:rsid w:val="00A621A2"/>
    <w:rsid w:val="00A62A0A"/>
    <w:rsid w:val="00A631A5"/>
    <w:rsid w:val="00A631BB"/>
    <w:rsid w:val="00A6337E"/>
    <w:rsid w:val="00A6373C"/>
    <w:rsid w:val="00A641A1"/>
    <w:rsid w:val="00A644C6"/>
    <w:rsid w:val="00A648EB"/>
    <w:rsid w:val="00A64A2C"/>
    <w:rsid w:val="00A65515"/>
    <w:rsid w:val="00A66167"/>
    <w:rsid w:val="00A6697A"/>
    <w:rsid w:val="00A66B09"/>
    <w:rsid w:val="00A670F2"/>
    <w:rsid w:val="00A6732D"/>
    <w:rsid w:val="00A6737B"/>
    <w:rsid w:val="00A67451"/>
    <w:rsid w:val="00A67B64"/>
    <w:rsid w:val="00A7021A"/>
    <w:rsid w:val="00A70678"/>
    <w:rsid w:val="00A707BF"/>
    <w:rsid w:val="00A70954"/>
    <w:rsid w:val="00A70E67"/>
    <w:rsid w:val="00A71215"/>
    <w:rsid w:val="00A712D7"/>
    <w:rsid w:val="00A71A0A"/>
    <w:rsid w:val="00A71AAB"/>
    <w:rsid w:val="00A71C7C"/>
    <w:rsid w:val="00A72041"/>
    <w:rsid w:val="00A72280"/>
    <w:rsid w:val="00A7232D"/>
    <w:rsid w:val="00A728AE"/>
    <w:rsid w:val="00A730EC"/>
    <w:rsid w:val="00A732BE"/>
    <w:rsid w:val="00A737B0"/>
    <w:rsid w:val="00A738C2"/>
    <w:rsid w:val="00A739A6"/>
    <w:rsid w:val="00A73A1B"/>
    <w:rsid w:val="00A73D75"/>
    <w:rsid w:val="00A75408"/>
    <w:rsid w:val="00A759B2"/>
    <w:rsid w:val="00A765CC"/>
    <w:rsid w:val="00A76C2F"/>
    <w:rsid w:val="00A76EE1"/>
    <w:rsid w:val="00A77610"/>
    <w:rsid w:val="00A77792"/>
    <w:rsid w:val="00A803DB"/>
    <w:rsid w:val="00A81284"/>
    <w:rsid w:val="00A816BE"/>
    <w:rsid w:val="00A81E87"/>
    <w:rsid w:val="00A82AED"/>
    <w:rsid w:val="00A82B3A"/>
    <w:rsid w:val="00A82F70"/>
    <w:rsid w:val="00A8334E"/>
    <w:rsid w:val="00A83A6F"/>
    <w:rsid w:val="00A83B8E"/>
    <w:rsid w:val="00A83D5C"/>
    <w:rsid w:val="00A84028"/>
    <w:rsid w:val="00A8406C"/>
    <w:rsid w:val="00A844DF"/>
    <w:rsid w:val="00A850DB"/>
    <w:rsid w:val="00A85713"/>
    <w:rsid w:val="00A85AC8"/>
    <w:rsid w:val="00A860C4"/>
    <w:rsid w:val="00A8659A"/>
    <w:rsid w:val="00A86C09"/>
    <w:rsid w:val="00A86F70"/>
    <w:rsid w:val="00A87B9A"/>
    <w:rsid w:val="00A901F2"/>
    <w:rsid w:val="00A904D9"/>
    <w:rsid w:val="00A9126B"/>
    <w:rsid w:val="00A91893"/>
    <w:rsid w:val="00A9298F"/>
    <w:rsid w:val="00A92BF9"/>
    <w:rsid w:val="00A94908"/>
    <w:rsid w:val="00A94C6B"/>
    <w:rsid w:val="00A94EA6"/>
    <w:rsid w:val="00A94F26"/>
    <w:rsid w:val="00A9544D"/>
    <w:rsid w:val="00A95874"/>
    <w:rsid w:val="00A9641C"/>
    <w:rsid w:val="00A966BA"/>
    <w:rsid w:val="00A96C40"/>
    <w:rsid w:val="00AA0802"/>
    <w:rsid w:val="00AA0E9E"/>
    <w:rsid w:val="00AA24E5"/>
    <w:rsid w:val="00AA298F"/>
    <w:rsid w:val="00AA3DA3"/>
    <w:rsid w:val="00AA46B3"/>
    <w:rsid w:val="00AA4D30"/>
    <w:rsid w:val="00AA4E3D"/>
    <w:rsid w:val="00AA5073"/>
    <w:rsid w:val="00AA5364"/>
    <w:rsid w:val="00AA55C1"/>
    <w:rsid w:val="00AA566F"/>
    <w:rsid w:val="00AA5BA8"/>
    <w:rsid w:val="00AA61C4"/>
    <w:rsid w:val="00AA6269"/>
    <w:rsid w:val="00AA69D1"/>
    <w:rsid w:val="00AA6B4B"/>
    <w:rsid w:val="00AA74CB"/>
    <w:rsid w:val="00AA7AD8"/>
    <w:rsid w:val="00AA7C79"/>
    <w:rsid w:val="00AB0447"/>
    <w:rsid w:val="00AB0873"/>
    <w:rsid w:val="00AB0BF1"/>
    <w:rsid w:val="00AB0EBD"/>
    <w:rsid w:val="00AB0F0E"/>
    <w:rsid w:val="00AB1168"/>
    <w:rsid w:val="00AB1231"/>
    <w:rsid w:val="00AB1560"/>
    <w:rsid w:val="00AB165C"/>
    <w:rsid w:val="00AB1680"/>
    <w:rsid w:val="00AB1A24"/>
    <w:rsid w:val="00AB1B19"/>
    <w:rsid w:val="00AB1BC7"/>
    <w:rsid w:val="00AB22EF"/>
    <w:rsid w:val="00AB28D0"/>
    <w:rsid w:val="00AB31BE"/>
    <w:rsid w:val="00AB3858"/>
    <w:rsid w:val="00AB4293"/>
    <w:rsid w:val="00AB50C6"/>
    <w:rsid w:val="00AB581E"/>
    <w:rsid w:val="00AB5B7B"/>
    <w:rsid w:val="00AB62B9"/>
    <w:rsid w:val="00AB6A19"/>
    <w:rsid w:val="00AB6C43"/>
    <w:rsid w:val="00AB701D"/>
    <w:rsid w:val="00AB716E"/>
    <w:rsid w:val="00AB7482"/>
    <w:rsid w:val="00AB79EE"/>
    <w:rsid w:val="00AB7D31"/>
    <w:rsid w:val="00AB7D45"/>
    <w:rsid w:val="00AC053C"/>
    <w:rsid w:val="00AC10D3"/>
    <w:rsid w:val="00AC12E3"/>
    <w:rsid w:val="00AC2477"/>
    <w:rsid w:val="00AC26DD"/>
    <w:rsid w:val="00AC2BA3"/>
    <w:rsid w:val="00AC2EC4"/>
    <w:rsid w:val="00AC2EFA"/>
    <w:rsid w:val="00AC2FB4"/>
    <w:rsid w:val="00AC43CC"/>
    <w:rsid w:val="00AC560C"/>
    <w:rsid w:val="00AC57CE"/>
    <w:rsid w:val="00AC635E"/>
    <w:rsid w:val="00AC65B4"/>
    <w:rsid w:val="00AC66AF"/>
    <w:rsid w:val="00AC680D"/>
    <w:rsid w:val="00AC684B"/>
    <w:rsid w:val="00AC6F8E"/>
    <w:rsid w:val="00AC72EB"/>
    <w:rsid w:val="00AC73AE"/>
    <w:rsid w:val="00AC7738"/>
    <w:rsid w:val="00AC78BA"/>
    <w:rsid w:val="00AD156B"/>
    <w:rsid w:val="00AD172F"/>
    <w:rsid w:val="00AD17F7"/>
    <w:rsid w:val="00AD19F5"/>
    <w:rsid w:val="00AD1B25"/>
    <w:rsid w:val="00AD1D50"/>
    <w:rsid w:val="00AD2108"/>
    <w:rsid w:val="00AD2195"/>
    <w:rsid w:val="00AD2B35"/>
    <w:rsid w:val="00AD3231"/>
    <w:rsid w:val="00AD3E46"/>
    <w:rsid w:val="00AD4388"/>
    <w:rsid w:val="00AD4D53"/>
    <w:rsid w:val="00AD5725"/>
    <w:rsid w:val="00AD5C77"/>
    <w:rsid w:val="00AD5F1C"/>
    <w:rsid w:val="00AD5FFD"/>
    <w:rsid w:val="00AD6E50"/>
    <w:rsid w:val="00AD75A1"/>
    <w:rsid w:val="00AD7928"/>
    <w:rsid w:val="00AD7A11"/>
    <w:rsid w:val="00AD7EA3"/>
    <w:rsid w:val="00AE0B8B"/>
    <w:rsid w:val="00AE1B53"/>
    <w:rsid w:val="00AE1DF0"/>
    <w:rsid w:val="00AE1DFB"/>
    <w:rsid w:val="00AE1E06"/>
    <w:rsid w:val="00AE2899"/>
    <w:rsid w:val="00AE2DB5"/>
    <w:rsid w:val="00AE2EC1"/>
    <w:rsid w:val="00AE33ED"/>
    <w:rsid w:val="00AE3DBF"/>
    <w:rsid w:val="00AE4351"/>
    <w:rsid w:val="00AE6114"/>
    <w:rsid w:val="00AE649C"/>
    <w:rsid w:val="00AE69FD"/>
    <w:rsid w:val="00AE7629"/>
    <w:rsid w:val="00AE7FE8"/>
    <w:rsid w:val="00AF029B"/>
    <w:rsid w:val="00AF031D"/>
    <w:rsid w:val="00AF0795"/>
    <w:rsid w:val="00AF10F0"/>
    <w:rsid w:val="00AF1B20"/>
    <w:rsid w:val="00AF1C66"/>
    <w:rsid w:val="00AF1CC3"/>
    <w:rsid w:val="00AF1E20"/>
    <w:rsid w:val="00AF2262"/>
    <w:rsid w:val="00AF2E28"/>
    <w:rsid w:val="00AF3356"/>
    <w:rsid w:val="00AF34C4"/>
    <w:rsid w:val="00AF36D5"/>
    <w:rsid w:val="00AF3851"/>
    <w:rsid w:val="00AF4A3B"/>
    <w:rsid w:val="00AF4AFB"/>
    <w:rsid w:val="00AF4C4D"/>
    <w:rsid w:val="00AF5EB0"/>
    <w:rsid w:val="00AF6059"/>
    <w:rsid w:val="00AF6DF8"/>
    <w:rsid w:val="00AF7130"/>
    <w:rsid w:val="00AF719B"/>
    <w:rsid w:val="00AF74EE"/>
    <w:rsid w:val="00AF7CC3"/>
    <w:rsid w:val="00AF7F9F"/>
    <w:rsid w:val="00B005F2"/>
    <w:rsid w:val="00B009AF"/>
    <w:rsid w:val="00B00E05"/>
    <w:rsid w:val="00B013DA"/>
    <w:rsid w:val="00B0147C"/>
    <w:rsid w:val="00B01C4C"/>
    <w:rsid w:val="00B01CF7"/>
    <w:rsid w:val="00B02316"/>
    <w:rsid w:val="00B0241E"/>
    <w:rsid w:val="00B02E41"/>
    <w:rsid w:val="00B034D1"/>
    <w:rsid w:val="00B039D6"/>
    <w:rsid w:val="00B03BF9"/>
    <w:rsid w:val="00B03C6A"/>
    <w:rsid w:val="00B041AF"/>
    <w:rsid w:val="00B0434F"/>
    <w:rsid w:val="00B04498"/>
    <w:rsid w:val="00B04E14"/>
    <w:rsid w:val="00B058C7"/>
    <w:rsid w:val="00B05C57"/>
    <w:rsid w:val="00B067A1"/>
    <w:rsid w:val="00B072A2"/>
    <w:rsid w:val="00B07302"/>
    <w:rsid w:val="00B076B3"/>
    <w:rsid w:val="00B0788E"/>
    <w:rsid w:val="00B10135"/>
    <w:rsid w:val="00B107A5"/>
    <w:rsid w:val="00B108F8"/>
    <w:rsid w:val="00B1110E"/>
    <w:rsid w:val="00B111A6"/>
    <w:rsid w:val="00B11250"/>
    <w:rsid w:val="00B11EA8"/>
    <w:rsid w:val="00B11F42"/>
    <w:rsid w:val="00B1286A"/>
    <w:rsid w:val="00B12916"/>
    <w:rsid w:val="00B129CB"/>
    <w:rsid w:val="00B12A15"/>
    <w:rsid w:val="00B12A62"/>
    <w:rsid w:val="00B12D5F"/>
    <w:rsid w:val="00B12D64"/>
    <w:rsid w:val="00B12F02"/>
    <w:rsid w:val="00B13A4B"/>
    <w:rsid w:val="00B13B9E"/>
    <w:rsid w:val="00B13C81"/>
    <w:rsid w:val="00B14143"/>
    <w:rsid w:val="00B14480"/>
    <w:rsid w:val="00B1564F"/>
    <w:rsid w:val="00B15BB7"/>
    <w:rsid w:val="00B15D59"/>
    <w:rsid w:val="00B16C94"/>
    <w:rsid w:val="00B1748A"/>
    <w:rsid w:val="00B17D5A"/>
    <w:rsid w:val="00B20247"/>
    <w:rsid w:val="00B2038F"/>
    <w:rsid w:val="00B20C81"/>
    <w:rsid w:val="00B22991"/>
    <w:rsid w:val="00B22E96"/>
    <w:rsid w:val="00B22FDE"/>
    <w:rsid w:val="00B239DC"/>
    <w:rsid w:val="00B23ECB"/>
    <w:rsid w:val="00B23F1B"/>
    <w:rsid w:val="00B242FB"/>
    <w:rsid w:val="00B249B7"/>
    <w:rsid w:val="00B252D6"/>
    <w:rsid w:val="00B2533E"/>
    <w:rsid w:val="00B254E5"/>
    <w:rsid w:val="00B2582C"/>
    <w:rsid w:val="00B2590D"/>
    <w:rsid w:val="00B25D3E"/>
    <w:rsid w:val="00B2619C"/>
    <w:rsid w:val="00B2637F"/>
    <w:rsid w:val="00B2686F"/>
    <w:rsid w:val="00B26AAC"/>
    <w:rsid w:val="00B26BA7"/>
    <w:rsid w:val="00B27655"/>
    <w:rsid w:val="00B2790C"/>
    <w:rsid w:val="00B2794B"/>
    <w:rsid w:val="00B27FD3"/>
    <w:rsid w:val="00B30011"/>
    <w:rsid w:val="00B301AF"/>
    <w:rsid w:val="00B306F6"/>
    <w:rsid w:val="00B30DE5"/>
    <w:rsid w:val="00B30FB3"/>
    <w:rsid w:val="00B3160A"/>
    <w:rsid w:val="00B3170B"/>
    <w:rsid w:val="00B32655"/>
    <w:rsid w:val="00B32B15"/>
    <w:rsid w:val="00B33448"/>
    <w:rsid w:val="00B33BFB"/>
    <w:rsid w:val="00B33D74"/>
    <w:rsid w:val="00B34165"/>
    <w:rsid w:val="00B3467A"/>
    <w:rsid w:val="00B35146"/>
    <w:rsid w:val="00B35A17"/>
    <w:rsid w:val="00B35FF7"/>
    <w:rsid w:val="00B37868"/>
    <w:rsid w:val="00B37D6B"/>
    <w:rsid w:val="00B4002E"/>
    <w:rsid w:val="00B4045B"/>
    <w:rsid w:val="00B40B44"/>
    <w:rsid w:val="00B40C52"/>
    <w:rsid w:val="00B40C59"/>
    <w:rsid w:val="00B410AD"/>
    <w:rsid w:val="00B41AA0"/>
    <w:rsid w:val="00B41ACC"/>
    <w:rsid w:val="00B41F99"/>
    <w:rsid w:val="00B42B90"/>
    <w:rsid w:val="00B42BA4"/>
    <w:rsid w:val="00B44392"/>
    <w:rsid w:val="00B4451C"/>
    <w:rsid w:val="00B44E27"/>
    <w:rsid w:val="00B46182"/>
    <w:rsid w:val="00B46266"/>
    <w:rsid w:val="00B46DA8"/>
    <w:rsid w:val="00B46F77"/>
    <w:rsid w:val="00B473D6"/>
    <w:rsid w:val="00B4764B"/>
    <w:rsid w:val="00B4768E"/>
    <w:rsid w:val="00B478CD"/>
    <w:rsid w:val="00B50A16"/>
    <w:rsid w:val="00B50A65"/>
    <w:rsid w:val="00B51018"/>
    <w:rsid w:val="00B511EB"/>
    <w:rsid w:val="00B51218"/>
    <w:rsid w:val="00B51270"/>
    <w:rsid w:val="00B513DD"/>
    <w:rsid w:val="00B52304"/>
    <w:rsid w:val="00B52405"/>
    <w:rsid w:val="00B52467"/>
    <w:rsid w:val="00B529F0"/>
    <w:rsid w:val="00B52EA4"/>
    <w:rsid w:val="00B533E3"/>
    <w:rsid w:val="00B539FA"/>
    <w:rsid w:val="00B5462E"/>
    <w:rsid w:val="00B54865"/>
    <w:rsid w:val="00B548CD"/>
    <w:rsid w:val="00B554C9"/>
    <w:rsid w:val="00B55ED6"/>
    <w:rsid w:val="00B55F5E"/>
    <w:rsid w:val="00B56789"/>
    <w:rsid w:val="00B56E6D"/>
    <w:rsid w:val="00B56E8A"/>
    <w:rsid w:val="00B57552"/>
    <w:rsid w:val="00B5756F"/>
    <w:rsid w:val="00B57735"/>
    <w:rsid w:val="00B600C1"/>
    <w:rsid w:val="00B6012D"/>
    <w:rsid w:val="00B603F5"/>
    <w:rsid w:val="00B607B8"/>
    <w:rsid w:val="00B6100A"/>
    <w:rsid w:val="00B61244"/>
    <w:rsid w:val="00B61A33"/>
    <w:rsid w:val="00B61BE5"/>
    <w:rsid w:val="00B61D95"/>
    <w:rsid w:val="00B62311"/>
    <w:rsid w:val="00B6240C"/>
    <w:rsid w:val="00B63179"/>
    <w:rsid w:val="00B63338"/>
    <w:rsid w:val="00B6357B"/>
    <w:rsid w:val="00B63EE4"/>
    <w:rsid w:val="00B63F45"/>
    <w:rsid w:val="00B64207"/>
    <w:rsid w:val="00B64217"/>
    <w:rsid w:val="00B647B8"/>
    <w:rsid w:val="00B6519A"/>
    <w:rsid w:val="00B65400"/>
    <w:rsid w:val="00B65488"/>
    <w:rsid w:val="00B6596F"/>
    <w:rsid w:val="00B66622"/>
    <w:rsid w:val="00B66699"/>
    <w:rsid w:val="00B66A9F"/>
    <w:rsid w:val="00B66C53"/>
    <w:rsid w:val="00B67188"/>
    <w:rsid w:val="00B6723E"/>
    <w:rsid w:val="00B676CE"/>
    <w:rsid w:val="00B67D8B"/>
    <w:rsid w:val="00B7039F"/>
    <w:rsid w:val="00B70AC5"/>
    <w:rsid w:val="00B70B24"/>
    <w:rsid w:val="00B70CA8"/>
    <w:rsid w:val="00B712FD"/>
    <w:rsid w:val="00B7149F"/>
    <w:rsid w:val="00B71596"/>
    <w:rsid w:val="00B71DC9"/>
    <w:rsid w:val="00B71E7B"/>
    <w:rsid w:val="00B7203D"/>
    <w:rsid w:val="00B7353C"/>
    <w:rsid w:val="00B739F9"/>
    <w:rsid w:val="00B73DA4"/>
    <w:rsid w:val="00B741E0"/>
    <w:rsid w:val="00B7438C"/>
    <w:rsid w:val="00B7446E"/>
    <w:rsid w:val="00B75639"/>
    <w:rsid w:val="00B75DD4"/>
    <w:rsid w:val="00B7649A"/>
    <w:rsid w:val="00B767AE"/>
    <w:rsid w:val="00B76BCF"/>
    <w:rsid w:val="00B7743B"/>
    <w:rsid w:val="00B7799C"/>
    <w:rsid w:val="00B80035"/>
    <w:rsid w:val="00B80409"/>
    <w:rsid w:val="00B80503"/>
    <w:rsid w:val="00B80CA1"/>
    <w:rsid w:val="00B81C49"/>
    <w:rsid w:val="00B81FF4"/>
    <w:rsid w:val="00B8322D"/>
    <w:rsid w:val="00B8373C"/>
    <w:rsid w:val="00B8385D"/>
    <w:rsid w:val="00B83922"/>
    <w:rsid w:val="00B84091"/>
    <w:rsid w:val="00B8448D"/>
    <w:rsid w:val="00B84700"/>
    <w:rsid w:val="00B85175"/>
    <w:rsid w:val="00B852CD"/>
    <w:rsid w:val="00B85A9D"/>
    <w:rsid w:val="00B85EC0"/>
    <w:rsid w:val="00B86F3A"/>
    <w:rsid w:val="00B87355"/>
    <w:rsid w:val="00B87B5F"/>
    <w:rsid w:val="00B87DCA"/>
    <w:rsid w:val="00B90A00"/>
    <w:rsid w:val="00B90DBF"/>
    <w:rsid w:val="00B9186D"/>
    <w:rsid w:val="00B91F99"/>
    <w:rsid w:val="00B920B4"/>
    <w:rsid w:val="00B92242"/>
    <w:rsid w:val="00B92759"/>
    <w:rsid w:val="00B92BBE"/>
    <w:rsid w:val="00B92FD5"/>
    <w:rsid w:val="00B93137"/>
    <w:rsid w:val="00B933DA"/>
    <w:rsid w:val="00B9385B"/>
    <w:rsid w:val="00B93877"/>
    <w:rsid w:val="00B93B79"/>
    <w:rsid w:val="00B9414A"/>
    <w:rsid w:val="00B942A2"/>
    <w:rsid w:val="00B943BE"/>
    <w:rsid w:val="00B94766"/>
    <w:rsid w:val="00B94A86"/>
    <w:rsid w:val="00B950A6"/>
    <w:rsid w:val="00B953E1"/>
    <w:rsid w:val="00B95D84"/>
    <w:rsid w:val="00B95E89"/>
    <w:rsid w:val="00B967DE"/>
    <w:rsid w:val="00BA0455"/>
    <w:rsid w:val="00BA170B"/>
    <w:rsid w:val="00BA189B"/>
    <w:rsid w:val="00BA1BC8"/>
    <w:rsid w:val="00BA1D9F"/>
    <w:rsid w:val="00BA1FC3"/>
    <w:rsid w:val="00BA2BF9"/>
    <w:rsid w:val="00BA2DD2"/>
    <w:rsid w:val="00BA314D"/>
    <w:rsid w:val="00BA39EF"/>
    <w:rsid w:val="00BA3FF2"/>
    <w:rsid w:val="00BA40EB"/>
    <w:rsid w:val="00BA40F0"/>
    <w:rsid w:val="00BA4172"/>
    <w:rsid w:val="00BA43F5"/>
    <w:rsid w:val="00BA4587"/>
    <w:rsid w:val="00BA4739"/>
    <w:rsid w:val="00BA47C3"/>
    <w:rsid w:val="00BA496B"/>
    <w:rsid w:val="00BA4B16"/>
    <w:rsid w:val="00BA4CF6"/>
    <w:rsid w:val="00BA5205"/>
    <w:rsid w:val="00BA524C"/>
    <w:rsid w:val="00BA5A48"/>
    <w:rsid w:val="00BA6004"/>
    <w:rsid w:val="00BA62EC"/>
    <w:rsid w:val="00BA6753"/>
    <w:rsid w:val="00BA74ED"/>
    <w:rsid w:val="00BA76F1"/>
    <w:rsid w:val="00BA7829"/>
    <w:rsid w:val="00BB0A00"/>
    <w:rsid w:val="00BB1028"/>
    <w:rsid w:val="00BB17FE"/>
    <w:rsid w:val="00BB2780"/>
    <w:rsid w:val="00BB2B8A"/>
    <w:rsid w:val="00BB3130"/>
    <w:rsid w:val="00BB437A"/>
    <w:rsid w:val="00BB5005"/>
    <w:rsid w:val="00BB5502"/>
    <w:rsid w:val="00BB5555"/>
    <w:rsid w:val="00BB6204"/>
    <w:rsid w:val="00BB6802"/>
    <w:rsid w:val="00BB6994"/>
    <w:rsid w:val="00BB699E"/>
    <w:rsid w:val="00BB6EAF"/>
    <w:rsid w:val="00BB71FD"/>
    <w:rsid w:val="00BB7505"/>
    <w:rsid w:val="00BB75FB"/>
    <w:rsid w:val="00BB79C0"/>
    <w:rsid w:val="00BB7D03"/>
    <w:rsid w:val="00BC03DB"/>
    <w:rsid w:val="00BC0CEB"/>
    <w:rsid w:val="00BC1548"/>
    <w:rsid w:val="00BC17BC"/>
    <w:rsid w:val="00BC1B1B"/>
    <w:rsid w:val="00BC268C"/>
    <w:rsid w:val="00BC26E5"/>
    <w:rsid w:val="00BC2A1A"/>
    <w:rsid w:val="00BC2B11"/>
    <w:rsid w:val="00BC3342"/>
    <w:rsid w:val="00BC38CD"/>
    <w:rsid w:val="00BC3DDA"/>
    <w:rsid w:val="00BC3F34"/>
    <w:rsid w:val="00BC429E"/>
    <w:rsid w:val="00BC42A7"/>
    <w:rsid w:val="00BC439F"/>
    <w:rsid w:val="00BC43E1"/>
    <w:rsid w:val="00BC440B"/>
    <w:rsid w:val="00BC44D7"/>
    <w:rsid w:val="00BC4553"/>
    <w:rsid w:val="00BC4F27"/>
    <w:rsid w:val="00BC5BB2"/>
    <w:rsid w:val="00BC610D"/>
    <w:rsid w:val="00BC6F84"/>
    <w:rsid w:val="00BC775D"/>
    <w:rsid w:val="00BC7890"/>
    <w:rsid w:val="00BC7A8F"/>
    <w:rsid w:val="00BC7B27"/>
    <w:rsid w:val="00BC7C89"/>
    <w:rsid w:val="00BD1010"/>
    <w:rsid w:val="00BD199B"/>
    <w:rsid w:val="00BD21C8"/>
    <w:rsid w:val="00BD22A8"/>
    <w:rsid w:val="00BD24A2"/>
    <w:rsid w:val="00BD29D6"/>
    <w:rsid w:val="00BD415D"/>
    <w:rsid w:val="00BD43B9"/>
    <w:rsid w:val="00BD4545"/>
    <w:rsid w:val="00BD46C4"/>
    <w:rsid w:val="00BD472E"/>
    <w:rsid w:val="00BD4D90"/>
    <w:rsid w:val="00BD5520"/>
    <w:rsid w:val="00BD57EA"/>
    <w:rsid w:val="00BD5AE3"/>
    <w:rsid w:val="00BD5C7A"/>
    <w:rsid w:val="00BD6009"/>
    <w:rsid w:val="00BD6905"/>
    <w:rsid w:val="00BD76A1"/>
    <w:rsid w:val="00BD79F1"/>
    <w:rsid w:val="00BE0081"/>
    <w:rsid w:val="00BE0F3C"/>
    <w:rsid w:val="00BE1369"/>
    <w:rsid w:val="00BE16EA"/>
    <w:rsid w:val="00BE1D67"/>
    <w:rsid w:val="00BE1E5D"/>
    <w:rsid w:val="00BE1F78"/>
    <w:rsid w:val="00BE1FAD"/>
    <w:rsid w:val="00BE248E"/>
    <w:rsid w:val="00BE2917"/>
    <w:rsid w:val="00BE2AEB"/>
    <w:rsid w:val="00BE3313"/>
    <w:rsid w:val="00BE3701"/>
    <w:rsid w:val="00BE3A34"/>
    <w:rsid w:val="00BE441A"/>
    <w:rsid w:val="00BE53D7"/>
    <w:rsid w:val="00BE5693"/>
    <w:rsid w:val="00BE6919"/>
    <w:rsid w:val="00BE6976"/>
    <w:rsid w:val="00BE7508"/>
    <w:rsid w:val="00BE7EE5"/>
    <w:rsid w:val="00BF01E2"/>
    <w:rsid w:val="00BF0533"/>
    <w:rsid w:val="00BF17CC"/>
    <w:rsid w:val="00BF1894"/>
    <w:rsid w:val="00BF1A27"/>
    <w:rsid w:val="00BF1DEB"/>
    <w:rsid w:val="00BF21C9"/>
    <w:rsid w:val="00BF2607"/>
    <w:rsid w:val="00BF265D"/>
    <w:rsid w:val="00BF2994"/>
    <w:rsid w:val="00BF311A"/>
    <w:rsid w:val="00BF3B45"/>
    <w:rsid w:val="00BF4069"/>
    <w:rsid w:val="00BF476D"/>
    <w:rsid w:val="00BF4A1A"/>
    <w:rsid w:val="00BF4D79"/>
    <w:rsid w:val="00BF5918"/>
    <w:rsid w:val="00BF5A8E"/>
    <w:rsid w:val="00BF5DA7"/>
    <w:rsid w:val="00BF6191"/>
    <w:rsid w:val="00BF6264"/>
    <w:rsid w:val="00BF6EC1"/>
    <w:rsid w:val="00BF7341"/>
    <w:rsid w:val="00BF7C66"/>
    <w:rsid w:val="00C000E6"/>
    <w:rsid w:val="00C004CC"/>
    <w:rsid w:val="00C013F3"/>
    <w:rsid w:val="00C01BBA"/>
    <w:rsid w:val="00C01C0C"/>
    <w:rsid w:val="00C01C10"/>
    <w:rsid w:val="00C01F7E"/>
    <w:rsid w:val="00C020B4"/>
    <w:rsid w:val="00C026C3"/>
    <w:rsid w:val="00C02E8E"/>
    <w:rsid w:val="00C030C9"/>
    <w:rsid w:val="00C032DE"/>
    <w:rsid w:val="00C0406F"/>
    <w:rsid w:val="00C040B3"/>
    <w:rsid w:val="00C04468"/>
    <w:rsid w:val="00C04593"/>
    <w:rsid w:val="00C04647"/>
    <w:rsid w:val="00C04973"/>
    <w:rsid w:val="00C04C4A"/>
    <w:rsid w:val="00C04CE1"/>
    <w:rsid w:val="00C05215"/>
    <w:rsid w:val="00C05300"/>
    <w:rsid w:val="00C05983"/>
    <w:rsid w:val="00C0628B"/>
    <w:rsid w:val="00C06789"/>
    <w:rsid w:val="00C0694E"/>
    <w:rsid w:val="00C069EB"/>
    <w:rsid w:val="00C06CE3"/>
    <w:rsid w:val="00C070D3"/>
    <w:rsid w:val="00C07131"/>
    <w:rsid w:val="00C07560"/>
    <w:rsid w:val="00C079A5"/>
    <w:rsid w:val="00C07C0E"/>
    <w:rsid w:val="00C10749"/>
    <w:rsid w:val="00C10A9D"/>
    <w:rsid w:val="00C11038"/>
    <w:rsid w:val="00C117B4"/>
    <w:rsid w:val="00C12009"/>
    <w:rsid w:val="00C121A5"/>
    <w:rsid w:val="00C125E1"/>
    <w:rsid w:val="00C12863"/>
    <w:rsid w:val="00C13337"/>
    <w:rsid w:val="00C137E8"/>
    <w:rsid w:val="00C139BA"/>
    <w:rsid w:val="00C1407A"/>
    <w:rsid w:val="00C142C8"/>
    <w:rsid w:val="00C14303"/>
    <w:rsid w:val="00C162B0"/>
    <w:rsid w:val="00C16B16"/>
    <w:rsid w:val="00C16D67"/>
    <w:rsid w:val="00C17121"/>
    <w:rsid w:val="00C17B42"/>
    <w:rsid w:val="00C205EF"/>
    <w:rsid w:val="00C208FF"/>
    <w:rsid w:val="00C20EB6"/>
    <w:rsid w:val="00C21066"/>
    <w:rsid w:val="00C21222"/>
    <w:rsid w:val="00C21278"/>
    <w:rsid w:val="00C2218B"/>
    <w:rsid w:val="00C223C1"/>
    <w:rsid w:val="00C2277B"/>
    <w:rsid w:val="00C227B6"/>
    <w:rsid w:val="00C22C69"/>
    <w:rsid w:val="00C22F5B"/>
    <w:rsid w:val="00C23AF9"/>
    <w:rsid w:val="00C25345"/>
    <w:rsid w:val="00C25460"/>
    <w:rsid w:val="00C2589A"/>
    <w:rsid w:val="00C25AE9"/>
    <w:rsid w:val="00C2617E"/>
    <w:rsid w:val="00C262E6"/>
    <w:rsid w:val="00C26692"/>
    <w:rsid w:val="00C26B6B"/>
    <w:rsid w:val="00C26C23"/>
    <w:rsid w:val="00C2738B"/>
    <w:rsid w:val="00C279D6"/>
    <w:rsid w:val="00C27FB3"/>
    <w:rsid w:val="00C300F7"/>
    <w:rsid w:val="00C301B6"/>
    <w:rsid w:val="00C30243"/>
    <w:rsid w:val="00C311C4"/>
    <w:rsid w:val="00C313A1"/>
    <w:rsid w:val="00C32137"/>
    <w:rsid w:val="00C32A51"/>
    <w:rsid w:val="00C32C8B"/>
    <w:rsid w:val="00C32FA5"/>
    <w:rsid w:val="00C338AF"/>
    <w:rsid w:val="00C33A2B"/>
    <w:rsid w:val="00C33B89"/>
    <w:rsid w:val="00C33F55"/>
    <w:rsid w:val="00C34898"/>
    <w:rsid w:val="00C34A28"/>
    <w:rsid w:val="00C34DD2"/>
    <w:rsid w:val="00C34E26"/>
    <w:rsid w:val="00C3515D"/>
    <w:rsid w:val="00C35996"/>
    <w:rsid w:val="00C35BD3"/>
    <w:rsid w:val="00C35CA8"/>
    <w:rsid w:val="00C35CAC"/>
    <w:rsid w:val="00C35ED1"/>
    <w:rsid w:val="00C35F44"/>
    <w:rsid w:val="00C36602"/>
    <w:rsid w:val="00C36705"/>
    <w:rsid w:val="00C368FD"/>
    <w:rsid w:val="00C36985"/>
    <w:rsid w:val="00C369E3"/>
    <w:rsid w:val="00C36B8B"/>
    <w:rsid w:val="00C37535"/>
    <w:rsid w:val="00C37652"/>
    <w:rsid w:val="00C37F09"/>
    <w:rsid w:val="00C4105D"/>
    <w:rsid w:val="00C4139C"/>
    <w:rsid w:val="00C415FB"/>
    <w:rsid w:val="00C4163A"/>
    <w:rsid w:val="00C41A2E"/>
    <w:rsid w:val="00C42E72"/>
    <w:rsid w:val="00C438DE"/>
    <w:rsid w:val="00C43A0D"/>
    <w:rsid w:val="00C441B1"/>
    <w:rsid w:val="00C44575"/>
    <w:rsid w:val="00C44E1C"/>
    <w:rsid w:val="00C44FE6"/>
    <w:rsid w:val="00C45419"/>
    <w:rsid w:val="00C45574"/>
    <w:rsid w:val="00C45D5C"/>
    <w:rsid w:val="00C45D7D"/>
    <w:rsid w:val="00C45F99"/>
    <w:rsid w:val="00C46EB3"/>
    <w:rsid w:val="00C47956"/>
    <w:rsid w:val="00C47DBE"/>
    <w:rsid w:val="00C5029D"/>
    <w:rsid w:val="00C50910"/>
    <w:rsid w:val="00C50924"/>
    <w:rsid w:val="00C50C0F"/>
    <w:rsid w:val="00C50CE8"/>
    <w:rsid w:val="00C5167B"/>
    <w:rsid w:val="00C5189C"/>
    <w:rsid w:val="00C51A9A"/>
    <w:rsid w:val="00C51E40"/>
    <w:rsid w:val="00C51E8E"/>
    <w:rsid w:val="00C5217B"/>
    <w:rsid w:val="00C52272"/>
    <w:rsid w:val="00C52FC3"/>
    <w:rsid w:val="00C531FB"/>
    <w:rsid w:val="00C536F9"/>
    <w:rsid w:val="00C53B32"/>
    <w:rsid w:val="00C54084"/>
    <w:rsid w:val="00C5448F"/>
    <w:rsid w:val="00C54787"/>
    <w:rsid w:val="00C54AC0"/>
    <w:rsid w:val="00C54BC3"/>
    <w:rsid w:val="00C55859"/>
    <w:rsid w:val="00C55B87"/>
    <w:rsid w:val="00C5646E"/>
    <w:rsid w:val="00C56C7B"/>
    <w:rsid w:val="00C56FCB"/>
    <w:rsid w:val="00C5763A"/>
    <w:rsid w:val="00C57A2C"/>
    <w:rsid w:val="00C60214"/>
    <w:rsid w:val="00C60288"/>
    <w:rsid w:val="00C60649"/>
    <w:rsid w:val="00C608EE"/>
    <w:rsid w:val="00C6096D"/>
    <w:rsid w:val="00C6193F"/>
    <w:rsid w:val="00C61D4A"/>
    <w:rsid w:val="00C62007"/>
    <w:rsid w:val="00C621A5"/>
    <w:rsid w:val="00C6232A"/>
    <w:rsid w:val="00C62B5C"/>
    <w:rsid w:val="00C633C4"/>
    <w:rsid w:val="00C63A57"/>
    <w:rsid w:val="00C63C20"/>
    <w:rsid w:val="00C647D7"/>
    <w:rsid w:val="00C64A82"/>
    <w:rsid w:val="00C653B4"/>
    <w:rsid w:val="00C654DA"/>
    <w:rsid w:val="00C6630E"/>
    <w:rsid w:val="00C66762"/>
    <w:rsid w:val="00C66B53"/>
    <w:rsid w:val="00C677E6"/>
    <w:rsid w:val="00C7034E"/>
    <w:rsid w:val="00C704A6"/>
    <w:rsid w:val="00C7078A"/>
    <w:rsid w:val="00C707DB"/>
    <w:rsid w:val="00C708C4"/>
    <w:rsid w:val="00C70A84"/>
    <w:rsid w:val="00C71696"/>
    <w:rsid w:val="00C719C9"/>
    <w:rsid w:val="00C72D5F"/>
    <w:rsid w:val="00C73018"/>
    <w:rsid w:val="00C73A82"/>
    <w:rsid w:val="00C73EC9"/>
    <w:rsid w:val="00C74388"/>
    <w:rsid w:val="00C745F8"/>
    <w:rsid w:val="00C74929"/>
    <w:rsid w:val="00C75E0A"/>
    <w:rsid w:val="00C76506"/>
    <w:rsid w:val="00C77748"/>
    <w:rsid w:val="00C77CE4"/>
    <w:rsid w:val="00C80787"/>
    <w:rsid w:val="00C815FA"/>
    <w:rsid w:val="00C81C45"/>
    <w:rsid w:val="00C82622"/>
    <w:rsid w:val="00C82B63"/>
    <w:rsid w:val="00C82D4E"/>
    <w:rsid w:val="00C8301F"/>
    <w:rsid w:val="00C830E0"/>
    <w:rsid w:val="00C8363A"/>
    <w:rsid w:val="00C843E8"/>
    <w:rsid w:val="00C84E3C"/>
    <w:rsid w:val="00C85C99"/>
    <w:rsid w:val="00C85E07"/>
    <w:rsid w:val="00C865D8"/>
    <w:rsid w:val="00C86635"/>
    <w:rsid w:val="00C8667F"/>
    <w:rsid w:val="00C86D0F"/>
    <w:rsid w:val="00C87382"/>
    <w:rsid w:val="00C878D7"/>
    <w:rsid w:val="00C87B7C"/>
    <w:rsid w:val="00C87FAE"/>
    <w:rsid w:val="00C907BA"/>
    <w:rsid w:val="00C90854"/>
    <w:rsid w:val="00C910BC"/>
    <w:rsid w:val="00C911A7"/>
    <w:rsid w:val="00C91453"/>
    <w:rsid w:val="00C91463"/>
    <w:rsid w:val="00C91880"/>
    <w:rsid w:val="00C92316"/>
    <w:rsid w:val="00C92A86"/>
    <w:rsid w:val="00C92CAB"/>
    <w:rsid w:val="00C92D1A"/>
    <w:rsid w:val="00C9338E"/>
    <w:rsid w:val="00C93558"/>
    <w:rsid w:val="00C9522F"/>
    <w:rsid w:val="00C953EC"/>
    <w:rsid w:val="00C954CD"/>
    <w:rsid w:val="00C95707"/>
    <w:rsid w:val="00C95C52"/>
    <w:rsid w:val="00C95C9C"/>
    <w:rsid w:val="00C96030"/>
    <w:rsid w:val="00C9691E"/>
    <w:rsid w:val="00C971F6"/>
    <w:rsid w:val="00C9791D"/>
    <w:rsid w:val="00CA0189"/>
    <w:rsid w:val="00CA026D"/>
    <w:rsid w:val="00CA07F1"/>
    <w:rsid w:val="00CA0BB5"/>
    <w:rsid w:val="00CA0BC2"/>
    <w:rsid w:val="00CA189F"/>
    <w:rsid w:val="00CA1900"/>
    <w:rsid w:val="00CA1B3E"/>
    <w:rsid w:val="00CA2650"/>
    <w:rsid w:val="00CA2920"/>
    <w:rsid w:val="00CA2C94"/>
    <w:rsid w:val="00CA36F0"/>
    <w:rsid w:val="00CA38E4"/>
    <w:rsid w:val="00CA39A7"/>
    <w:rsid w:val="00CA3C09"/>
    <w:rsid w:val="00CA3E08"/>
    <w:rsid w:val="00CA42FC"/>
    <w:rsid w:val="00CA450A"/>
    <w:rsid w:val="00CA455A"/>
    <w:rsid w:val="00CA45C9"/>
    <w:rsid w:val="00CA47F2"/>
    <w:rsid w:val="00CA4B5C"/>
    <w:rsid w:val="00CA4C5B"/>
    <w:rsid w:val="00CA5A2D"/>
    <w:rsid w:val="00CA5EB5"/>
    <w:rsid w:val="00CA63E6"/>
    <w:rsid w:val="00CA6832"/>
    <w:rsid w:val="00CA6986"/>
    <w:rsid w:val="00CA6B8C"/>
    <w:rsid w:val="00CA6CB9"/>
    <w:rsid w:val="00CA79AB"/>
    <w:rsid w:val="00CA7C88"/>
    <w:rsid w:val="00CB006C"/>
    <w:rsid w:val="00CB0419"/>
    <w:rsid w:val="00CB09E1"/>
    <w:rsid w:val="00CB0B27"/>
    <w:rsid w:val="00CB101D"/>
    <w:rsid w:val="00CB1751"/>
    <w:rsid w:val="00CB2FE4"/>
    <w:rsid w:val="00CB348B"/>
    <w:rsid w:val="00CB42B3"/>
    <w:rsid w:val="00CB4C5F"/>
    <w:rsid w:val="00CB5929"/>
    <w:rsid w:val="00CB6450"/>
    <w:rsid w:val="00CB69F6"/>
    <w:rsid w:val="00CB6E0C"/>
    <w:rsid w:val="00CB72C3"/>
    <w:rsid w:val="00CB768B"/>
    <w:rsid w:val="00CB7F63"/>
    <w:rsid w:val="00CC03D2"/>
    <w:rsid w:val="00CC0D27"/>
    <w:rsid w:val="00CC0D7D"/>
    <w:rsid w:val="00CC10D2"/>
    <w:rsid w:val="00CC1276"/>
    <w:rsid w:val="00CC144D"/>
    <w:rsid w:val="00CC1452"/>
    <w:rsid w:val="00CC22FF"/>
    <w:rsid w:val="00CC2841"/>
    <w:rsid w:val="00CC28A7"/>
    <w:rsid w:val="00CC2F74"/>
    <w:rsid w:val="00CC37A4"/>
    <w:rsid w:val="00CC45DD"/>
    <w:rsid w:val="00CC49B1"/>
    <w:rsid w:val="00CC4E30"/>
    <w:rsid w:val="00CC5251"/>
    <w:rsid w:val="00CC578B"/>
    <w:rsid w:val="00CC5F84"/>
    <w:rsid w:val="00CC6165"/>
    <w:rsid w:val="00CC6693"/>
    <w:rsid w:val="00CC70E1"/>
    <w:rsid w:val="00CC7C18"/>
    <w:rsid w:val="00CC7D4B"/>
    <w:rsid w:val="00CD0C7D"/>
    <w:rsid w:val="00CD0DB5"/>
    <w:rsid w:val="00CD0E6B"/>
    <w:rsid w:val="00CD0EE6"/>
    <w:rsid w:val="00CD11FC"/>
    <w:rsid w:val="00CD1281"/>
    <w:rsid w:val="00CD13E2"/>
    <w:rsid w:val="00CD195D"/>
    <w:rsid w:val="00CD1C64"/>
    <w:rsid w:val="00CD1D1E"/>
    <w:rsid w:val="00CD1D56"/>
    <w:rsid w:val="00CD2012"/>
    <w:rsid w:val="00CD22A0"/>
    <w:rsid w:val="00CD2B2D"/>
    <w:rsid w:val="00CD2C71"/>
    <w:rsid w:val="00CD311A"/>
    <w:rsid w:val="00CD351F"/>
    <w:rsid w:val="00CD3B28"/>
    <w:rsid w:val="00CD3DFD"/>
    <w:rsid w:val="00CD4449"/>
    <w:rsid w:val="00CD48E3"/>
    <w:rsid w:val="00CD4A38"/>
    <w:rsid w:val="00CD59B3"/>
    <w:rsid w:val="00CD5A39"/>
    <w:rsid w:val="00CD5E41"/>
    <w:rsid w:val="00CD5EFD"/>
    <w:rsid w:val="00CD6088"/>
    <w:rsid w:val="00CD6366"/>
    <w:rsid w:val="00CD6D50"/>
    <w:rsid w:val="00CD6FAB"/>
    <w:rsid w:val="00CD73D7"/>
    <w:rsid w:val="00CD767F"/>
    <w:rsid w:val="00CD76CE"/>
    <w:rsid w:val="00CD79C8"/>
    <w:rsid w:val="00CD7BD1"/>
    <w:rsid w:val="00CD7D49"/>
    <w:rsid w:val="00CE080F"/>
    <w:rsid w:val="00CE090E"/>
    <w:rsid w:val="00CE0A76"/>
    <w:rsid w:val="00CE0ADF"/>
    <w:rsid w:val="00CE0C29"/>
    <w:rsid w:val="00CE0C3F"/>
    <w:rsid w:val="00CE0F3A"/>
    <w:rsid w:val="00CE109C"/>
    <w:rsid w:val="00CE1124"/>
    <w:rsid w:val="00CE131F"/>
    <w:rsid w:val="00CE15D5"/>
    <w:rsid w:val="00CE15F9"/>
    <w:rsid w:val="00CE1872"/>
    <w:rsid w:val="00CE2A1B"/>
    <w:rsid w:val="00CE2A76"/>
    <w:rsid w:val="00CE2C94"/>
    <w:rsid w:val="00CE2DDA"/>
    <w:rsid w:val="00CE30BF"/>
    <w:rsid w:val="00CE3374"/>
    <w:rsid w:val="00CE3577"/>
    <w:rsid w:val="00CE3B6D"/>
    <w:rsid w:val="00CE3E9C"/>
    <w:rsid w:val="00CE422D"/>
    <w:rsid w:val="00CE4E17"/>
    <w:rsid w:val="00CE4F05"/>
    <w:rsid w:val="00CE63A2"/>
    <w:rsid w:val="00CE6C50"/>
    <w:rsid w:val="00CE71C8"/>
    <w:rsid w:val="00CE765F"/>
    <w:rsid w:val="00CE7AE0"/>
    <w:rsid w:val="00CE7CB9"/>
    <w:rsid w:val="00CF0024"/>
    <w:rsid w:val="00CF0A03"/>
    <w:rsid w:val="00CF1357"/>
    <w:rsid w:val="00CF1378"/>
    <w:rsid w:val="00CF2303"/>
    <w:rsid w:val="00CF306D"/>
    <w:rsid w:val="00CF335A"/>
    <w:rsid w:val="00CF33F8"/>
    <w:rsid w:val="00CF38E7"/>
    <w:rsid w:val="00CF3CFD"/>
    <w:rsid w:val="00CF3D93"/>
    <w:rsid w:val="00CF4297"/>
    <w:rsid w:val="00CF433A"/>
    <w:rsid w:val="00CF4CFB"/>
    <w:rsid w:val="00CF4FD7"/>
    <w:rsid w:val="00CF5582"/>
    <w:rsid w:val="00CF60C7"/>
    <w:rsid w:val="00CF6A05"/>
    <w:rsid w:val="00CF6ACD"/>
    <w:rsid w:val="00CF6C07"/>
    <w:rsid w:val="00CF6CEC"/>
    <w:rsid w:val="00CF71E5"/>
    <w:rsid w:val="00CF72C7"/>
    <w:rsid w:val="00CF737C"/>
    <w:rsid w:val="00CF75A7"/>
    <w:rsid w:val="00CF778D"/>
    <w:rsid w:val="00D01F61"/>
    <w:rsid w:val="00D02063"/>
    <w:rsid w:val="00D0223E"/>
    <w:rsid w:val="00D0225C"/>
    <w:rsid w:val="00D02CA1"/>
    <w:rsid w:val="00D02E9F"/>
    <w:rsid w:val="00D03124"/>
    <w:rsid w:val="00D035F5"/>
    <w:rsid w:val="00D03806"/>
    <w:rsid w:val="00D03B03"/>
    <w:rsid w:val="00D03B09"/>
    <w:rsid w:val="00D03B59"/>
    <w:rsid w:val="00D040A6"/>
    <w:rsid w:val="00D042BD"/>
    <w:rsid w:val="00D04324"/>
    <w:rsid w:val="00D04644"/>
    <w:rsid w:val="00D05192"/>
    <w:rsid w:val="00D05281"/>
    <w:rsid w:val="00D06817"/>
    <w:rsid w:val="00D06908"/>
    <w:rsid w:val="00D06FAF"/>
    <w:rsid w:val="00D0716A"/>
    <w:rsid w:val="00D078FD"/>
    <w:rsid w:val="00D07A51"/>
    <w:rsid w:val="00D07C6C"/>
    <w:rsid w:val="00D1008E"/>
    <w:rsid w:val="00D10118"/>
    <w:rsid w:val="00D101B4"/>
    <w:rsid w:val="00D11B58"/>
    <w:rsid w:val="00D11FF1"/>
    <w:rsid w:val="00D122AB"/>
    <w:rsid w:val="00D1239A"/>
    <w:rsid w:val="00D12838"/>
    <w:rsid w:val="00D13686"/>
    <w:rsid w:val="00D14632"/>
    <w:rsid w:val="00D14B81"/>
    <w:rsid w:val="00D152BA"/>
    <w:rsid w:val="00D154DB"/>
    <w:rsid w:val="00D15573"/>
    <w:rsid w:val="00D15652"/>
    <w:rsid w:val="00D15911"/>
    <w:rsid w:val="00D15CF2"/>
    <w:rsid w:val="00D16437"/>
    <w:rsid w:val="00D1669E"/>
    <w:rsid w:val="00D16CA5"/>
    <w:rsid w:val="00D175A6"/>
    <w:rsid w:val="00D1798A"/>
    <w:rsid w:val="00D17B81"/>
    <w:rsid w:val="00D209A4"/>
    <w:rsid w:val="00D20D3C"/>
    <w:rsid w:val="00D211A9"/>
    <w:rsid w:val="00D21703"/>
    <w:rsid w:val="00D227DA"/>
    <w:rsid w:val="00D22B66"/>
    <w:rsid w:val="00D234A8"/>
    <w:rsid w:val="00D23C38"/>
    <w:rsid w:val="00D23C94"/>
    <w:rsid w:val="00D23D83"/>
    <w:rsid w:val="00D23E3B"/>
    <w:rsid w:val="00D2405D"/>
    <w:rsid w:val="00D24A60"/>
    <w:rsid w:val="00D25330"/>
    <w:rsid w:val="00D2555F"/>
    <w:rsid w:val="00D2563D"/>
    <w:rsid w:val="00D25F0D"/>
    <w:rsid w:val="00D25FAC"/>
    <w:rsid w:val="00D261DA"/>
    <w:rsid w:val="00D262E6"/>
    <w:rsid w:val="00D26BEC"/>
    <w:rsid w:val="00D26D66"/>
    <w:rsid w:val="00D27F5B"/>
    <w:rsid w:val="00D30268"/>
    <w:rsid w:val="00D3041D"/>
    <w:rsid w:val="00D30508"/>
    <w:rsid w:val="00D30869"/>
    <w:rsid w:val="00D30992"/>
    <w:rsid w:val="00D31138"/>
    <w:rsid w:val="00D311F0"/>
    <w:rsid w:val="00D31DF0"/>
    <w:rsid w:val="00D32461"/>
    <w:rsid w:val="00D32600"/>
    <w:rsid w:val="00D3313A"/>
    <w:rsid w:val="00D3328E"/>
    <w:rsid w:val="00D33346"/>
    <w:rsid w:val="00D33645"/>
    <w:rsid w:val="00D34376"/>
    <w:rsid w:val="00D34DAA"/>
    <w:rsid w:val="00D358EA"/>
    <w:rsid w:val="00D3593E"/>
    <w:rsid w:val="00D35C07"/>
    <w:rsid w:val="00D35D33"/>
    <w:rsid w:val="00D35D49"/>
    <w:rsid w:val="00D36227"/>
    <w:rsid w:val="00D36C10"/>
    <w:rsid w:val="00D36C5C"/>
    <w:rsid w:val="00D377F2"/>
    <w:rsid w:val="00D37C59"/>
    <w:rsid w:val="00D37F95"/>
    <w:rsid w:val="00D40094"/>
    <w:rsid w:val="00D40296"/>
    <w:rsid w:val="00D4040C"/>
    <w:rsid w:val="00D40BDE"/>
    <w:rsid w:val="00D412E1"/>
    <w:rsid w:val="00D41A2E"/>
    <w:rsid w:val="00D421BF"/>
    <w:rsid w:val="00D421C1"/>
    <w:rsid w:val="00D421FE"/>
    <w:rsid w:val="00D42296"/>
    <w:rsid w:val="00D428F2"/>
    <w:rsid w:val="00D42DED"/>
    <w:rsid w:val="00D43682"/>
    <w:rsid w:val="00D43C79"/>
    <w:rsid w:val="00D4417B"/>
    <w:rsid w:val="00D44387"/>
    <w:rsid w:val="00D44679"/>
    <w:rsid w:val="00D44754"/>
    <w:rsid w:val="00D45866"/>
    <w:rsid w:val="00D45EF9"/>
    <w:rsid w:val="00D45F30"/>
    <w:rsid w:val="00D45F6F"/>
    <w:rsid w:val="00D4625D"/>
    <w:rsid w:val="00D46429"/>
    <w:rsid w:val="00D465D9"/>
    <w:rsid w:val="00D46F12"/>
    <w:rsid w:val="00D4728D"/>
    <w:rsid w:val="00D4728F"/>
    <w:rsid w:val="00D47FA4"/>
    <w:rsid w:val="00D5044E"/>
    <w:rsid w:val="00D506FC"/>
    <w:rsid w:val="00D5094D"/>
    <w:rsid w:val="00D50C7E"/>
    <w:rsid w:val="00D526DD"/>
    <w:rsid w:val="00D52B5C"/>
    <w:rsid w:val="00D52E14"/>
    <w:rsid w:val="00D536CA"/>
    <w:rsid w:val="00D53822"/>
    <w:rsid w:val="00D53CDE"/>
    <w:rsid w:val="00D55BD6"/>
    <w:rsid w:val="00D55CEF"/>
    <w:rsid w:val="00D55FCA"/>
    <w:rsid w:val="00D560E7"/>
    <w:rsid w:val="00D5625F"/>
    <w:rsid w:val="00D562A2"/>
    <w:rsid w:val="00D5667C"/>
    <w:rsid w:val="00D57470"/>
    <w:rsid w:val="00D57672"/>
    <w:rsid w:val="00D5771C"/>
    <w:rsid w:val="00D60646"/>
    <w:rsid w:val="00D60DFA"/>
    <w:rsid w:val="00D6188E"/>
    <w:rsid w:val="00D61A01"/>
    <w:rsid w:val="00D61A6E"/>
    <w:rsid w:val="00D6208C"/>
    <w:rsid w:val="00D62150"/>
    <w:rsid w:val="00D62829"/>
    <w:rsid w:val="00D62AE7"/>
    <w:rsid w:val="00D62BF7"/>
    <w:rsid w:val="00D63E5A"/>
    <w:rsid w:val="00D644DD"/>
    <w:rsid w:val="00D64E60"/>
    <w:rsid w:val="00D65357"/>
    <w:rsid w:val="00D65474"/>
    <w:rsid w:val="00D65803"/>
    <w:rsid w:val="00D65964"/>
    <w:rsid w:val="00D65980"/>
    <w:rsid w:val="00D65A61"/>
    <w:rsid w:val="00D65D1C"/>
    <w:rsid w:val="00D66EAD"/>
    <w:rsid w:val="00D66F50"/>
    <w:rsid w:val="00D6718F"/>
    <w:rsid w:val="00D672B9"/>
    <w:rsid w:val="00D67688"/>
    <w:rsid w:val="00D70B3A"/>
    <w:rsid w:val="00D70D5A"/>
    <w:rsid w:val="00D70E32"/>
    <w:rsid w:val="00D70F88"/>
    <w:rsid w:val="00D718FA"/>
    <w:rsid w:val="00D7292B"/>
    <w:rsid w:val="00D73D15"/>
    <w:rsid w:val="00D73D27"/>
    <w:rsid w:val="00D746D4"/>
    <w:rsid w:val="00D74D66"/>
    <w:rsid w:val="00D74E24"/>
    <w:rsid w:val="00D75B80"/>
    <w:rsid w:val="00D75CB8"/>
    <w:rsid w:val="00D76D7C"/>
    <w:rsid w:val="00D76ED8"/>
    <w:rsid w:val="00D7768B"/>
    <w:rsid w:val="00D77F0F"/>
    <w:rsid w:val="00D80274"/>
    <w:rsid w:val="00D802C0"/>
    <w:rsid w:val="00D8058B"/>
    <w:rsid w:val="00D80661"/>
    <w:rsid w:val="00D80D11"/>
    <w:rsid w:val="00D8121D"/>
    <w:rsid w:val="00D814B3"/>
    <w:rsid w:val="00D816BD"/>
    <w:rsid w:val="00D8171D"/>
    <w:rsid w:val="00D8196A"/>
    <w:rsid w:val="00D81AB5"/>
    <w:rsid w:val="00D825D8"/>
    <w:rsid w:val="00D8295E"/>
    <w:rsid w:val="00D829EE"/>
    <w:rsid w:val="00D82B50"/>
    <w:rsid w:val="00D83C16"/>
    <w:rsid w:val="00D848E3"/>
    <w:rsid w:val="00D849B9"/>
    <w:rsid w:val="00D84A8D"/>
    <w:rsid w:val="00D8558C"/>
    <w:rsid w:val="00D856D0"/>
    <w:rsid w:val="00D8600D"/>
    <w:rsid w:val="00D87379"/>
    <w:rsid w:val="00D87AC2"/>
    <w:rsid w:val="00D87D15"/>
    <w:rsid w:val="00D90730"/>
    <w:rsid w:val="00D90982"/>
    <w:rsid w:val="00D90A14"/>
    <w:rsid w:val="00D91505"/>
    <w:rsid w:val="00D916EE"/>
    <w:rsid w:val="00D919C7"/>
    <w:rsid w:val="00D91ADD"/>
    <w:rsid w:val="00D92188"/>
    <w:rsid w:val="00D92ED2"/>
    <w:rsid w:val="00D93B08"/>
    <w:rsid w:val="00D94176"/>
    <w:rsid w:val="00D945BD"/>
    <w:rsid w:val="00D95177"/>
    <w:rsid w:val="00D9542D"/>
    <w:rsid w:val="00D95893"/>
    <w:rsid w:val="00D95BAB"/>
    <w:rsid w:val="00D95EEB"/>
    <w:rsid w:val="00D9600F"/>
    <w:rsid w:val="00D96B56"/>
    <w:rsid w:val="00D96DF8"/>
    <w:rsid w:val="00D96FAE"/>
    <w:rsid w:val="00D975B9"/>
    <w:rsid w:val="00D97B46"/>
    <w:rsid w:val="00D97EAF"/>
    <w:rsid w:val="00D97F6E"/>
    <w:rsid w:val="00DA0763"/>
    <w:rsid w:val="00DA0892"/>
    <w:rsid w:val="00DA0A0E"/>
    <w:rsid w:val="00DA0AF1"/>
    <w:rsid w:val="00DA0CA1"/>
    <w:rsid w:val="00DA1286"/>
    <w:rsid w:val="00DA15CF"/>
    <w:rsid w:val="00DA1BD6"/>
    <w:rsid w:val="00DA263F"/>
    <w:rsid w:val="00DA2AB5"/>
    <w:rsid w:val="00DA30AB"/>
    <w:rsid w:val="00DA35C4"/>
    <w:rsid w:val="00DA38D8"/>
    <w:rsid w:val="00DA434E"/>
    <w:rsid w:val="00DA4410"/>
    <w:rsid w:val="00DA444B"/>
    <w:rsid w:val="00DA4A3B"/>
    <w:rsid w:val="00DA5F51"/>
    <w:rsid w:val="00DA6175"/>
    <w:rsid w:val="00DA61BF"/>
    <w:rsid w:val="00DA64FF"/>
    <w:rsid w:val="00DA65F8"/>
    <w:rsid w:val="00DA67CB"/>
    <w:rsid w:val="00DA6A97"/>
    <w:rsid w:val="00DA6C62"/>
    <w:rsid w:val="00DA704B"/>
    <w:rsid w:val="00DA70FF"/>
    <w:rsid w:val="00DA796E"/>
    <w:rsid w:val="00DB01BD"/>
    <w:rsid w:val="00DB0D84"/>
    <w:rsid w:val="00DB0EB9"/>
    <w:rsid w:val="00DB10A1"/>
    <w:rsid w:val="00DB1321"/>
    <w:rsid w:val="00DB19C4"/>
    <w:rsid w:val="00DB1BA6"/>
    <w:rsid w:val="00DB1C87"/>
    <w:rsid w:val="00DB1EB4"/>
    <w:rsid w:val="00DB35B1"/>
    <w:rsid w:val="00DB3F89"/>
    <w:rsid w:val="00DB4334"/>
    <w:rsid w:val="00DB4C34"/>
    <w:rsid w:val="00DB54BB"/>
    <w:rsid w:val="00DB627A"/>
    <w:rsid w:val="00DB6AB5"/>
    <w:rsid w:val="00DB6AEB"/>
    <w:rsid w:val="00DB6DA1"/>
    <w:rsid w:val="00DB6EE0"/>
    <w:rsid w:val="00DB714E"/>
    <w:rsid w:val="00DB7E52"/>
    <w:rsid w:val="00DC03E0"/>
    <w:rsid w:val="00DC0403"/>
    <w:rsid w:val="00DC0CB7"/>
    <w:rsid w:val="00DC10CF"/>
    <w:rsid w:val="00DC1150"/>
    <w:rsid w:val="00DC1773"/>
    <w:rsid w:val="00DC1FB7"/>
    <w:rsid w:val="00DC2647"/>
    <w:rsid w:val="00DC2697"/>
    <w:rsid w:val="00DC2866"/>
    <w:rsid w:val="00DC2AAB"/>
    <w:rsid w:val="00DC2BF2"/>
    <w:rsid w:val="00DC2CF5"/>
    <w:rsid w:val="00DC2ED0"/>
    <w:rsid w:val="00DC3245"/>
    <w:rsid w:val="00DC543C"/>
    <w:rsid w:val="00DC57A3"/>
    <w:rsid w:val="00DC5813"/>
    <w:rsid w:val="00DC6410"/>
    <w:rsid w:val="00DC673F"/>
    <w:rsid w:val="00DC6B01"/>
    <w:rsid w:val="00DC6E3B"/>
    <w:rsid w:val="00DC6F2C"/>
    <w:rsid w:val="00DC72CD"/>
    <w:rsid w:val="00DC7496"/>
    <w:rsid w:val="00DC76D0"/>
    <w:rsid w:val="00DD0195"/>
    <w:rsid w:val="00DD0753"/>
    <w:rsid w:val="00DD0A44"/>
    <w:rsid w:val="00DD0ABD"/>
    <w:rsid w:val="00DD0DC5"/>
    <w:rsid w:val="00DD0FBF"/>
    <w:rsid w:val="00DD13AB"/>
    <w:rsid w:val="00DD1487"/>
    <w:rsid w:val="00DD1E84"/>
    <w:rsid w:val="00DD28B6"/>
    <w:rsid w:val="00DD28E2"/>
    <w:rsid w:val="00DD2D74"/>
    <w:rsid w:val="00DD2DCA"/>
    <w:rsid w:val="00DD3124"/>
    <w:rsid w:val="00DD374C"/>
    <w:rsid w:val="00DD387B"/>
    <w:rsid w:val="00DD3929"/>
    <w:rsid w:val="00DD478C"/>
    <w:rsid w:val="00DD5102"/>
    <w:rsid w:val="00DD58A7"/>
    <w:rsid w:val="00DD5E06"/>
    <w:rsid w:val="00DD611D"/>
    <w:rsid w:val="00DD6804"/>
    <w:rsid w:val="00DD6A07"/>
    <w:rsid w:val="00DD709B"/>
    <w:rsid w:val="00DD72BC"/>
    <w:rsid w:val="00DD7680"/>
    <w:rsid w:val="00DD7861"/>
    <w:rsid w:val="00DD7912"/>
    <w:rsid w:val="00DD7FF0"/>
    <w:rsid w:val="00DE04DB"/>
    <w:rsid w:val="00DE0D4A"/>
    <w:rsid w:val="00DE172C"/>
    <w:rsid w:val="00DE2187"/>
    <w:rsid w:val="00DE2993"/>
    <w:rsid w:val="00DE2E64"/>
    <w:rsid w:val="00DE315E"/>
    <w:rsid w:val="00DE34C6"/>
    <w:rsid w:val="00DE34D1"/>
    <w:rsid w:val="00DE38EA"/>
    <w:rsid w:val="00DE3F2C"/>
    <w:rsid w:val="00DE3F89"/>
    <w:rsid w:val="00DE43AE"/>
    <w:rsid w:val="00DE458F"/>
    <w:rsid w:val="00DE4A1C"/>
    <w:rsid w:val="00DE5786"/>
    <w:rsid w:val="00DE61A1"/>
    <w:rsid w:val="00DE6802"/>
    <w:rsid w:val="00DE6923"/>
    <w:rsid w:val="00DE6AEC"/>
    <w:rsid w:val="00DE7463"/>
    <w:rsid w:val="00DE7E8F"/>
    <w:rsid w:val="00DF0978"/>
    <w:rsid w:val="00DF22F5"/>
    <w:rsid w:val="00DF2746"/>
    <w:rsid w:val="00DF3104"/>
    <w:rsid w:val="00DF3197"/>
    <w:rsid w:val="00DF3850"/>
    <w:rsid w:val="00DF39EF"/>
    <w:rsid w:val="00DF46BF"/>
    <w:rsid w:val="00DF4B52"/>
    <w:rsid w:val="00DF4BAA"/>
    <w:rsid w:val="00DF4EB3"/>
    <w:rsid w:val="00DF6038"/>
    <w:rsid w:val="00DF659F"/>
    <w:rsid w:val="00DF6B5C"/>
    <w:rsid w:val="00DF7240"/>
    <w:rsid w:val="00DF72C3"/>
    <w:rsid w:val="00DF7554"/>
    <w:rsid w:val="00DF76FD"/>
    <w:rsid w:val="00DF79A5"/>
    <w:rsid w:val="00E00E52"/>
    <w:rsid w:val="00E01445"/>
    <w:rsid w:val="00E014E0"/>
    <w:rsid w:val="00E01919"/>
    <w:rsid w:val="00E01FA6"/>
    <w:rsid w:val="00E026B2"/>
    <w:rsid w:val="00E039E1"/>
    <w:rsid w:val="00E03A70"/>
    <w:rsid w:val="00E04753"/>
    <w:rsid w:val="00E0488B"/>
    <w:rsid w:val="00E04F1D"/>
    <w:rsid w:val="00E04FA8"/>
    <w:rsid w:val="00E05248"/>
    <w:rsid w:val="00E05359"/>
    <w:rsid w:val="00E05FB0"/>
    <w:rsid w:val="00E062AE"/>
    <w:rsid w:val="00E06788"/>
    <w:rsid w:val="00E06F60"/>
    <w:rsid w:val="00E07FC1"/>
    <w:rsid w:val="00E1066A"/>
    <w:rsid w:val="00E115C4"/>
    <w:rsid w:val="00E119C8"/>
    <w:rsid w:val="00E11A55"/>
    <w:rsid w:val="00E1276E"/>
    <w:rsid w:val="00E12A6F"/>
    <w:rsid w:val="00E12DAD"/>
    <w:rsid w:val="00E12E9F"/>
    <w:rsid w:val="00E13438"/>
    <w:rsid w:val="00E13858"/>
    <w:rsid w:val="00E13AA2"/>
    <w:rsid w:val="00E13FE9"/>
    <w:rsid w:val="00E14421"/>
    <w:rsid w:val="00E144BC"/>
    <w:rsid w:val="00E14AFD"/>
    <w:rsid w:val="00E14C28"/>
    <w:rsid w:val="00E14F70"/>
    <w:rsid w:val="00E156B2"/>
    <w:rsid w:val="00E159F5"/>
    <w:rsid w:val="00E15BF4"/>
    <w:rsid w:val="00E16B00"/>
    <w:rsid w:val="00E16CC0"/>
    <w:rsid w:val="00E1709A"/>
    <w:rsid w:val="00E17854"/>
    <w:rsid w:val="00E208B2"/>
    <w:rsid w:val="00E21082"/>
    <w:rsid w:val="00E21148"/>
    <w:rsid w:val="00E214D6"/>
    <w:rsid w:val="00E21831"/>
    <w:rsid w:val="00E21B28"/>
    <w:rsid w:val="00E21C01"/>
    <w:rsid w:val="00E22BAD"/>
    <w:rsid w:val="00E23683"/>
    <w:rsid w:val="00E2411A"/>
    <w:rsid w:val="00E244CC"/>
    <w:rsid w:val="00E24FE3"/>
    <w:rsid w:val="00E25153"/>
    <w:rsid w:val="00E25647"/>
    <w:rsid w:val="00E258EA"/>
    <w:rsid w:val="00E25D47"/>
    <w:rsid w:val="00E25DCD"/>
    <w:rsid w:val="00E25DEB"/>
    <w:rsid w:val="00E2611F"/>
    <w:rsid w:val="00E263B5"/>
    <w:rsid w:val="00E264FA"/>
    <w:rsid w:val="00E26962"/>
    <w:rsid w:val="00E26D29"/>
    <w:rsid w:val="00E26DFD"/>
    <w:rsid w:val="00E273B1"/>
    <w:rsid w:val="00E277DA"/>
    <w:rsid w:val="00E27BB6"/>
    <w:rsid w:val="00E27F49"/>
    <w:rsid w:val="00E30AF7"/>
    <w:rsid w:val="00E31099"/>
    <w:rsid w:val="00E310D7"/>
    <w:rsid w:val="00E31B3D"/>
    <w:rsid w:val="00E31CEC"/>
    <w:rsid w:val="00E3220F"/>
    <w:rsid w:val="00E326F8"/>
    <w:rsid w:val="00E32EED"/>
    <w:rsid w:val="00E33A32"/>
    <w:rsid w:val="00E33C00"/>
    <w:rsid w:val="00E33F8C"/>
    <w:rsid w:val="00E340E3"/>
    <w:rsid w:val="00E3415B"/>
    <w:rsid w:val="00E34A2A"/>
    <w:rsid w:val="00E35CE3"/>
    <w:rsid w:val="00E35DE0"/>
    <w:rsid w:val="00E35DE7"/>
    <w:rsid w:val="00E3619F"/>
    <w:rsid w:val="00E3622A"/>
    <w:rsid w:val="00E362E4"/>
    <w:rsid w:val="00E3653F"/>
    <w:rsid w:val="00E36CAC"/>
    <w:rsid w:val="00E36CD0"/>
    <w:rsid w:val="00E3709E"/>
    <w:rsid w:val="00E3732F"/>
    <w:rsid w:val="00E37FEC"/>
    <w:rsid w:val="00E402CB"/>
    <w:rsid w:val="00E40876"/>
    <w:rsid w:val="00E40C8C"/>
    <w:rsid w:val="00E41047"/>
    <w:rsid w:val="00E42607"/>
    <w:rsid w:val="00E428FD"/>
    <w:rsid w:val="00E429C9"/>
    <w:rsid w:val="00E4490E"/>
    <w:rsid w:val="00E4510B"/>
    <w:rsid w:val="00E45891"/>
    <w:rsid w:val="00E459DB"/>
    <w:rsid w:val="00E46065"/>
    <w:rsid w:val="00E46E0B"/>
    <w:rsid w:val="00E46FB9"/>
    <w:rsid w:val="00E471DF"/>
    <w:rsid w:val="00E47360"/>
    <w:rsid w:val="00E47BAF"/>
    <w:rsid w:val="00E5019E"/>
    <w:rsid w:val="00E5040A"/>
    <w:rsid w:val="00E5055B"/>
    <w:rsid w:val="00E51121"/>
    <w:rsid w:val="00E51219"/>
    <w:rsid w:val="00E52900"/>
    <w:rsid w:val="00E52B87"/>
    <w:rsid w:val="00E538DF"/>
    <w:rsid w:val="00E53936"/>
    <w:rsid w:val="00E53B59"/>
    <w:rsid w:val="00E53B89"/>
    <w:rsid w:val="00E54377"/>
    <w:rsid w:val="00E55FD7"/>
    <w:rsid w:val="00E564C7"/>
    <w:rsid w:val="00E56C1C"/>
    <w:rsid w:val="00E600D7"/>
    <w:rsid w:val="00E60C62"/>
    <w:rsid w:val="00E6117E"/>
    <w:rsid w:val="00E61291"/>
    <w:rsid w:val="00E613AA"/>
    <w:rsid w:val="00E619E4"/>
    <w:rsid w:val="00E62729"/>
    <w:rsid w:val="00E62BD7"/>
    <w:rsid w:val="00E633A5"/>
    <w:rsid w:val="00E633B3"/>
    <w:rsid w:val="00E63BAC"/>
    <w:rsid w:val="00E63E58"/>
    <w:rsid w:val="00E63E96"/>
    <w:rsid w:val="00E64010"/>
    <w:rsid w:val="00E64144"/>
    <w:rsid w:val="00E6490E"/>
    <w:rsid w:val="00E65775"/>
    <w:rsid w:val="00E65B1B"/>
    <w:rsid w:val="00E65C5A"/>
    <w:rsid w:val="00E66845"/>
    <w:rsid w:val="00E70154"/>
    <w:rsid w:val="00E70168"/>
    <w:rsid w:val="00E708A8"/>
    <w:rsid w:val="00E70F91"/>
    <w:rsid w:val="00E71445"/>
    <w:rsid w:val="00E71495"/>
    <w:rsid w:val="00E714D2"/>
    <w:rsid w:val="00E7159B"/>
    <w:rsid w:val="00E71902"/>
    <w:rsid w:val="00E71DC7"/>
    <w:rsid w:val="00E72180"/>
    <w:rsid w:val="00E72CDD"/>
    <w:rsid w:val="00E73602"/>
    <w:rsid w:val="00E73790"/>
    <w:rsid w:val="00E738F2"/>
    <w:rsid w:val="00E74173"/>
    <w:rsid w:val="00E7464D"/>
    <w:rsid w:val="00E74872"/>
    <w:rsid w:val="00E74C09"/>
    <w:rsid w:val="00E74CF6"/>
    <w:rsid w:val="00E7531A"/>
    <w:rsid w:val="00E7547B"/>
    <w:rsid w:val="00E75611"/>
    <w:rsid w:val="00E756AE"/>
    <w:rsid w:val="00E759C7"/>
    <w:rsid w:val="00E75BE5"/>
    <w:rsid w:val="00E772E4"/>
    <w:rsid w:val="00E80069"/>
    <w:rsid w:val="00E809D0"/>
    <w:rsid w:val="00E80BDF"/>
    <w:rsid w:val="00E813AD"/>
    <w:rsid w:val="00E81A83"/>
    <w:rsid w:val="00E81F00"/>
    <w:rsid w:val="00E82981"/>
    <w:rsid w:val="00E82C34"/>
    <w:rsid w:val="00E83713"/>
    <w:rsid w:val="00E84392"/>
    <w:rsid w:val="00E84562"/>
    <w:rsid w:val="00E8465F"/>
    <w:rsid w:val="00E84B95"/>
    <w:rsid w:val="00E85699"/>
    <w:rsid w:val="00E869BC"/>
    <w:rsid w:val="00E86E53"/>
    <w:rsid w:val="00E874CC"/>
    <w:rsid w:val="00E87CB1"/>
    <w:rsid w:val="00E902C5"/>
    <w:rsid w:val="00E91532"/>
    <w:rsid w:val="00E91789"/>
    <w:rsid w:val="00E91E9B"/>
    <w:rsid w:val="00E91F9E"/>
    <w:rsid w:val="00E9204F"/>
    <w:rsid w:val="00E9280D"/>
    <w:rsid w:val="00E929D3"/>
    <w:rsid w:val="00E93325"/>
    <w:rsid w:val="00E93AAC"/>
    <w:rsid w:val="00E946C1"/>
    <w:rsid w:val="00E9515E"/>
    <w:rsid w:val="00E953D2"/>
    <w:rsid w:val="00E955B4"/>
    <w:rsid w:val="00E96A63"/>
    <w:rsid w:val="00E96C21"/>
    <w:rsid w:val="00E96E0E"/>
    <w:rsid w:val="00E97014"/>
    <w:rsid w:val="00E9705E"/>
    <w:rsid w:val="00E9724F"/>
    <w:rsid w:val="00E9777E"/>
    <w:rsid w:val="00E9782F"/>
    <w:rsid w:val="00EA0031"/>
    <w:rsid w:val="00EA06BA"/>
    <w:rsid w:val="00EA0C6D"/>
    <w:rsid w:val="00EA11EF"/>
    <w:rsid w:val="00EA1275"/>
    <w:rsid w:val="00EA1B6A"/>
    <w:rsid w:val="00EA1D90"/>
    <w:rsid w:val="00EA1EDE"/>
    <w:rsid w:val="00EA1FE4"/>
    <w:rsid w:val="00EA233A"/>
    <w:rsid w:val="00EA2975"/>
    <w:rsid w:val="00EA31A5"/>
    <w:rsid w:val="00EA3D52"/>
    <w:rsid w:val="00EA46C8"/>
    <w:rsid w:val="00EA4700"/>
    <w:rsid w:val="00EA4B97"/>
    <w:rsid w:val="00EA4D0B"/>
    <w:rsid w:val="00EA4F4B"/>
    <w:rsid w:val="00EA4F56"/>
    <w:rsid w:val="00EA6C9D"/>
    <w:rsid w:val="00EA6EC1"/>
    <w:rsid w:val="00EA718E"/>
    <w:rsid w:val="00EA732C"/>
    <w:rsid w:val="00EB04F4"/>
    <w:rsid w:val="00EB0A0E"/>
    <w:rsid w:val="00EB0C95"/>
    <w:rsid w:val="00EB2343"/>
    <w:rsid w:val="00EB2A36"/>
    <w:rsid w:val="00EB2BF4"/>
    <w:rsid w:val="00EB3B21"/>
    <w:rsid w:val="00EB4465"/>
    <w:rsid w:val="00EB487E"/>
    <w:rsid w:val="00EB4C34"/>
    <w:rsid w:val="00EB4DFF"/>
    <w:rsid w:val="00EB55AA"/>
    <w:rsid w:val="00EB55E6"/>
    <w:rsid w:val="00EB583A"/>
    <w:rsid w:val="00EB6068"/>
    <w:rsid w:val="00EB63D8"/>
    <w:rsid w:val="00EB6443"/>
    <w:rsid w:val="00EB6E54"/>
    <w:rsid w:val="00EB7271"/>
    <w:rsid w:val="00EB7712"/>
    <w:rsid w:val="00EB7B33"/>
    <w:rsid w:val="00EC014E"/>
    <w:rsid w:val="00EC0476"/>
    <w:rsid w:val="00EC076E"/>
    <w:rsid w:val="00EC07C9"/>
    <w:rsid w:val="00EC0F2A"/>
    <w:rsid w:val="00EC10B1"/>
    <w:rsid w:val="00EC1367"/>
    <w:rsid w:val="00EC1937"/>
    <w:rsid w:val="00EC1DDC"/>
    <w:rsid w:val="00EC246B"/>
    <w:rsid w:val="00EC2EB5"/>
    <w:rsid w:val="00EC32A9"/>
    <w:rsid w:val="00EC3794"/>
    <w:rsid w:val="00EC3919"/>
    <w:rsid w:val="00EC40E3"/>
    <w:rsid w:val="00EC4FA5"/>
    <w:rsid w:val="00EC5803"/>
    <w:rsid w:val="00EC647A"/>
    <w:rsid w:val="00EC651E"/>
    <w:rsid w:val="00EC6565"/>
    <w:rsid w:val="00EC7C83"/>
    <w:rsid w:val="00ED044C"/>
    <w:rsid w:val="00ED0541"/>
    <w:rsid w:val="00ED0C80"/>
    <w:rsid w:val="00ED1552"/>
    <w:rsid w:val="00ED2BCB"/>
    <w:rsid w:val="00ED2D6A"/>
    <w:rsid w:val="00ED333C"/>
    <w:rsid w:val="00ED4359"/>
    <w:rsid w:val="00ED46CB"/>
    <w:rsid w:val="00ED4A58"/>
    <w:rsid w:val="00ED59AB"/>
    <w:rsid w:val="00ED5E04"/>
    <w:rsid w:val="00ED6351"/>
    <w:rsid w:val="00ED6FDA"/>
    <w:rsid w:val="00ED7A2D"/>
    <w:rsid w:val="00ED7F0F"/>
    <w:rsid w:val="00EE0393"/>
    <w:rsid w:val="00EE068A"/>
    <w:rsid w:val="00EE18D6"/>
    <w:rsid w:val="00EE1A41"/>
    <w:rsid w:val="00EE2611"/>
    <w:rsid w:val="00EE2AA5"/>
    <w:rsid w:val="00EE3CF4"/>
    <w:rsid w:val="00EE3D1F"/>
    <w:rsid w:val="00EE5379"/>
    <w:rsid w:val="00EE6A03"/>
    <w:rsid w:val="00EE6D19"/>
    <w:rsid w:val="00EE6FAA"/>
    <w:rsid w:val="00EE7343"/>
    <w:rsid w:val="00EE7878"/>
    <w:rsid w:val="00EE7883"/>
    <w:rsid w:val="00EF00AE"/>
    <w:rsid w:val="00EF02C4"/>
    <w:rsid w:val="00EF0543"/>
    <w:rsid w:val="00EF0729"/>
    <w:rsid w:val="00EF08B6"/>
    <w:rsid w:val="00EF0CB3"/>
    <w:rsid w:val="00EF0CBA"/>
    <w:rsid w:val="00EF10DC"/>
    <w:rsid w:val="00EF1BFE"/>
    <w:rsid w:val="00EF1D80"/>
    <w:rsid w:val="00EF1DAA"/>
    <w:rsid w:val="00EF1EDC"/>
    <w:rsid w:val="00EF21D3"/>
    <w:rsid w:val="00EF2E76"/>
    <w:rsid w:val="00EF37A0"/>
    <w:rsid w:val="00EF37BE"/>
    <w:rsid w:val="00EF3D0E"/>
    <w:rsid w:val="00EF3EE3"/>
    <w:rsid w:val="00EF4E3C"/>
    <w:rsid w:val="00EF55FB"/>
    <w:rsid w:val="00EF5824"/>
    <w:rsid w:val="00EF5CA6"/>
    <w:rsid w:val="00EF65E3"/>
    <w:rsid w:val="00EF68DB"/>
    <w:rsid w:val="00EF68E5"/>
    <w:rsid w:val="00EF6CE6"/>
    <w:rsid w:val="00EF6F62"/>
    <w:rsid w:val="00EF7125"/>
    <w:rsid w:val="00EF79E6"/>
    <w:rsid w:val="00EF7D19"/>
    <w:rsid w:val="00EF7E93"/>
    <w:rsid w:val="00F005C5"/>
    <w:rsid w:val="00F01042"/>
    <w:rsid w:val="00F01148"/>
    <w:rsid w:val="00F014CA"/>
    <w:rsid w:val="00F01596"/>
    <w:rsid w:val="00F01BA3"/>
    <w:rsid w:val="00F01C6B"/>
    <w:rsid w:val="00F0266A"/>
    <w:rsid w:val="00F039D2"/>
    <w:rsid w:val="00F03AD7"/>
    <w:rsid w:val="00F0424E"/>
    <w:rsid w:val="00F04587"/>
    <w:rsid w:val="00F04C13"/>
    <w:rsid w:val="00F04D63"/>
    <w:rsid w:val="00F04DD3"/>
    <w:rsid w:val="00F05323"/>
    <w:rsid w:val="00F05D4A"/>
    <w:rsid w:val="00F066B7"/>
    <w:rsid w:val="00F067CA"/>
    <w:rsid w:val="00F0682B"/>
    <w:rsid w:val="00F068F4"/>
    <w:rsid w:val="00F06A9A"/>
    <w:rsid w:val="00F06ADB"/>
    <w:rsid w:val="00F06DCE"/>
    <w:rsid w:val="00F06FDF"/>
    <w:rsid w:val="00F07149"/>
    <w:rsid w:val="00F07534"/>
    <w:rsid w:val="00F076F6"/>
    <w:rsid w:val="00F07E3E"/>
    <w:rsid w:val="00F1059B"/>
    <w:rsid w:val="00F11BE0"/>
    <w:rsid w:val="00F11CAE"/>
    <w:rsid w:val="00F12468"/>
    <w:rsid w:val="00F132CF"/>
    <w:rsid w:val="00F13564"/>
    <w:rsid w:val="00F13FDE"/>
    <w:rsid w:val="00F13FE1"/>
    <w:rsid w:val="00F1424E"/>
    <w:rsid w:val="00F14319"/>
    <w:rsid w:val="00F14EFD"/>
    <w:rsid w:val="00F1573B"/>
    <w:rsid w:val="00F15BD5"/>
    <w:rsid w:val="00F162DD"/>
    <w:rsid w:val="00F1665F"/>
    <w:rsid w:val="00F16819"/>
    <w:rsid w:val="00F16A14"/>
    <w:rsid w:val="00F16D38"/>
    <w:rsid w:val="00F17B25"/>
    <w:rsid w:val="00F20027"/>
    <w:rsid w:val="00F2010B"/>
    <w:rsid w:val="00F20A85"/>
    <w:rsid w:val="00F214C3"/>
    <w:rsid w:val="00F21AE2"/>
    <w:rsid w:val="00F21CDC"/>
    <w:rsid w:val="00F21D6E"/>
    <w:rsid w:val="00F220DA"/>
    <w:rsid w:val="00F222E2"/>
    <w:rsid w:val="00F22330"/>
    <w:rsid w:val="00F22450"/>
    <w:rsid w:val="00F2299D"/>
    <w:rsid w:val="00F237B7"/>
    <w:rsid w:val="00F23F02"/>
    <w:rsid w:val="00F24D5D"/>
    <w:rsid w:val="00F253A7"/>
    <w:rsid w:val="00F25A57"/>
    <w:rsid w:val="00F2615C"/>
    <w:rsid w:val="00F26259"/>
    <w:rsid w:val="00F26482"/>
    <w:rsid w:val="00F26887"/>
    <w:rsid w:val="00F270A2"/>
    <w:rsid w:val="00F27663"/>
    <w:rsid w:val="00F27C2A"/>
    <w:rsid w:val="00F3003C"/>
    <w:rsid w:val="00F30297"/>
    <w:rsid w:val="00F31155"/>
    <w:rsid w:val="00F318D2"/>
    <w:rsid w:val="00F32568"/>
    <w:rsid w:val="00F32A47"/>
    <w:rsid w:val="00F32A75"/>
    <w:rsid w:val="00F33C12"/>
    <w:rsid w:val="00F33FD8"/>
    <w:rsid w:val="00F344EE"/>
    <w:rsid w:val="00F345E7"/>
    <w:rsid w:val="00F34B58"/>
    <w:rsid w:val="00F34C4E"/>
    <w:rsid w:val="00F34F97"/>
    <w:rsid w:val="00F353FA"/>
    <w:rsid w:val="00F35678"/>
    <w:rsid w:val="00F35881"/>
    <w:rsid w:val="00F35C61"/>
    <w:rsid w:val="00F35CC6"/>
    <w:rsid w:val="00F363C9"/>
    <w:rsid w:val="00F36752"/>
    <w:rsid w:val="00F36BCF"/>
    <w:rsid w:val="00F36C6D"/>
    <w:rsid w:val="00F36E3E"/>
    <w:rsid w:val="00F37201"/>
    <w:rsid w:val="00F3745A"/>
    <w:rsid w:val="00F37D92"/>
    <w:rsid w:val="00F4057B"/>
    <w:rsid w:val="00F40960"/>
    <w:rsid w:val="00F40A51"/>
    <w:rsid w:val="00F41196"/>
    <w:rsid w:val="00F412C6"/>
    <w:rsid w:val="00F417A0"/>
    <w:rsid w:val="00F418B9"/>
    <w:rsid w:val="00F41B8E"/>
    <w:rsid w:val="00F41B98"/>
    <w:rsid w:val="00F41D90"/>
    <w:rsid w:val="00F41F27"/>
    <w:rsid w:val="00F42480"/>
    <w:rsid w:val="00F42676"/>
    <w:rsid w:val="00F42C26"/>
    <w:rsid w:val="00F438F7"/>
    <w:rsid w:val="00F43C3F"/>
    <w:rsid w:val="00F43D4F"/>
    <w:rsid w:val="00F43F12"/>
    <w:rsid w:val="00F449CF"/>
    <w:rsid w:val="00F44F86"/>
    <w:rsid w:val="00F44F88"/>
    <w:rsid w:val="00F452D4"/>
    <w:rsid w:val="00F453D1"/>
    <w:rsid w:val="00F45D5B"/>
    <w:rsid w:val="00F45E4A"/>
    <w:rsid w:val="00F45FB1"/>
    <w:rsid w:val="00F46282"/>
    <w:rsid w:val="00F462B5"/>
    <w:rsid w:val="00F467A0"/>
    <w:rsid w:val="00F46A38"/>
    <w:rsid w:val="00F46C97"/>
    <w:rsid w:val="00F46D04"/>
    <w:rsid w:val="00F4733D"/>
    <w:rsid w:val="00F474F8"/>
    <w:rsid w:val="00F478EA"/>
    <w:rsid w:val="00F47E30"/>
    <w:rsid w:val="00F47ECD"/>
    <w:rsid w:val="00F50A9B"/>
    <w:rsid w:val="00F50C52"/>
    <w:rsid w:val="00F5121C"/>
    <w:rsid w:val="00F53672"/>
    <w:rsid w:val="00F5441B"/>
    <w:rsid w:val="00F5445C"/>
    <w:rsid w:val="00F55269"/>
    <w:rsid w:val="00F55295"/>
    <w:rsid w:val="00F55306"/>
    <w:rsid w:val="00F55E53"/>
    <w:rsid w:val="00F55F17"/>
    <w:rsid w:val="00F5645F"/>
    <w:rsid w:val="00F56F6A"/>
    <w:rsid w:val="00F606D1"/>
    <w:rsid w:val="00F60896"/>
    <w:rsid w:val="00F60AB1"/>
    <w:rsid w:val="00F60B60"/>
    <w:rsid w:val="00F60FC9"/>
    <w:rsid w:val="00F61639"/>
    <w:rsid w:val="00F61D5A"/>
    <w:rsid w:val="00F61F36"/>
    <w:rsid w:val="00F6417C"/>
    <w:rsid w:val="00F66C46"/>
    <w:rsid w:val="00F66C6E"/>
    <w:rsid w:val="00F677AA"/>
    <w:rsid w:val="00F679C5"/>
    <w:rsid w:val="00F67E34"/>
    <w:rsid w:val="00F67F6A"/>
    <w:rsid w:val="00F70023"/>
    <w:rsid w:val="00F71A37"/>
    <w:rsid w:val="00F71AF7"/>
    <w:rsid w:val="00F71B28"/>
    <w:rsid w:val="00F72208"/>
    <w:rsid w:val="00F72E83"/>
    <w:rsid w:val="00F72F04"/>
    <w:rsid w:val="00F73716"/>
    <w:rsid w:val="00F73A8E"/>
    <w:rsid w:val="00F73F73"/>
    <w:rsid w:val="00F742B6"/>
    <w:rsid w:val="00F74B2D"/>
    <w:rsid w:val="00F74CA7"/>
    <w:rsid w:val="00F75D9A"/>
    <w:rsid w:val="00F763EC"/>
    <w:rsid w:val="00F76999"/>
    <w:rsid w:val="00F8013F"/>
    <w:rsid w:val="00F80A7F"/>
    <w:rsid w:val="00F80B7C"/>
    <w:rsid w:val="00F80E9E"/>
    <w:rsid w:val="00F81820"/>
    <w:rsid w:val="00F8191C"/>
    <w:rsid w:val="00F81F92"/>
    <w:rsid w:val="00F82421"/>
    <w:rsid w:val="00F82762"/>
    <w:rsid w:val="00F82AFD"/>
    <w:rsid w:val="00F8302D"/>
    <w:rsid w:val="00F8366E"/>
    <w:rsid w:val="00F837EE"/>
    <w:rsid w:val="00F84902"/>
    <w:rsid w:val="00F85169"/>
    <w:rsid w:val="00F8522B"/>
    <w:rsid w:val="00F854D8"/>
    <w:rsid w:val="00F85D46"/>
    <w:rsid w:val="00F864BE"/>
    <w:rsid w:val="00F869A4"/>
    <w:rsid w:val="00F86B48"/>
    <w:rsid w:val="00F86FF4"/>
    <w:rsid w:val="00F87342"/>
    <w:rsid w:val="00F87526"/>
    <w:rsid w:val="00F90137"/>
    <w:rsid w:val="00F90172"/>
    <w:rsid w:val="00F903FA"/>
    <w:rsid w:val="00F90D2C"/>
    <w:rsid w:val="00F90DAE"/>
    <w:rsid w:val="00F9110C"/>
    <w:rsid w:val="00F91467"/>
    <w:rsid w:val="00F9149A"/>
    <w:rsid w:val="00F916AC"/>
    <w:rsid w:val="00F9172C"/>
    <w:rsid w:val="00F91CF3"/>
    <w:rsid w:val="00F92187"/>
    <w:rsid w:val="00F92A23"/>
    <w:rsid w:val="00F93358"/>
    <w:rsid w:val="00F935D3"/>
    <w:rsid w:val="00F93840"/>
    <w:rsid w:val="00F93BE7"/>
    <w:rsid w:val="00F93F64"/>
    <w:rsid w:val="00F94001"/>
    <w:rsid w:val="00F9411A"/>
    <w:rsid w:val="00F94525"/>
    <w:rsid w:val="00F9496A"/>
    <w:rsid w:val="00F9571C"/>
    <w:rsid w:val="00F95B90"/>
    <w:rsid w:val="00F95C2E"/>
    <w:rsid w:val="00F95C76"/>
    <w:rsid w:val="00F95E4E"/>
    <w:rsid w:val="00F960B2"/>
    <w:rsid w:val="00F963AB"/>
    <w:rsid w:val="00F971DA"/>
    <w:rsid w:val="00F97788"/>
    <w:rsid w:val="00F9790E"/>
    <w:rsid w:val="00F97B88"/>
    <w:rsid w:val="00F97C1D"/>
    <w:rsid w:val="00F97F6E"/>
    <w:rsid w:val="00FA0719"/>
    <w:rsid w:val="00FA1165"/>
    <w:rsid w:val="00FA11E5"/>
    <w:rsid w:val="00FA1B72"/>
    <w:rsid w:val="00FA1DA9"/>
    <w:rsid w:val="00FA1E13"/>
    <w:rsid w:val="00FA1F4A"/>
    <w:rsid w:val="00FA1FFE"/>
    <w:rsid w:val="00FA2565"/>
    <w:rsid w:val="00FA276E"/>
    <w:rsid w:val="00FA2E7A"/>
    <w:rsid w:val="00FA2ED0"/>
    <w:rsid w:val="00FA3211"/>
    <w:rsid w:val="00FA343C"/>
    <w:rsid w:val="00FA4477"/>
    <w:rsid w:val="00FA4879"/>
    <w:rsid w:val="00FA5049"/>
    <w:rsid w:val="00FA57D4"/>
    <w:rsid w:val="00FA5C05"/>
    <w:rsid w:val="00FA6182"/>
    <w:rsid w:val="00FA68EA"/>
    <w:rsid w:val="00FA6AA4"/>
    <w:rsid w:val="00FA6BCB"/>
    <w:rsid w:val="00FA6BFF"/>
    <w:rsid w:val="00FA6CF4"/>
    <w:rsid w:val="00FA6F29"/>
    <w:rsid w:val="00FA7507"/>
    <w:rsid w:val="00FA765F"/>
    <w:rsid w:val="00FA78C9"/>
    <w:rsid w:val="00FA7FCF"/>
    <w:rsid w:val="00FB00A5"/>
    <w:rsid w:val="00FB01C5"/>
    <w:rsid w:val="00FB04B2"/>
    <w:rsid w:val="00FB0791"/>
    <w:rsid w:val="00FB0E7F"/>
    <w:rsid w:val="00FB0EC4"/>
    <w:rsid w:val="00FB13A2"/>
    <w:rsid w:val="00FB1566"/>
    <w:rsid w:val="00FB172E"/>
    <w:rsid w:val="00FB18C7"/>
    <w:rsid w:val="00FB1B74"/>
    <w:rsid w:val="00FB23D9"/>
    <w:rsid w:val="00FB2FD1"/>
    <w:rsid w:val="00FB3209"/>
    <w:rsid w:val="00FB36CF"/>
    <w:rsid w:val="00FB378F"/>
    <w:rsid w:val="00FB37E2"/>
    <w:rsid w:val="00FB3A8D"/>
    <w:rsid w:val="00FB47CA"/>
    <w:rsid w:val="00FB5422"/>
    <w:rsid w:val="00FB5EF9"/>
    <w:rsid w:val="00FB6ABB"/>
    <w:rsid w:val="00FB6BBD"/>
    <w:rsid w:val="00FB6D41"/>
    <w:rsid w:val="00FB7424"/>
    <w:rsid w:val="00FB7453"/>
    <w:rsid w:val="00FC1182"/>
    <w:rsid w:val="00FC241C"/>
    <w:rsid w:val="00FC2781"/>
    <w:rsid w:val="00FC294E"/>
    <w:rsid w:val="00FC2DF9"/>
    <w:rsid w:val="00FC328E"/>
    <w:rsid w:val="00FC3CD5"/>
    <w:rsid w:val="00FC3CD9"/>
    <w:rsid w:val="00FC3D5C"/>
    <w:rsid w:val="00FC4926"/>
    <w:rsid w:val="00FC4BD7"/>
    <w:rsid w:val="00FC4DFC"/>
    <w:rsid w:val="00FC4F85"/>
    <w:rsid w:val="00FC5018"/>
    <w:rsid w:val="00FC527B"/>
    <w:rsid w:val="00FC5714"/>
    <w:rsid w:val="00FC6690"/>
    <w:rsid w:val="00FC6A5C"/>
    <w:rsid w:val="00FC6AB6"/>
    <w:rsid w:val="00FC7207"/>
    <w:rsid w:val="00FC7705"/>
    <w:rsid w:val="00FD0165"/>
    <w:rsid w:val="00FD02D9"/>
    <w:rsid w:val="00FD0615"/>
    <w:rsid w:val="00FD0D46"/>
    <w:rsid w:val="00FD1058"/>
    <w:rsid w:val="00FD13BE"/>
    <w:rsid w:val="00FD1810"/>
    <w:rsid w:val="00FD2291"/>
    <w:rsid w:val="00FD2DD6"/>
    <w:rsid w:val="00FD34FB"/>
    <w:rsid w:val="00FD3D76"/>
    <w:rsid w:val="00FD4395"/>
    <w:rsid w:val="00FD4506"/>
    <w:rsid w:val="00FD5594"/>
    <w:rsid w:val="00FD5FE9"/>
    <w:rsid w:val="00FD6F7A"/>
    <w:rsid w:val="00FE08C6"/>
    <w:rsid w:val="00FE0A89"/>
    <w:rsid w:val="00FE1AC5"/>
    <w:rsid w:val="00FE1FB7"/>
    <w:rsid w:val="00FE225E"/>
    <w:rsid w:val="00FE2411"/>
    <w:rsid w:val="00FE24E2"/>
    <w:rsid w:val="00FE3030"/>
    <w:rsid w:val="00FE3316"/>
    <w:rsid w:val="00FE341D"/>
    <w:rsid w:val="00FE3463"/>
    <w:rsid w:val="00FE34DF"/>
    <w:rsid w:val="00FE3EDC"/>
    <w:rsid w:val="00FE41F6"/>
    <w:rsid w:val="00FE4530"/>
    <w:rsid w:val="00FE4794"/>
    <w:rsid w:val="00FE5B73"/>
    <w:rsid w:val="00FE626B"/>
    <w:rsid w:val="00FE7001"/>
    <w:rsid w:val="00FE7FF7"/>
    <w:rsid w:val="00FF06F2"/>
    <w:rsid w:val="00FF091C"/>
    <w:rsid w:val="00FF09AC"/>
    <w:rsid w:val="00FF0B89"/>
    <w:rsid w:val="00FF0C4F"/>
    <w:rsid w:val="00FF117F"/>
    <w:rsid w:val="00FF13BE"/>
    <w:rsid w:val="00FF1607"/>
    <w:rsid w:val="00FF17BF"/>
    <w:rsid w:val="00FF1F72"/>
    <w:rsid w:val="00FF2079"/>
    <w:rsid w:val="00FF2B31"/>
    <w:rsid w:val="00FF2C73"/>
    <w:rsid w:val="00FF3103"/>
    <w:rsid w:val="00FF327E"/>
    <w:rsid w:val="00FF3297"/>
    <w:rsid w:val="00FF3E6D"/>
    <w:rsid w:val="00FF4224"/>
    <w:rsid w:val="00FF492D"/>
    <w:rsid w:val="00FF4CA8"/>
    <w:rsid w:val="00FF59D2"/>
    <w:rsid w:val="00FF5F93"/>
    <w:rsid w:val="00FF6B8D"/>
    <w:rsid w:val="00FF6BA3"/>
    <w:rsid w:val="00FF7041"/>
    <w:rsid w:val="00FF7203"/>
    <w:rsid w:val="00FF74D0"/>
    <w:rsid w:val="00FF76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F0FAD"/>
  <w15:docId w15:val="{F0EC3C97-2A6D-45ED-A24D-903FE040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9E"/>
    <w:pPr>
      <w:spacing w:line="480" w:lineRule="auto"/>
    </w:pPr>
    <w:rPr>
      <w:rFonts w:cstheme="minorBidi"/>
      <w:szCs w:val="22"/>
    </w:rPr>
  </w:style>
  <w:style w:type="paragraph" w:styleId="Heading1">
    <w:name w:val="heading 1"/>
    <w:basedOn w:val="Normal"/>
    <w:next w:val="Normal"/>
    <w:link w:val="Heading1Char"/>
    <w:uiPriority w:val="9"/>
    <w:qFormat/>
    <w:rsid w:val="000B26F3"/>
    <w:pPr>
      <w:keepNext/>
      <w:keepLines/>
      <w:outlineLvl w:val="0"/>
    </w:pPr>
    <w:rPr>
      <w:rFonts w:eastAsiaTheme="majorEastAsia" w:cstheme="majorBidi"/>
      <w:b/>
      <w:bCs/>
      <w:color w:val="000000" w:themeColor="text1"/>
      <w:sz w:val="36"/>
      <w:szCs w:val="36"/>
    </w:rPr>
  </w:style>
  <w:style w:type="paragraph" w:styleId="Heading2">
    <w:name w:val="heading 2"/>
    <w:basedOn w:val="Normal"/>
    <w:next w:val="Normal"/>
    <w:link w:val="Heading2Char"/>
    <w:uiPriority w:val="9"/>
    <w:unhideWhenUsed/>
    <w:qFormat/>
    <w:rsid w:val="000B26F3"/>
    <w:pPr>
      <w:keepNext/>
      <w:keepLines/>
      <w:ind w:left="576" w:hanging="576"/>
      <w:outlineLvl w:val="1"/>
    </w:pPr>
    <w:rPr>
      <w:rFonts w:eastAsiaTheme="majorEastAsia" w:cstheme="majorBidi"/>
      <w:b/>
      <w:bCs/>
      <w:color w:val="000000" w:themeColor="text1"/>
      <w:sz w:val="32"/>
      <w:szCs w:val="32"/>
    </w:rPr>
  </w:style>
  <w:style w:type="paragraph" w:styleId="Heading3">
    <w:name w:val="heading 3"/>
    <w:basedOn w:val="Normal"/>
    <w:next w:val="Normal"/>
    <w:link w:val="Heading3Char"/>
    <w:uiPriority w:val="9"/>
    <w:unhideWhenUsed/>
    <w:qFormat/>
    <w:rsid w:val="000B26F3"/>
    <w:pPr>
      <w:keepNext/>
      <w:ind w:left="720" w:hanging="720"/>
      <w:outlineLvl w:val="2"/>
    </w:pPr>
    <w:rPr>
      <w:rFonts w:eastAsia="Times New Roman"/>
      <w:b/>
      <w:sz w:val="28"/>
      <w:szCs w:val="28"/>
    </w:rPr>
  </w:style>
  <w:style w:type="paragraph" w:styleId="Heading4">
    <w:name w:val="heading 4"/>
    <w:basedOn w:val="Normal"/>
    <w:next w:val="Normal"/>
    <w:link w:val="Heading4Char"/>
    <w:uiPriority w:val="9"/>
    <w:unhideWhenUsed/>
    <w:qFormat/>
    <w:rsid w:val="000B26F3"/>
    <w:pPr>
      <w:keepNext/>
      <w:keepLines/>
      <w:ind w:left="864" w:hanging="864"/>
      <w:outlineLvl w:val="3"/>
    </w:pPr>
    <w:rPr>
      <w:rFonts w:eastAsiaTheme="majorEastAsia" w:cstheme="majorBidi"/>
      <w:bCs/>
      <w:i/>
      <w:iCs/>
      <w:u w:val="single"/>
    </w:rPr>
  </w:style>
  <w:style w:type="paragraph" w:styleId="Heading5">
    <w:name w:val="heading 5"/>
    <w:basedOn w:val="Normal"/>
    <w:next w:val="Normal"/>
    <w:link w:val="Heading5Char"/>
    <w:uiPriority w:val="9"/>
    <w:unhideWhenUsed/>
    <w:qFormat/>
    <w:rsid w:val="00C01BBA"/>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1BBA"/>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1BBA"/>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1BBA"/>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1BBA"/>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B26F3"/>
    <w:rPr>
      <w:rFonts w:eastAsia="Times New Roman" w:cstheme="minorBidi"/>
      <w:b/>
      <w:sz w:val="28"/>
      <w:szCs w:val="28"/>
    </w:rPr>
  </w:style>
  <w:style w:type="paragraph" w:styleId="ListParagraph">
    <w:name w:val="List Paragraph"/>
    <w:basedOn w:val="Normal"/>
    <w:uiPriority w:val="34"/>
    <w:qFormat/>
    <w:rsid w:val="00DD387B"/>
    <w:pPr>
      <w:ind w:left="720"/>
      <w:contextualSpacing/>
    </w:pPr>
  </w:style>
  <w:style w:type="character" w:customStyle="1" w:styleId="Heading1Char">
    <w:name w:val="Heading 1 Char"/>
    <w:basedOn w:val="DefaultParagraphFont"/>
    <w:link w:val="Heading1"/>
    <w:uiPriority w:val="9"/>
    <w:rsid w:val="000B26F3"/>
    <w:rPr>
      <w:rFonts w:eastAsiaTheme="majorEastAsia" w:cstheme="majorBidi"/>
      <w:b/>
      <w:bCs/>
      <w:color w:val="000000" w:themeColor="text1"/>
      <w:sz w:val="36"/>
      <w:szCs w:val="36"/>
    </w:rPr>
  </w:style>
  <w:style w:type="character" w:customStyle="1" w:styleId="Heading2Char">
    <w:name w:val="Heading 2 Char"/>
    <w:basedOn w:val="DefaultParagraphFont"/>
    <w:link w:val="Heading2"/>
    <w:uiPriority w:val="9"/>
    <w:rsid w:val="000B26F3"/>
    <w:rPr>
      <w:rFonts w:eastAsiaTheme="majorEastAsia" w:cstheme="majorBidi"/>
      <w:b/>
      <w:bCs/>
      <w:color w:val="000000" w:themeColor="text1"/>
      <w:sz w:val="32"/>
      <w:szCs w:val="32"/>
    </w:rPr>
  </w:style>
  <w:style w:type="paragraph" w:styleId="FootnoteText">
    <w:name w:val="footnote text"/>
    <w:basedOn w:val="Normal"/>
    <w:link w:val="FootnoteTextChar"/>
    <w:uiPriority w:val="99"/>
    <w:unhideWhenUsed/>
    <w:rsid w:val="00A13DAE"/>
    <w:rPr>
      <w:sz w:val="20"/>
      <w:szCs w:val="20"/>
    </w:rPr>
  </w:style>
  <w:style w:type="character" w:customStyle="1" w:styleId="FootnoteTextChar">
    <w:name w:val="Footnote Text Char"/>
    <w:basedOn w:val="DefaultParagraphFont"/>
    <w:link w:val="FootnoteText"/>
    <w:uiPriority w:val="99"/>
    <w:rsid w:val="00A13DAE"/>
    <w:rPr>
      <w:rFonts w:cstheme="minorBidi"/>
      <w:sz w:val="20"/>
      <w:szCs w:val="20"/>
    </w:rPr>
  </w:style>
  <w:style w:type="character" w:styleId="FootnoteReference">
    <w:name w:val="footnote reference"/>
    <w:basedOn w:val="DefaultParagraphFont"/>
    <w:uiPriority w:val="99"/>
    <w:semiHidden/>
    <w:unhideWhenUsed/>
    <w:rsid w:val="00A13DAE"/>
    <w:rPr>
      <w:vertAlign w:val="superscript"/>
    </w:rPr>
  </w:style>
  <w:style w:type="character" w:customStyle="1" w:styleId="Heading4Char">
    <w:name w:val="Heading 4 Char"/>
    <w:basedOn w:val="DefaultParagraphFont"/>
    <w:link w:val="Heading4"/>
    <w:uiPriority w:val="9"/>
    <w:rsid w:val="000B26F3"/>
    <w:rPr>
      <w:rFonts w:eastAsiaTheme="majorEastAsia" w:cstheme="majorBidi"/>
      <w:bCs/>
      <w:i/>
      <w:iCs/>
      <w:szCs w:val="22"/>
      <w:u w:val="single"/>
    </w:rPr>
  </w:style>
  <w:style w:type="character" w:customStyle="1" w:styleId="Heading5Char">
    <w:name w:val="Heading 5 Char"/>
    <w:basedOn w:val="DefaultParagraphFont"/>
    <w:link w:val="Heading5"/>
    <w:uiPriority w:val="9"/>
    <w:semiHidden/>
    <w:rsid w:val="00C01BBA"/>
    <w:rPr>
      <w:rFonts w:asciiTheme="majorHAnsi" w:eastAsiaTheme="majorEastAsia" w:hAnsiTheme="majorHAnsi" w:cstheme="majorBidi"/>
      <w:color w:val="243F60" w:themeColor="accent1" w:themeShade="7F"/>
      <w:szCs w:val="22"/>
    </w:rPr>
  </w:style>
  <w:style w:type="character" w:customStyle="1" w:styleId="Heading6Char">
    <w:name w:val="Heading 6 Char"/>
    <w:basedOn w:val="DefaultParagraphFont"/>
    <w:link w:val="Heading6"/>
    <w:uiPriority w:val="9"/>
    <w:semiHidden/>
    <w:rsid w:val="00C01BBA"/>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C01BBA"/>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semiHidden/>
    <w:rsid w:val="00C01B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1BB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D57672"/>
    <w:rPr>
      <w:rFonts w:ascii="Tahoma" w:hAnsi="Tahoma" w:cs="Tahoma"/>
      <w:sz w:val="16"/>
      <w:szCs w:val="16"/>
    </w:rPr>
  </w:style>
  <w:style w:type="character" w:customStyle="1" w:styleId="BalloonTextChar">
    <w:name w:val="Balloon Text Char"/>
    <w:basedOn w:val="DefaultParagraphFont"/>
    <w:link w:val="BalloonText"/>
    <w:uiPriority w:val="99"/>
    <w:semiHidden/>
    <w:rsid w:val="00D57672"/>
    <w:rPr>
      <w:rFonts w:ascii="Tahoma" w:hAnsi="Tahoma" w:cs="Tahoma"/>
      <w:sz w:val="16"/>
      <w:szCs w:val="16"/>
    </w:rPr>
  </w:style>
  <w:style w:type="paragraph" w:styleId="Header">
    <w:name w:val="header"/>
    <w:basedOn w:val="Normal"/>
    <w:link w:val="HeaderChar"/>
    <w:uiPriority w:val="99"/>
    <w:unhideWhenUsed/>
    <w:rsid w:val="004846E9"/>
    <w:pPr>
      <w:tabs>
        <w:tab w:val="center" w:pos="4680"/>
        <w:tab w:val="right" w:pos="9360"/>
      </w:tabs>
    </w:pPr>
  </w:style>
  <w:style w:type="character" w:customStyle="1" w:styleId="HeaderChar">
    <w:name w:val="Header Char"/>
    <w:basedOn w:val="DefaultParagraphFont"/>
    <w:link w:val="Header"/>
    <w:uiPriority w:val="99"/>
    <w:rsid w:val="004846E9"/>
    <w:rPr>
      <w:rFonts w:cstheme="minorBidi"/>
      <w:szCs w:val="22"/>
    </w:rPr>
  </w:style>
  <w:style w:type="paragraph" w:styleId="Footer">
    <w:name w:val="footer"/>
    <w:basedOn w:val="Normal"/>
    <w:link w:val="FooterChar"/>
    <w:uiPriority w:val="99"/>
    <w:unhideWhenUsed/>
    <w:rsid w:val="004846E9"/>
    <w:pPr>
      <w:tabs>
        <w:tab w:val="center" w:pos="4680"/>
        <w:tab w:val="right" w:pos="9360"/>
      </w:tabs>
    </w:pPr>
  </w:style>
  <w:style w:type="character" w:customStyle="1" w:styleId="FooterChar">
    <w:name w:val="Footer Char"/>
    <w:basedOn w:val="DefaultParagraphFont"/>
    <w:link w:val="Footer"/>
    <w:uiPriority w:val="99"/>
    <w:rsid w:val="004846E9"/>
    <w:rPr>
      <w:rFonts w:cstheme="minorBidi"/>
      <w:szCs w:val="22"/>
    </w:rPr>
  </w:style>
  <w:style w:type="character" w:styleId="CommentReference">
    <w:name w:val="annotation reference"/>
    <w:basedOn w:val="DefaultParagraphFont"/>
    <w:uiPriority w:val="99"/>
    <w:rsid w:val="00FB3209"/>
    <w:rPr>
      <w:rFonts w:cs="Times New Roman"/>
      <w:sz w:val="16"/>
      <w:szCs w:val="16"/>
    </w:rPr>
  </w:style>
  <w:style w:type="paragraph" w:styleId="CommentText">
    <w:name w:val="annotation text"/>
    <w:basedOn w:val="Normal"/>
    <w:link w:val="CommentTextChar"/>
    <w:uiPriority w:val="99"/>
    <w:rsid w:val="00FB3209"/>
    <w:pPr>
      <w:spacing w:after="200" w:line="276" w:lineRule="auto"/>
      <w:jc w:val="left"/>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FB3209"/>
    <w:rPr>
      <w:rFonts w:ascii="Calibri" w:eastAsia="Times New Roman" w:hAnsi="Calibri"/>
      <w:sz w:val="20"/>
      <w:szCs w:val="20"/>
    </w:rPr>
  </w:style>
  <w:style w:type="paragraph" w:customStyle="1" w:styleId="Default">
    <w:name w:val="Default"/>
    <w:rsid w:val="00FB3209"/>
    <w:pPr>
      <w:autoSpaceDE w:val="0"/>
      <w:autoSpaceDN w:val="0"/>
      <w:adjustRightInd w:val="0"/>
      <w:jc w:val="left"/>
    </w:pPr>
    <w:rPr>
      <w:color w:val="000000"/>
    </w:rPr>
  </w:style>
  <w:style w:type="character" w:customStyle="1" w:styleId="apple-converted-space">
    <w:name w:val="apple-converted-space"/>
    <w:basedOn w:val="DefaultParagraphFont"/>
    <w:rsid w:val="001D1740"/>
  </w:style>
  <w:style w:type="table" w:styleId="TableGrid">
    <w:name w:val="Table Grid"/>
    <w:basedOn w:val="TableNormal"/>
    <w:uiPriority w:val="39"/>
    <w:rsid w:val="0034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6215A"/>
    <w:pPr>
      <w:jc w:val="left"/>
    </w:pPr>
    <w:rPr>
      <w:rFonts w:ascii="Book Antiqua" w:hAnsi="Book Antiqua"/>
      <w:sz w:val="22"/>
      <w:szCs w:val="21"/>
    </w:rPr>
  </w:style>
  <w:style w:type="character" w:customStyle="1" w:styleId="PlainTextChar">
    <w:name w:val="Plain Text Char"/>
    <w:basedOn w:val="DefaultParagraphFont"/>
    <w:link w:val="PlainText"/>
    <w:uiPriority w:val="99"/>
    <w:rsid w:val="0006215A"/>
    <w:rPr>
      <w:rFonts w:ascii="Book Antiqua" w:hAnsi="Book Antiqua" w:cstheme="minorBidi"/>
      <w:sz w:val="22"/>
      <w:szCs w:val="21"/>
    </w:rPr>
  </w:style>
  <w:style w:type="character" w:styleId="LineNumber">
    <w:name w:val="line number"/>
    <w:basedOn w:val="DefaultParagraphFont"/>
    <w:uiPriority w:val="99"/>
    <w:semiHidden/>
    <w:unhideWhenUsed/>
    <w:rsid w:val="0021362C"/>
  </w:style>
  <w:style w:type="paragraph" w:styleId="CommentSubject">
    <w:name w:val="annotation subject"/>
    <w:basedOn w:val="CommentText"/>
    <w:next w:val="CommentText"/>
    <w:link w:val="CommentSubjectChar"/>
    <w:uiPriority w:val="99"/>
    <w:semiHidden/>
    <w:unhideWhenUsed/>
    <w:rsid w:val="00DD5102"/>
    <w:pPr>
      <w:spacing w:after="0" w:line="240" w:lineRule="auto"/>
      <w:jc w:val="both"/>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DD5102"/>
    <w:rPr>
      <w:rFonts w:ascii="Calibri" w:eastAsia="Times New Roman" w:hAnsi="Calibri" w:cstheme="minorBidi"/>
      <w:b/>
      <w:bCs/>
      <w:sz w:val="20"/>
      <w:szCs w:val="20"/>
    </w:rPr>
  </w:style>
  <w:style w:type="paragraph" w:styleId="Revision">
    <w:name w:val="Revision"/>
    <w:hidden/>
    <w:uiPriority w:val="99"/>
    <w:semiHidden/>
    <w:rsid w:val="00DD5102"/>
    <w:pPr>
      <w:jc w:val="left"/>
    </w:pPr>
    <w:rPr>
      <w:rFonts w:cstheme="minorBidi"/>
      <w:szCs w:val="22"/>
    </w:rPr>
  </w:style>
  <w:style w:type="table" w:customStyle="1" w:styleId="TableGrid2">
    <w:name w:val="Table Grid2"/>
    <w:basedOn w:val="TableNormal"/>
    <w:next w:val="TableGrid"/>
    <w:uiPriority w:val="59"/>
    <w:rsid w:val="00847FED"/>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6C792D"/>
    <w:rPr>
      <w:color w:val="808080"/>
    </w:rPr>
  </w:style>
  <w:style w:type="paragraph" w:customStyle="1" w:styleId="Standard">
    <w:name w:val="Standard"/>
    <w:rsid w:val="00FC4DFC"/>
    <w:pPr>
      <w:suppressAutoHyphens/>
      <w:autoSpaceDN w:val="0"/>
      <w:spacing w:after="200" w:line="276" w:lineRule="auto"/>
      <w:jc w:val="left"/>
      <w:textAlignment w:val="baseline"/>
    </w:pPr>
    <w:rPr>
      <w:rFonts w:ascii="Calibri" w:eastAsia="SimSun" w:hAnsi="Calibri" w:cs="Calibri"/>
      <w:kern w:val="3"/>
      <w:sz w:val="22"/>
      <w:szCs w:val="22"/>
    </w:rPr>
  </w:style>
  <w:style w:type="character" w:styleId="EndnoteReference">
    <w:name w:val="endnote reference"/>
    <w:basedOn w:val="DefaultParagraphFont"/>
    <w:uiPriority w:val="99"/>
    <w:semiHidden/>
    <w:unhideWhenUsed/>
    <w:rsid w:val="00917991"/>
    <w:rPr>
      <w:vertAlign w:val="superscript"/>
    </w:rPr>
  </w:style>
  <w:style w:type="character" w:styleId="Hyperlink">
    <w:name w:val="Hyperlink"/>
    <w:basedOn w:val="DefaultParagraphFont"/>
    <w:uiPriority w:val="99"/>
    <w:unhideWhenUsed/>
    <w:rsid w:val="00A374CC"/>
    <w:rPr>
      <w:color w:val="0000FF" w:themeColor="hyperlink"/>
      <w:u w:val="single"/>
    </w:rPr>
  </w:style>
  <w:style w:type="character" w:customStyle="1" w:styleId="UnresolvedMention1">
    <w:name w:val="Unresolved Mention1"/>
    <w:basedOn w:val="DefaultParagraphFont"/>
    <w:uiPriority w:val="99"/>
    <w:semiHidden/>
    <w:unhideWhenUsed/>
    <w:rsid w:val="00A374CC"/>
    <w:rPr>
      <w:color w:val="605E5C"/>
      <w:shd w:val="clear" w:color="auto" w:fill="E1DFDD"/>
    </w:rPr>
  </w:style>
  <w:style w:type="table" w:customStyle="1" w:styleId="TableGrid1">
    <w:name w:val="Table Grid1"/>
    <w:basedOn w:val="TableNormal"/>
    <w:next w:val="TableGrid"/>
    <w:uiPriority w:val="59"/>
    <w:rsid w:val="00C87B7C"/>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E45E4"/>
    <w:pPr>
      <w:spacing w:before="100" w:beforeAutospacing="1" w:after="100" w:afterAutospacing="1"/>
      <w:jc w:val="left"/>
    </w:pPr>
    <w:rPr>
      <w:rFonts w:eastAsia="Times New Roman" w:cs="Times New Roman"/>
      <w:szCs w:val="24"/>
      <w:lang w:val="en-US"/>
    </w:rPr>
  </w:style>
  <w:style w:type="paragraph" w:styleId="Caption">
    <w:name w:val="caption"/>
    <w:aliases w:val="Figures-chapter 3"/>
    <w:basedOn w:val="Normal"/>
    <w:next w:val="Normal"/>
    <w:link w:val="CaptionChar"/>
    <w:uiPriority w:val="35"/>
    <w:unhideWhenUsed/>
    <w:qFormat/>
    <w:rsid w:val="000D1F7A"/>
    <w:pPr>
      <w:contextualSpacing/>
      <w:jc w:val="center"/>
    </w:pPr>
    <w:rPr>
      <w:b/>
      <w:iCs/>
      <w:szCs w:val="18"/>
    </w:rPr>
  </w:style>
  <w:style w:type="character" w:customStyle="1" w:styleId="CaptionChar">
    <w:name w:val="Caption Char"/>
    <w:aliases w:val="Figures-chapter 3 Char"/>
    <w:basedOn w:val="DefaultParagraphFont"/>
    <w:link w:val="Caption"/>
    <w:uiPriority w:val="35"/>
    <w:rsid w:val="000D1F7A"/>
    <w:rPr>
      <w:rFonts w:cstheme="minorBidi"/>
      <w:b/>
      <w:iCs/>
      <w:szCs w:val="18"/>
    </w:rPr>
  </w:style>
  <w:style w:type="paragraph" w:styleId="NoSpacing">
    <w:name w:val="No Spacing"/>
    <w:uiPriority w:val="1"/>
    <w:qFormat/>
    <w:rsid w:val="0070369A"/>
    <w:rPr>
      <w:rFonts w:cstheme="minorBidi"/>
      <w:szCs w:val="22"/>
    </w:rPr>
  </w:style>
  <w:style w:type="character" w:styleId="UnresolvedMention">
    <w:name w:val="Unresolved Mention"/>
    <w:basedOn w:val="DefaultParagraphFont"/>
    <w:uiPriority w:val="99"/>
    <w:semiHidden/>
    <w:unhideWhenUsed/>
    <w:rsid w:val="00947C49"/>
    <w:rPr>
      <w:color w:val="605E5C"/>
      <w:shd w:val="clear" w:color="auto" w:fill="E1DFDD"/>
    </w:rPr>
  </w:style>
  <w:style w:type="character" w:styleId="FollowedHyperlink">
    <w:name w:val="FollowedHyperlink"/>
    <w:basedOn w:val="DefaultParagraphFont"/>
    <w:uiPriority w:val="99"/>
    <w:semiHidden/>
    <w:unhideWhenUsed/>
    <w:rsid w:val="00D44754"/>
    <w:rPr>
      <w:color w:val="800080" w:themeColor="followedHyperlink"/>
      <w:u w:val="single"/>
    </w:rPr>
  </w:style>
  <w:style w:type="paragraph" w:customStyle="1" w:styleId="EndNoteBibliography">
    <w:name w:val="EndNote Bibliography"/>
    <w:basedOn w:val="Normal"/>
    <w:link w:val="EndNoteBibliographyChar"/>
    <w:rsid w:val="00E955B4"/>
    <w:rPr>
      <w:rFonts w:ascii="Calibri" w:hAnsi="Calibri" w:cs="Calibri"/>
      <w:noProof/>
      <w:sz w:val="22"/>
      <w:szCs w:val="24"/>
      <w:lang w:val="en-US"/>
    </w:rPr>
  </w:style>
  <w:style w:type="character" w:customStyle="1" w:styleId="EndNoteBibliographyChar">
    <w:name w:val="EndNote Bibliography Char"/>
    <w:basedOn w:val="DefaultParagraphFont"/>
    <w:link w:val="EndNoteBibliography"/>
    <w:rsid w:val="00E955B4"/>
    <w:rPr>
      <w:rFonts w:ascii="Calibri" w:hAnsi="Calibri" w:cs="Calibri"/>
      <w:noProof/>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35139">
      <w:bodyDiv w:val="1"/>
      <w:marLeft w:val="0"/>
      <w:marRight w:val="0"/>
      <w:marTop w:val="0"/>
      <w:marBottom w:val="0"/>
      <w:divBdr>
        <w:top w:val="none" w:sz="0" w:space="0" w:color="auto"/>
        <w:left w:val="none" w:sz="0" w:space="0" w:color="auto"/>
        <w:bottom w:val="none" w:sz="0" w:space="0" w:color="auto"/>
        <w:right w:val="none" w:sz="0" w:space="0" w:color="auto"/>
      </w:divBdr>
    </w:div>
    <w:div w:id="59140992">
      <w:bodyDiv w:val="1"/>
      <w:marLeft w:val="0"/>
      <w:marRight w:val="0"/>
      <w:marTop w:val="0"/>
      <w:marBottom w:val="0"/>
      <w:divBdr>
        <w:top w:val="none" w:sz="0" w:space="0" w:color="auto"/>
        <w:left w:val="none" w:sz="0" w:space="0" w:color="auto"/>
        <w:bottom w:val="none" w:sz="0" w:space="0" w:color="auto"/>
        <w:right w:val="none" w:sz="0" w:space="0" w:color="auto"/>
      </w:divBdr>
    </w:div>
    <w:div w:id="147938359">
      <w:bodyDiv w:val="1"/>
      <w:marLeft w:val="0"/>
      <w:marRight w:val="0"/>
      <w:marTop w:val="0"/>
      <w:marBottom w:val="0"/>
      <w:divBdr>
        <w:top w:val="none" w:sz="0" w:space="0" w:color="auto"/>
        <w:left w:val="none" w:sz="0" w:space="0" w:color="auto"/>
        <w:bottom w:val="none" w:sz="0" w:space="0" w:color="auto"/>
        <w:right w:val="none" w:sz="0" w:space="0" w:color="auto"/>
      </w:divBdr>
    </w:div>
    <w:div w:id="148837187">
      <w:bodyDiv w:val="1"/>
      <w:marLeft w:val="0"/>
      <w:marRight w:val="0"/>
      <w:marTop w:val="0"/>
      <w:marBottom w:val="0"/>
      <w:divBdr>
        <w:top w:val="none" w:sz="0" w:space="0" w:color="auto"/>
        <w:left w:val="none" w:sz="0" w:space="0" w:color="auto"/>
        <w:bottom w:val="none" w:sz="0" w:space="0" w:color="auto"/>
        <w:right w:val="none" w:sz="0" w:space="0" w:color="auto"/>
      </w:divBdr>
    </w:div>
    <w:div w:id="165290737">
      <w:bodyDiv w:val="1"/>
      <w:marLeft w:val="0"/>
      <w:marRight w:val="0"/>
      <w:marTop w:val="0"/>
      <w:marBottom w:val="0"/>
      <w:divBdr>
        <w:top w:val="none" w:sz="0" w:space="0" w:color="auto"/>
        <w:left w:val="none" w:sz="0" w:space="0" w:color="auto"/>
        <w:bottom w:val="none" w:sz="0" w:space="0" w:color="auto"/>
        <w:right w:val="none" w:sz="0" w:space="0" w:color="auto"/>
      </w:divBdr>
    </w:div>
    <w:div w:id="214433798">
      <w:bodyDiv w:val="1"/>
      <w:marLeft w:val="0"/>
      <w:marRight w:val="0"/>
      <w:marTop w:val="0"/>
      <w:marBottom w:val="0"/>
      <w:divBdr>
        <w:top w:val="none" w:sz="0" w:space="0" w:color="auto"/>
        <w:left w:val="none" w:sz="0" w:space="0" w:color="auto"/>
        <w:bottom w:val="none" w:sz="0" w:space="0" w:color="auto"/>
        <w:right w:val="none" w:sz="0" w:space="0" w:color="auto"/>
      </w:divBdr>
    </w:div>
    <w:div w:id="220480546">
      <w:bodyDiv w:val="1"/>
      <w:marLeft w:val="0"/>
      <w:marRight w:val="0"/>
      <w:marTop w:val="0"/>
      <w:marBottom w:val="0"/>
      <w:divBdr>
        <w:top w:val="none" w:sz="0" w:space="0" w:color="auto"/>
        <w:left w:val="none" w:sz="0" w:space="0" w:color="auto"/>
        <w:bottom w:val="none" w:sz="0" w:space="0" w:color="auto"/>
        <w:right w:val="none" w:sz="0" w:space="0" w:color="auto"/>
      </w:divBdr>
    </w:div>
    <w:div w:id="221402749">
      <w:bodyDiv w:val="1"/>
      <w:marLeft w:val="0"/>
      <w:marRight w:val="0"/>
      <w:marTop w:val="0"/>
      <w:marBottom w:val="0"/>
      <w:divBdr>
        <w:top w:val="none" w:sz="0" w:space="0" w:color="auto"/>
        <w:left w:val="none" w:sz="0" w:space="0" w:color="auto"/>
        <w:bottom w:val="none" w:sz="0" w:space="0" w:color="auto"/>
        <w:right w:val="none" w:sz="0" w:space="0" w:color="auto"/>
      </w:divBdr>
    </w:div>
    <w:div w:id="252520288">
      <w:bodyDiv w:val="1"/>
      <w:marLeft w:val="0"/>
      <w:marRight w:val="0"/>
      <w:marTop w:val="0"/>
      <w:marBottom w:val="0"/>
      <w:divBdr>
        <w:top w:val="none" w:sz="0" w:space="0" w:color="auto"/>
        <w:left w:val="none" w:sz="0" w:space="0" w:color="auto"/>
        <w:bottom w:val="none" w:sz="0" w:space="0" w:color="auto"/>
        <w:right w:val="none" w:sz="0" w:space="0" w:color="auto"/>
      </w:divBdr>
    </w:div>
    <w:div w:id="259920409">
      <w:bodyDiv w:val="1"/>
      <w:marLeft w:val="0"/>
      <w:marRight w:val="0"/>
      <w:marTop w:val="0"/>
      <w:marBottom w:val="0"/>
      <w:divBdr>
        <w:top w:val="none" w:sz="0" w:space="0" w:color="auto"/>
        <w:left w:val="none" w:sz="0" w:space="0" w:color="auto"/>
        <w:bottom w:val="none" w:sz="0" w:space="0" w:color="auto"/>
        <w:right w:val="none" w:sz="0" w:space="0" w:color="auto"/>
      </w:divBdr>
      <w:divsChild>
        <w:div w:id="1297682186">
          <w:marLeft w:val="0"/>
          <w:marRight w:val="0"/>
          <w:marTop w:val="0"/>
          <w:marBottom w:val="0"/>
          <w:divBdr>
            <w:top w:val="none" w:sz="0" w:space="0" w:color="auto"/>
            <w:left w:val="none" w:sz="0" w:space="0" w:color="auto"/>
            <w:bottom w:val="none" w:sz="0" w:space="0" w:color="auto"/>
            <w:right w:val="none" w:sz="0" w:space="0" w:color="auto"/>
          </w:divBdr>
        </w:div>
      </w:divsChild>
    </w:div>
    <w:div w:id="314921129">
      <w:bodyDiv w:val="1"/>
      <w:marLeft w:val="0"/>
      <w:marRight w:val="0"/>
      <w:marTop w:val="0"/>
      <w:marBottom w:val="0"/>
      <w:divBdr>
        <w:top w:val="none" w:sz="0" w:space="0" w:color="auto"/>
        <w:left w:val="none" w:sz="0" w:space="0" w:color="auto"/>
        <w:bottom w:val="none" w:sz="0" w:space="0" w:color="auto"/>
        <w:right w:val="none" w:sz="0" w:space="0" w:color="auto"/>
      </w:divBdr>
    </w:div>
    <w:div w:id="328139944">
      <w:bodyDiv w:val="1"/>
      <w:marLeft w:val="0"/>
      <w:marRight w:val="0"/>
      <w:marTop w:val="0"/>
      <w:marBottom w:val="0"/>
      <w:divBdr>
        <w:top w:val="none" w:sz="0" w:space="0" w:color="auto"/>
        <w:left w:val="none" w:sz="0" w:space="0" w:color="auto"/>
        <w:bottom w:val="none" w:sz="0" w:space="0" w:color="auto"/>
        <w:right w:val="none" w:sz="0" w:space="0" w:color="auto"/>
      </w:divBdr>
      <w:divsChild>
        <w:div w:id="414204336">
          <w:marLeft w:val="0"/>
          <w:marRight w:val="0"/>
          <w:marTop w:val="0"/>
          <w:marBottom w:val="0"/>
          <w:divBdr>
            <w:top w:val="none" w:sz="0" w:space="0" w:color="auto"/>
            <w:left w:val="none" w:sz="0" w:space="0" w:color="auto"/>
            <w:bottom w:val="none" w:sz="0" w:space="0" w:color="auto"/>
            <w:right w:val="none" w:sz="0" w:space="0" w:color="auto"/>
          </w:divBdr>
        </w:div>
      </w:divsChild>
    </w:div>
    <w:div w:id="359819541">
      <w:bodyDiv w:val="1"/>
      <w:marLeft w:val="0"/>
      <w:marRight w:val="0"/>
      <w:marTop w:val="0"/>
      <w:marBottom w:val="0"/>
      <w:divBdr>
        <w:top w:val="none" w:sz="0" w:space="0" w:color="auto"/>
        <w:left w:val="none" w:sz="0" w:space="0" w:color="auto"/>
        <w:bottom w:val="none" w:sz="0" w:space="0" w:color="auto"/>
        <w:right w:val="none" w:sz="0" w:space="0" w:color="auto"/>
      </w:divBdr>
    </w:div>
    <w:div w:id="378166190">
      <w:bodyDiv w:val="1"/>
      <w:marLeft w:val="0"/>
      <w:marRight w:val="0"/>
      <w:marTop w:val="0"/>
      <w:marBottom w:val="0"/>
      <w:divBdr>
        <w:top w:val="none" w:sz="0" w:space="0" w:color="auto"/>
        <w:left w:val="none" w:sz="0" w:space="0" w:color="auto"/>
        <w:bottom w:val="none" w:sz="0" w:space="0" w:color="auto"/>
        <w:right w:val="none" w:sz="0" w:space="0" w:color="auto"/>
      </w:divBdr>
    </w:div>
    <w:div w:id="399062905">
      <w:bodyDiv w:val="1"/>
      <w:marLeft w:val="0"/>
      <w:marRight w:val="0"/>
      <w:marTop w:val="0"/>
      <w:marBottom w:val="0"/>
      <w:divBdr>
        <w:top w:val="none" w:sz="0" w:space="0" w:color="auto"/>
        <w:left w:val="none" w:sz="0" w:space="0" w:color="auto"/>
        <w:bottom w:val="none" w:sz="0" w:space="0" w:color="auto"/>
        <w:right w:val="none" w:sz="0" w:space="0" w:color="auto"/>
      </w:divBdr>
    </w:div>
    <w:div w:id="409622694">
      <w:bodyDiv w:val="1"/>
      <w:marLeft w:val="0"/>
      <w:marRight w:val="0"/>
      <w:marTop w:val="0"/>
      <w:marBottom w:val="0"/>
      <w:divBdr>
        <w:top w:val="none" w:sz="0" w:space="0" w:color="auto"/>
        <w:left w:val="none" w:sz="0" w:space="0" w:color="auto"/>
        <w:bottom w:val="none" w:sz="0" w:space="0" w:color="auto"/>
        <w:right w:val="none" w:sz="0" w:space="0" w:color="auto"/>
      </w:divBdr>
    </w:div>
    <w:div w:id="445082570">
      <w:bodyDiv w:val="1"/>
      <w:marLeft w:val="0"/>
      <w:marRight w:val="0"/>
      <w:marTop w:val="0"/>
      <w:marBottom w:val="0"/>
      <w:divBdr>
        <w:top w:val="none" w:sz="0" w:space="0" w:color="auto"/>
        <w:left w:val="none" w:sz="0" w:space="0" w:color="auto"/>
        <w:bottom w:val="none" w:sz="0" w:space="0" w:color="auto"/>
        <w:right w:val="none" w:sz="0" w:space="0" w:color="auto"/>
      </w:divBdr>
    </w:div>
    <w:div w:id="491683696">
      <w:bodyDiv w:val="1"/>
      <w:marLeft w:val="0"/>
      <w:marRight w:val="0"/>
      <w:marTop w:val="0"/>
      <w:marBottom w:val="0"/>
      <w:divBdr>
        <w:top w:val="none" w:sz="0" w:space="0" w:color="auto"/>
        <w:left w:val="none" w:sz="0" w:space="0" w:color="auto"/>
        <w:bottom w:val="none" w:sz="0" w:space="0" w:color="auto"/>
        <w:right w:val="none" w:sz="0" w:space="0" w:color="auto"/>
      </w:divBdr>
      <w:divsChild>
        <w:div w:id="1968663358">
          <w:marLeft w:val="0"/>
          <w:marRight w:val="0"/>
          <w:marTop w:val="0"/>
          <w:marBottom w:val="0"/>
          <w:divBdr>
            <w:top w:val="none" w:sz="0" w:space="0" w:color="auto"/>
            <w:left w:val="none" w:sz="0" w:space="0" w:color="auto"/>
            <w:bottom w:val="none" w:sz="0" w:space="0" w:color="auto"/>
            <w:right w:val="none" w:sz="0" w:space="0" w:color="auto"/>
          </w:divBdr>
        </w:div>
      </w:divsChild>
    </w:div>
    <w:div w:id="493499148">
      <w:bodyDiv w:val="1"/>
      <w:marLeft w:val="0"/>
      <w:marRight w:val="0"/>
      <w:marTop w:val="0"/>
      <w:marBottom w:val="0"/>
      <w:divBdr>
        <w:top w:val="none" w:sz="0" w:space="0" w:color="auto"/>
        <w:left w:val="none" w:sz="0" w:space="0" w:color="auto"/>
        <w:bottom w:val="none" w:sz="0" w:space="0" w:color="auto"/>
        <w:right w:val="none" w:sz="0" w:space="0" w:color="auto"/>
      </w:divBdr>
    </w:div>
    <w:div w:id="537275503">
      <w:bodyDiv w:val="1"/>
      <w:marLeft w:val="0"/>
      <w:marRight w:val="0"/>
      <w:marTop w:val="0"/>
      <w:marBottom w:val="0"/>
      <w:divBdr>
        <w:top w:val="none" w:sz="0" w:space="0" w:color="auto"/>
        <w:left w:val="none" w:sz="0" w:space="0" w:color="auto"/>
        <w:bottom w:val="none" w:sz="0" w:space="0" w:color="auto"/>
        <w:right w:val="none" w:sz="0" w:space="0" w:color="auto"/>
      </w:divBdr>
    </w:div>
    <w:div w:id="574315021">
      <w:bodyDiv w:val="1"/>
      <w:marLeft w:val="0"/>
      <w:marRight w:val="0"/>
      <w:marTop w:val="0"/>
      <w:marBottom w:val="0"/>
      <w:divBdr>
        <w:top w:val="none" w:sz="0" w:space="0" w:color="auto"/>
        <w:left w:val="none" w:sz="0" w:space="0" w:color="auto"/>
        <w:bottom w:val="none" w:sz="0" w:space="0" w:color="auto"/>
        <w:right w:val="none" w:sz="0" w:space="0" w:color="auto"/>
      </w:divBdr>
    </w:div>
    <w:div w:id="608246780">
      <w:bodyDiv w:val="1"/>
      <w:marLeft w:val="0"/>
      <w:marRight w:val="0"/>
      <w:marTop w:val="0"/>
      <w:marBottom w:val="0"/>
      <w:divBdr>
        <w:top w:val="none" w:sz="0" w:space="0" w:color="auto"/>
        <w:left w:val="none" w:sz="0" w:space="0" w:color="auto"/>
        <w:bottom w:val="none" w:sz="0" w:space="0" w:color="auto"/>
        <w:right w:val="none" w:sz="0" w:space="0" w:color="auto"/>
      </w:divBdr>
    </w:div>
    <w:div w:id="666708338">
      <w:bodyDiv w:val="1"/>
      <w:marLeft w:val="0"/>
      <w:marRight w:val="0"/>
      <w:marTop w:val="0"/>
      <w:marBottom w:val="0"/>
      <w:divBdr>
        <w:top w:val="none" w:sz="0" w:space="0" w:color="auto"/>
        <w:left w:val="none" w:sz="0" w:space="0" w:color="auto"/>
        <w:bottom w:val="none" w:sz="0" w:space="0" w:color="auto"/>
        <w:right w:val="none" w:sz="0" w:space="0" w:color="auto"/>
      </w:divBdr>
    </w:div>
    <w:div w:id="762797093">
      <w:bodyDiv w:val="1"/>
      <w:marLeft w:val="0"/>
      <w:marRight w:val="0"/>
      <w:marTop w:val="0"/>
      <w:marBottom w:val="0"/>
      <w:divBdr>
        <w:top w:val="none" w:sz="0" w:space="0" w:color="auto"/>
        <w:left w:val="none" w:sz="0" w:space="0" w:color="auto"/>
        <w:bottom w:val="none" w:sz="0" w:space="0" w:color="auto"/>
        <w:right w:val="none" w:sz="0" w:space="0" w:color="auto"/>
      </w:divBdr>
    </w:div>
    <w:div w:id="803888753">
      <w:bodyDiv w:val="1"/>
      <w:marLeft w:val="0"/>
      <w:marRight w:val="0"/>
      <w:marTop w:val="0"/>
      <w:marBottom w:val="0"/>
      <w:divBdr>
        <w:top w:val="none" w:sz="0" w:space="0" w:color="auto"/>
        <w:left w:val="none" w:sz="0" w:space="0" w:color="auto"/>
        <w:bottom w:val="none" w:sz="0" w:space="0" w:color="auto"/>
        <w:right w:val="none" w:sz="0" w:space="0" w:color="auto"/>
      </w:divBdr>
    </w:div>
    <w:div w:id="892693572">
      <w:bodyDiv w:val="1"/>
      <w:marLeft w:val="0"/>
      <w:marRight w:val="0"/>
      <w:marTop w:val="0"/>
      <w:marBottom w:val="0"/>
      <w:divBdr>
        <w:top w:val="none" w:sz="0" w:space="0" w:color="auto"/>
        <w:left w:val="none" w:sz="0" w:space="0" w:color="auto"/>
        <w:bottom w:val="none" w:sz="0" w:space="0" w:color="auto"/>
        <w:right w:val="none" w:sz="0" w:space="0" w:color="auto"/>
      </w:divBdr>
    </w:div>
    <w:div w:id="916980839">
      <w:bodyDiv w:val="1"/>
      <w:marLeft w:val="0"/>
      <w:marRight w:val="0"/>
      <w:marTop w:val="0"/>
      <w:marBottom w:val="0"/>
      <w:divBdr>
        <w:top w:val="none" w:sz="0" w:space="0" w:color="auto"/>
        <w:left w:val="none" w:sz="0" w:space="0" w:color="auto"/>
        <w:bottom w:val="none" w:sz="0" w:space="0" w:color="auto"/>
        <w:right w:val="none" w:sz="0" w:space="0" w:color="auto"/>
      </w:divBdr>
    </w:div>
    <w:div w:id="962150726">
      <w:bodyDiv w:val="1"/>
      <w:marLeft w:val="0"/>
      <w:marRight w:val="0"/>
      <w:marTop w:val="0"/>
      <w:marBottom w:val="0"/>
      <w:divBdr>
        <w:top w:val="none" w:sz="0" w:space="0" w:color="auto"/>
        <w:left w:val="none" w:sz="0" w:space="0" w:color="auto"/>
        <w:bottom w:val="none" w:sz="0" w:space="0" w:color="auto"/>
        <w:right w:val="none" w:sz="0" w:space="0" w:color="auto"/>
      </w:divBdr>
    </w:div>
    <w:div w:id="1012803990">
      <w:bodyDiv w:val="1"/>
      <w:marLeft w:val="0"/>
      <w:marRight w:val="0"/>
      <w:marTop w:val="0"/>
      <w:marBottom w:val="0"/>
      <w:divBdr>
        <w:top w:val="none" w:sz="0" w:space="0" w:color="auto"/>
        <w:left w:val="none" w:sz="0" w:space="0" w:color="auto"/>
        <w:bottom w:val="none" w:sz="0" w:space="0" w:color="auto"/>
        <w:right w:val="none" w:sz="0" w:space="0" w:color="auto"/>
      </w:divBdr>
    </w:div>
    <w:div w:id="1137458536">
      <w:bodyDiv w:val="1"/>
      <w:marLeft w:val="0"/>
      <w:marRight w:val="0"/>
      <w:marTop w:val="0"/>
      <w:marBottom w:val="0"/>
      <w:divBdr>
        <w:top w:val="none" w:sz="0" w:space="0" w:color="auto"/>
        <w:left w:val="none" w:sz="0" w:space="0" w:color="auto"/>
        <w:bottom w:val="none" w:sz="0" w:space="0" w:color="auto"/>
        <w:right w:val="none" w:sz="0" w:space="0" w:color="auto"/>
      </w:divBdr>
    </w:div>
    <w:div w:id="1410693517">
      <w:bodyDiv w:val="1"/>
      <w:marLeft w:val="0"/>
      <w:marRight w:val="0"/>
      <w:marTop w:val="0"/>
      <w:marBottom w:val="0"/>
      <w:divBdr>
        <w:top w:val="none" w:sz="0" w:space="0" w:color="auto"/>
        <w:left w:val="none" w:sz="0" w:space="0" w:color="auto"/>
        <w:bottom w:val="none" w:sz="0" w:space="0" w:color="auto"/>
        <w:right w:val="none" w:sz="0" w:space="0" w:color="auto"/>
      </w:divBdr>
    </w:div>
    <w:div w:id="1418477782">
      <w:bodyDiv w:val="1"/>
      <w:marLeft w:val="0"/>
      <w:marRight w:val="0"/>
      <w:marTop w:val="0"/>
      <w:marBottom w:val="0"/>
      <w:divBdr>
        <w:top w:val="none" w:sz="0" w:space="0" w:color="auto"/>
        <w:left w:val="none" w:sz="0" w:space="0" w:color="auto"/>
        <w:bottom w:val="none" w:sz="0" w:space="0" w:color="auto"/>
        <w:right w:val="none" w:sz="0" w:space="0" w:color="auto"/>
      </w:divBdr>
    </w:div>
    <w:div w:id="1488476014">
      <w:bodyDiv w:val="1"/>
      <w:marLeft w:val="0"/>
      <w:marRight w:val="0"/>
      <w:marTop w:val="0"/>
      <w:marBottom w:val="0"/>
      <w:divBdr>
        <w:top w:val="none" w:sz="0" w:space="0" w:color="auto"/>
        <w:left w:val="none" w:sz="0" w:space="0" w:color="auto"/>
        <w:bottom w:val="none" w:sz="0" w:space="0" w:color="auto"/>
        <w:right w:val="none" w:sz="0" w:space="0" w:color="auto"/>
      </w:divBdr>
      <w:divsChild>
        <w:div w:id="936131549">
          <w:marLeft w:val="0"/>
          <w:marRight w:val="0"/>
          <w:marTop w:val="0"/>
          <w:marBottom w:val="0"/>
          <w:divBdr>
            <w:top w:val="none" w:sz="0" w:space="0" w:color="auto"/>
            <w:left w:val="none" w:sz="0" w:space="0" w:color="auto"/>
            <w:bottom w:val="none" w:sz="0" w:space="0" w:color="auto"/>
            <w:right w:val="none" w:sz="0" w:space="0" w:color="auto"/>
          </w:divBdr>
        </w:div>
      </w:divsChild>
    </w:div>
    <w:div w:id="1512256161">
      <w:bodyDiv w:val="1"/>
      <w:marLeft w:val="0"/>
      <w:marRight w:val="0"/>
      <w:marTop w:val="0"/>
      <w:marBottom w:val="0"/>
      <w:divBdr>
        <w:top w:val="none" w:sz="0" w:space="0" w:color="auto"/>
        <w:left w:val="none" w:sz="0" w:space="0" w:color="auto"/>
        <w:bottom w:val="none" w:sz="0" w:space="0" w:color="auto"/>
        <w:right w:val="none" w:sz="0" w:space="0" w:color="auto"/>
      </w:divBdr>
    </w:div>
    <w:div w:id="1642418463">
      <w:bodyDiv w:val="1"/>
      <w:marLeft w:val="0"/>
      <w:marRight w:val="0"/>
      <w:marTop w:val="0"/>
      <w:marBottom w:val="0"/>
      <w:divBdr>
        <w:top w:val="none" w:sz="0" w:space="0" w:color="auto"/>
        <w:left w:val="none" w:sz="0" w:space="0" w:color="auto"/>
        <w:bottom w:val="none" w:sz="0" w:space="0" w:color="auto"/>
        <w:right w:val="none" w:sz="0" w:space="0" w:color="auto"/>
      </w:divBdr>
    </w:div>
    <w:div w:id="1704477652">
      <w:bodyDiv w:val="1"/>
      <w:marLeft w:val="0"/>
      <w:marRight w:val="0"/>
      <w:marTop w:val="0"/>
      <w:marBottom w:val="0"/>
      <w:divBdr>
        <w:top w:val="none" w:sz="0" w:space="0" w:color="auto"/>
        <w:left w:val="none" w:sz="0" w:space="0" w:color="auto"/>
        <w:bottom w:val="none" w:sz="0" w:space="0" w:color="auto"/>
        <w:right w:val="none" w:sz="0" w:space="0" w:color="auto"/>
      </w:divBdr>
    </w:div>
    <w:div w:id="1710105558">
      <w:bodyDiv w:val="1"/>
      <w:marLeft w:val="0"/>
      <w:marRight w:val="0"/>
      <w:marTop w:val="0"/>
      <w:marBottom w:val="0"/>
      <w:divBdr>
        <w:top w:val="none" w:sz="0" w:space="0" w:color="auto"/>
        <w:left w:val="none" w:sz="0" w:space="0" w:color="auto"/>
        <w:bottom w:val="none" w:sz="0" w:space="0" w:color="auto"/>
        <w:right w:val="none" w:sz="0" w:space="0" w:color="auto"/>
      </w:divBdr>
    </w:div>
    <w:div w:id="1767263691">
      <w:bodyDiv w:val="1"/>
      <w:marLeft w:val="0"/>
      <w:marRight w:val="0"/>
      <w:marTop w:val="0"/>
      <w:marBottom w:val="0"/>
      <w:divBdr>
        <w:top w:val="none" w:sz="0" w:space="0" w:color="auto"/>
        <w:left w:val="none" w:sz="0" w:space="0" w:color="auto"/>
        <w:bottom w:val="none" w:sz="0" w:space="0" w:color="auto"/>
        <w:right w:val="none" w:sz="0" w:space="0" w:color="auto"/>
      </w:divBdr>
    </w:div>
    <w:div w:id="1806778761">
      <w:bodyDiv w:val="1"/>
      <w:marLeft w:val="0"/>
      <w:marRight w:val="0"/>
      <w:marTop w:val="0"/>
      <w:marBottom w:val="0"/>
      <w:divBdr>
        <w:top w:val="none" w:sz="0" w:space="0" w:color="auto"/>
        <w:left w:val="none" w:sz="0" w:space="0" w:color="auto"/>
        <w:bottom w:val="none" w:sz="0" w:space="0" w:color="auto"/>
        <w:right w:val="none" w:sz="0" w:space="0" w:color="auto"/>
      </w:divBdr>
    </w:div>
    <w:div w:id="18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05144140">
          <w:marLeft w:val="0"/>
          <w:marRight w:val="0"/>
          <w:marTop w:val="0"/>
          <w:marBottom w:val="0"/>
          <w:divBdr>
            <w:top w:val="none" w:sz="0" w:space="0" w:color="auto"/>
            <w:left w:val="none" w:sz="0" w:space="0" w:color="auto"/>
            <w:bottom w:val="none" w:sz="0" w:space="0" w:color="auto"/>
            <w:right w:val="none" w:sz="0" w:space="0" w:color="auto"/>
          </w:divBdr>
        </w:div>
      </w:divsChild>
    </w:div>
    <w:div w:id="1916864425">
      <w:bodyDiv w:val="1"/>
      <w:marLeft w:val="0"/>
      <w:marRight w:val="0"/>
      <w:marTop w:val="0"/>
      <w:marBottom w:val="0"/>
      <w:divBdr>
        <w:top w:val="none" w:sz="0" w:space="0" w:color="auto"/>
        <w:left w:val="none" w:sz="0" w:space="0" w:color="auto"/>
        <w:bottom w:val="none" w:sz="0" w:space="0" w:color="auto"/>
        <w:right w:val="none" w:sz="0" w:space="0" w:color="auto"/>
      </w:divBdr>
    </w:div>
    <w:div w:id="1963731733">
      <w:bodyDiv w:val="1"/>
      <w:marLeft w:val="0"/>
      <w:marRight w:val="0"/>
      <w:marTop w:val="0"/>
      <w:marBottom w:val="0"/>
      <w:divBdr>
        <w:top w:val="none" w:sz="0" w:space="0" w:color="auto"/>
        <w:left w:val="none" w:sz="0" w:space="0" w:color="auto"/>
        <w:bottom w:val="none" w:sz="0" w:space="0" w:color="auto"/>
        <w:right w:val="none" w:sz="0" w:space="0" w:color="auto"/>
      </w:divBdr>
    </w:div>
    <w:div w:id="1974940442">
      <w:bodyDiv w:val="1"/>
      <w:marLeft w:val="0"/>
      <w:marRight w:val="0"/>
      <w:marTop w:val="0"/>
      <w:marBottom w:val="0"/>
      <w:divBdr>
        <w:top w:val="none" w:sz="0" w:space="0" w:color="auto"/>
        <w:left w:val="none" w:sz="0" w:space="0" w:color="auto"/>
        <w:bottom w:val="none" w:sz="0" w:space="0" w:color="auto"/>
        <w:right w:val="none" w:sz="0" w:space="0" w:color="auto"/>
      </w:divBdr>
    </w:div>
    <w:div w:id="200450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bhowmik@pdx.edu"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71571-9C8C-4ADA-A445-44CA4929B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13742</TotalTime>
  <Pages>1</Pages>
  <Words>53005</Words>
  <Characters>302129</Characters>
  <Application>Microsoft Office Word</Application>
  <DocSecurity>0</DocSecurity>
  <Lines>2517</Lines>
  <Paragraphs>708</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354426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Naveen Eluru, Prof</dc:creator>
  <cp:lastModifiedBy>Tanmoy Bhowmik</cp:lastModifiedBy>
  <cp:revision>2794</cp:revision>
  <cp:lastPrinted>2020-07-31T04:00:00Z</cp:lastPrinted>
  <dcterms:created xsi:type="dcterms:W3CDTF">2020-05-20T04:53:00Z</dcterms:created>
  <dcterms:modified xsi:type="dcterms:W3CDTF">2024-11-06T22:08:00Z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http://www.zotero.org/styles/accident-analysis-and-prevention</vt:lpwstr>
  </property>
  <property fmtid="{D5CDD505-2E9C-101B-9397-08002B2CF9AE}" pid="3" name="Mendeley Recent Style Name 0_1">
    <vt:lpwstr>Accident Analysis and Prevention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http://www.zotero.org/styles/analytic-methods-in-accident-research</vt:lpwstr>
  </property>
  <property fmtid="{D5CDD505-2E9C-101B-9397-08002B2CF9AE}" pid="7" name="Mendeley Recent Style Name 2_1">
    <vt:lpwstr>Analytic Methods in Accident Research</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http://www.zotero.org/styles/transportation-research-part-b</vt:lpwstr>
  </property>
  <property fmtid="{D5CDD505-2E9C-101B-9397-08002B2CF9AE}" pid="17" name="Mendeley Recent Style Name 7_1">
    <vt:lpwstr>Transportation Research Part B</vt:lpwstr>
  </property>
  <property fmtid="{D5CDD505-2E9C-101B-9397-08002B2CF9AE}" pid="18" name="Mendeley Recent Style Id 8_1">
    <vt:lpwstr>http://www.zotero.org/styles/transportation-research-record</vt:lpwstr>
  </property>
  <property fmtid="{D5CDD505-2E9C-101B-9397-08002B2CF9AE}" pid="19" name="Mendeley Recent Style Name 8_1">
    <vt:lpwstr>Transportation Research Record: Journal of the Transportation Research Board</vt:lpwstr>
  </property>
  <property fmtid="{D5CDD505-2E9C-101B-9397-08002B2CF9AE}" pid="20" name="Mendeley Recent Style Id 9_1">
    <vt:lpwstr>http://csl.mendeley.com/styles/495441851/vancouver-2</vt:lpwstr>
  </property>
  <property fmtid="{D5CDD505-2E9C-101B-9397-08002B2CF9AE}" pid="21" name="Mendeley Recent Style Name 9_1">
    <vt:lpwstr>Vancouver - Tanmoy Bhowmik</vt:lpwstr>
  </property>
  <property fmtid="{D5CDD505-2E9C-101B-9397-08002B2CF9AE}" pid="22" name="Mendeley Document_1">
    <vt:lpwstr>True</vt:lpwstr>
  </property>
  <property fmtid="{D5CDD505-2E9C-101B-9397-08002B2CF9AE}" pid="23" name="Mendeley Unique User Id_1">
    <vt:lpwstr>ed493790-d9dc-30f4-8b52-f4c86545d5f4</vt:lpwstr>
  </property>
  <property fmtid="{D5CDD505-2E9C-101B-9397-08002B2CF9AE}" pid="24" name="Mendeley Citation Style_1">
    <vt:lpwstr>http://csl.mendeley.com/styles/495441851/vancouver-2</vt:lpwstr>
  </property>
</Properties>
</file>