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D84D" w14:textId="350617B3" w:rsidR="00846F81" w:rsidRPr="001A04ED" w:rsidRDefault="008F68D4" w:rsidP="00D2186C">
      <w:pPr>
        <w:pStyle w:val="1stParagraph"/>
        <w:jc w:val="center"/>
        <w:rPr>
          <w:b/>
          <w:bCs/>
        </w:rPr>
      </w:pPr>
      <w:r w:rsidRPr="001A04ED">
        <w:rPr>
          <w:b/>
          <w:bCs/>
        </w:rPr>
        <w:t xml:space="preserve">Application of </w:t>
      </w:r>
      <w:r w:rsidR="00CE45F9" w:rsidRPr="001A04ED">
        <w:rPr>
          <w:b/>
          <w:bCs/>
        </w:rPr>
        <w:t>a</w:t>
      </w:r>
      <w:r w:rsidR="00020EE2" w:rsidRPr="001A04ED">
        <w:rPr>
          <w:b/>
          <w:bCs/>
        </w:rPr>
        <w:t xml:space="preserve">n Econometric Multiple Discrete Continuous </w:t>
      </w:r>
      <w:r w:rsidR="009D62B1" w:rsidRPr="001A04ED">
        <w:rPr>
          <w:b/>
          <w:bCs/>
        </w:rPr>
        <w:t>F</w:t>
      </w:r>
      <w:r w:rsidRPr="001A04ED">
        <w:rPr>
          <w:b/>
          <w:bCs/>
        </w:rPr>
        <w:t xml:space="preserve">usion </w:t>
      </w:r>
      <w:r w:rsidR="009D62B1" w:rsidRPr="001A04ED">
        <w:rPr>
          <w:b/>
          <w:bCs/>
        </w:rPr>
        <w:t>A</w:t>
      </w:r>
      <w:r w:rsidRPr="001A04ED">
        <w:rPr>
          <w:b/>
          <w:bCs/>
        </w:rPr>
        <w:t xml:space="preserve">pproach </w:t>
      </w:r>
      <w:r w:rsidR="0063335A" w:rsidRPr="001A04ED">
        <w:rPr>
          <w:b/>
          <w:bCs/>
        </w:rPr>
        <w:t xml:space="preserve">to </w:t>
      </w:r>
      <w:r w:rsidR="009E3FE4" w:rsidRPr="001A04ED">
        <w:rPr>
          <w:b/>
          <w:bCs/>
        </w:rPr>
        <w:t>Link</w:t>
      </w:r>
      <w:r w:rsidR="00FB7462" w:rsidRPr="001A04ED">
        <w:rPr>
          <w:b/>
          <w:bCs/>
        </w:rPr>
        <w:t xml:space="preserve"> </w:t>
      </w:r>
      <w:r w:rsidR="009D62B1" w:rsidRPr="001A04ED">
        <w:rPr>
          <w:b/>
          <w:bCs/>
        </w:rPr>
        <w:t>R</w:t>
      </w:r>
      <w:r w:rsidR="00CC705F" w:rsidRPr="001A04ED">
        <w:rPr>
          <w:b/>
          <w:bCs/>
        </w:rPr>
        <w:t xml:space="preserve">esidential </w:t>
      </w:r>
      <w:r w:rsidR="009D62B1" w:rsidRPr="001A04ED">
        <w:rPr>
          <w:b/>
          <w:bCs/>
        </w:rPr>
        <w:t>S</w:t>
      </w:r>
      <w:r w:rsidR="00CC705F" w:rsidRPr="001A04ED">
        <w:rPr>
          <w:b/>
          <w:bCs/>
        </w:rPr>
        <w:t xml:space="preserve">ector </w:t>
      </w:r>
      <w:r w:rsidR="009D62B1" w:rsidRPr="001A04ED">
        <w:rPr>
          <w:b/>
          <w:bCs/>
        </w:rPr>
        <w:t>E</w:t>
      </w:r>
      <w:r w:rsidR="00CC705F" w:rsidRPr="001A04ED">
        <w:rPr>
          <w:b/>
          <w:bCs/>
        </w:rPr>
        <w:t xml:space="preserve">nergy </w:t>
      </w:r>
      <w:r w:rsidR="009D62B1" w:rsidRPr="001A04ED">
        <w:rPr>
          <w:b/>
          <w:bCs/>
        </w:rPr>
        <w:t>D</w:t>
      </w:r>
      <w:r w:rsidR="00CC705F" w:rsidRPr="001A04ED">
        <w:rPr>
          <w:b/>
          <w:bCs/>
        </w:rPr>
        <w:t>emand</w:t>
      </w:r>
      <w:r w:rsidR="009E3FE4" w:rsidRPr="001A04ED">
        <w:rPr>
          <w:b/>
          <w:bCs/>
        </w:rPr>
        <w:t xml:space="preserve"> and Travel </w:t>
      </w:r>
      <w:r w:rsidR="009D609D" w:rsidRPr="001A04ED">
        <w:rPr>
          <w:b/>
          <w:bCs/>
        </w:rPr>
        <w:t>Infrastructure and Usage</w:t>
      </w:r>
    </w:p>
    <w:p w14:paraId="50A2EB23" w14:textId="77777777" w:rsidR="00A6012D" w:rsidRPr="001A04ED" w:rsidRDefault="00A6012D" w:rsidP="00D2186C">
      <w:pPr>
        <w:pStyle w:val="1stParagraph"/>
        <w:jc w:val="center"/>
        <w:rPr>
          <w:b/>
          <w:bCs/>
        </w:rPr>
      </w:pPr>
    </w:p>
    <w:p w14:paraId="423DD6B5" w14:textId="77777777" w:rsidR="00E34056" w:rsidRPr="001A04ED" w:rsidRDefault="00E34056" w:rsidP="00D2186C">
      <w:pPr>
        <w:pStyle w:val="1stParagraph"/>
        <w:jc w:val="center"/>
        <w:rPr>
          <w:b/>
          <w:bCs/>
        </w:rPr>
      </w:pPr>
    </w:p>
    <w:p w14:paraId="78672D62" w14:textId="2E40927B" w:rsidR="000F0510" w:rsidRPr="001A04ED" w:rsidRDefault="000F0510" w:rsidP="00D2186C">
      <w:pPr>
        <w:pStyle w:val="1stParagraph"/>
        <w:jc w:val="center"/>
        <w:rPr>
          <w:b/>
          <w:bCs/>
        </w:rPr>
      </w:pPr>
      <w:r w:rsidRPr="001A04ED">
        <w:rPr>
          <w:b/>
          <w:bCs/>
        </w:rPr>
        <w:t>Md Istiak Jaha</w:t>
      </w:r>
      <w:r w:rsidR="00363FB9" w:rsidRPr="001A04ED">
        <w:rPr>
          <w:b/>
          <w:bCs/>
        </w:rPr>
        <w:t>n</w:t>
      </w:r>
      <w:r w:rsidR="00363FB9" w:rsidRPr="001A04ED">
        <w:rPr>
          <w:rStyle w:val="FootnoteReference"/>
          <w:b/>
          <w:bCs/>
        </w:rPr>
        <w:footnoteReference w:customMarkFollows="1" w:id="2"/>
        <w:sym w:font="Symbol" w:char="F02A"/>
      </w:r>
    </w:p>
    <w:p w14:paraId="29450A3B" w14:textId="36D1461D" w:rsidR="000F0510" w:rsidRPr="001A04ED" w:rsidRDefault="000856A6" w:rsidP="00D2186C">
      <w:pPr>
        <w:pStyle w:val="1stParagraph"/>
        <w:jc w:val="center"/>
      </w:pPr>
      <w:r w:rsidRPr="001A04ED">
        <w:t>Postdoctoral Research Scholar</w:t>
      </w:r>
    </w:p>
    <w:p w14:paraId="58A63633" w14:textId="77777777" w:rsidR="000F0510" w:rsidRPr="001A04ED" w:rsidRDefault="000F0510" w:rsidP="00D2186C">
      <w:pPr>
        <w:pStyle w:val="1stParagraph"/>
        <w:jc w:val="center"/>
      </w:pPr>
      <w:r w:rsidRPr="001A04ED">
        <w:t>Department of Civil, Environmental &amp; Construction Engineering</w:t>
      </w:r>
    </w:p>
    <w:p w14:paraId="7B7A2847" w14:textId="21871441" w:rsidR="000F0510" w:rsidRPr="001A04ED" w:rsidRDefault="000F0510" w:rsidP="00D2186C">
      <w:pPr>
        <w:pStyle w:val="1stParagraph"/>
        <w:jc w:val="center"/>
      </w:pPr>
      <w:r w:rsidRPr="001A04ED">
        <w:t>University of Central Florida</w:t>
      </w:r>
      <w:r w:rsidR="002C6A0B" w:rsidRPr="001A04ED">
        <w:t>, Orlando, Florida 32816, USA</w:t>
      </w:r>
    </w:p>
    <w:p w14:paraId="7B9BE98B" w14:textId="77777777" w:rsidR="000F0510" w:rsidRPr="001A04ED" w:rsidRDefault="000F0510" w:rsidP="00D2186C">
      <w:pPr>
        <w:pStyle w:val="1stParagraph"/>
        <w:jc w:val="center"/>
      </w:pPr>
      <w:r w:rsidRPr="001A04ED">
        <w:t>Email: md.istiak.jahan@ucf.edu</w:t>
      </w:r>
    </w:p>
    <w:p w14:paraId="364BAD38" w14:textId="275B7701" w:rsidR="00A6012D" w:rsidRPr="001A04ED" w:rsidRDefault="000F0510" w:rsidP="00D2186C">
      <w:pPr>
        <w:pStyle w:val="1stParagraph"/>
        <w:jc w:val="center"/>
      </w:pPr>
      <w:r w:rsidRPr="001A04ED">
        <w:t>ORCiD number: 0000-0002-4056-7816</w:t>
      </w:r>
    </w:p>
    <w:p w14:paraId="7196D601" w14:textId="77777777" w:rsidR="00846F81" w:rsidRPr="001A04ED" w:rsidRDefault="00846F81" w:rsidP="00D2186C">
      <w:pPr>
        <w:pStyle w:val="1stParagraph"/>
        <w:jc w:val="center"/>
      </w:pPr>
    </w:p>
    <w:p w14:paraId="61633F0F" w14:textId="77777777" w:rsidR="00492F08" w:rsidRPr="001A04ED" w:rsidRDefault="00492F08" w:rsidP="00D2186C">
      <w:pPr>
        <w:pStyle w:val="1stParagraph"/>
        <w:jc w:val="center"/>
      </w:pPr>
    </w:p>
    <w:p w14:paraId="52A8C09E" w14:textId="77777777" w:rsidR="00492F08" w:rsidRPr="001A04ED" w:rsidRDefault="00492F08" w:rsidP="00D2186C">
      <w:pPr>
        <w:pStyle w:val="1stParagraph"/>
        <w:jc w:val="center"/>
        <w:rPr>
          <w:b/>
          <w:bCs/>
        </w:rPr>
      </w:pPr>
      <w:r w:rsidRPr="001A04ED">
        <w:rPr>
          <w:b/>
          <w:bCs/>
        </w:rPr>
        <w:t>Naveen Eluru</w:t>
      </w:r>
    </w:p>
    <w:p w14:paraId="2EF24A3C" w14:textId="77777777" w:rsidR="00492F08" w:rsidRPr="001A04ED" w:rsidRDefault="00492F08" w:rsidP="00D2186C">
      <w:pPr>
        <w:pStyle w:val="1stParagraph"/>
        <w:jc w:val="center"/>
      </w:pPr>
      <w:r w:rsidRPr="001A04ED">
        <w:t>Professor</w:t>
      </w:r>
    </w:p>
    <w:p w14:paraId="2016BBA9" w14:textId="77777777" w:rsidR="00492F08" w:rsidRPr="001A04ED" w:rsidRDefault="00492F08" w:rsidP="00D2186C">
      <w:pPr>
        <w:pStyle w:val="1stParagraph"/>
        <w:jc w:val="center"/>
      </w:pPr>
      <w:r w:rsidRPr="001A04ED">
        <w:t>Department of Civil, Environmental &amp; Construction Engineering</w:t>
      </w:r>
    </w:p>
    <w:p w14:paraId="232A1066" w14:textId="2C7EBBEC" w:rsidR="00492F08" w:rsidRPr="001A04ED" w:rsidRDefault="00492F08" w:rsidP="00D2186C">
      <w:pPr>
        <w:pStyle w:val="1stParagraph"/>
        <w:jc w:val="center"/>
      </w:pPr>
      <w:r w:rsidRPr="001A04ED">
        <w:t>University of Central Florida</w:t>
      </w:r>
      <w:r w:rsidR="002C6A0B" w:rsidRPr="001A04ED">
        <w:t>, Orlando, Florida 32816, USA</w:t>
      </w:r>
    </w:p>
    <w:p w14:paraId="360BA942" w14:textId="77777777" w:rsidR="00492F08" w:rsidRPr="001A04ED" w:rsidRDefault="00492F08" w:rsidP="00D2186C">
      <w:pPr>
        <w:pStyle w:val="1stParagraph"/>
        <w:jc w:val="center"/>
      </w:pPr>
      <w:r w:rsidRPr="001A04ED">
        <w:t>Email: naveen.eluru@ucf.edu</w:t>
      </w:r>
    </w:p>
    <w:p w14:paraId="73AC4728" w14:textId="72E6EBF8" w:rsidR="00DE4276" w:rsidRPr="001A04ED" w:rsidRDefault="00492F08" w:rsidP="003E34D0">
      <w:pPr>
        <w:pStyle w:val="1stParagraph"/>
        <w:jc w:val="center"/>
      </w:pPr>
      <w:r w:rsidRPr="001A04ED">
        <w:t>ORCiD number: 0000-0003-1221-4113</w:t>
      </w:r>
    </w:p>
    <w:p w14:paraId="34829825" w14:textId="77777777" w:rsidR="003E34D0" w:rsidRPr="001A04ED" w:rsidRDefault="003E34D0" w:rsidP="003E34D0">
      <w:pPr>
        <w:pStyle w:val="1stParagraph"/>
        <w:sectPr w:rsidR="003E34D0" w:rsidRPr="001A04ED" w:rsidSect="003B3AC2">
          <w:headerReference w:type="default" r:id="rId8"/>
          <w:footerReference w:type="default" r:id="rId9"/>
          <w:footerReference w:type="first" r:id="rId10"/>
          <w:type w:val="continuous"/>
          <w:pgSz w:w="12240" w:h="15840"/>
          <w:pgMar w:top="1440" w:right="1440" w:bottom="1440" w:left="1440" w:header="720" w:footer="720" w:gutter="0"/>
          <w:cols w:space="720"/>
          <w:titlePg/>
          <w:docGrid w:linePitch="360"/>
        </w:sectPr>
      </w:pPr>
    </w:p>
    <w:p w14:paraId="362E7069" w14:textId="77777777" w:rsidR="001D6DE6" w:rsidRDefault="001D6DE6">
      <w:pPr>
        <w:spacing w:after="160" w:line="259" w:lineRule="auto"/>
        <w:ind w:firstLine="0"/>
        <w:contextualSpacing w:val="0"/>
        <w:jc w:val="left"/>
        <w:rPr>
          <w:b/>
          <w:bCs/>
          <w:kern w:val="0"/>
          <w14:ligatures w14:val="none"/>
        </w:rPr>
      </w:pPr>
      <w:r>
        <w:rPr>
          <w:b/>
          <w:bCs/>
        </w:rPr>
        <w:br w:type="page"/>
      </w:r>
    </w:p>
    <w:p w14:paraId="35B91CB2" w14:textId="522D7D58" w:rsidR="00846F81" w:rsidRPr="001A04ED" w:rsidRDefault="00862A63" w:rsidP="003F7E1C">
      <w:pPr>
        <w:pStyle w:val="1stParagraph"/>
        <w:rPr>
          <w:b/>
          <w:bCs/>
        </w:rPr>
      </w:pPr>
      <w:r w:rsidRPr="001A04ED">
        <w:rPr>
          <w:b/>
          <w:bCs/>
        </w:rPr>
        <w:t>Abstract</w:t>
      </w:r>
    </w:p>
    <w:p w14:paraId="3AC8C9CE" w14:textId="5B2DB729" w:rsidR="00710242" w:rsidRPr="001A04ED" w:rsidRDefault="0080746D" w:rsidP="00401352">
      <w:pPr>
        <w:ind w:firstLine="0"/>
        <w:rPr>
          <w:rFonts w:cs="Times New Roman"/>
          <w:i/>
          <w:iCs/>
        </w:rPr>
      </w:pPr>
      <w:r w:rsidRPr="001A04ED">
        <w:t>T</w:t>
      </w:r>
      <w:r w:rsidR="00BC2862" w:rsidRPr="001A04ED">
        <w:t xml:space="preserve">he </w:t>
      </w:r>
      <w:r w:rsidR="009D25FC" w:rsidRPr="001A04ED">
        <w:t xml:space="preserve">considerable body of </w:t>
      </w:r>
      <w:r w:rsidR="00361119" w:rsidRPr="001A04ED">
        <w:t xml:space="preserve">earlier </w:t>
      </w:r>
      <w:r w:rsidR="009D25FC" w:rsidRPr="001A04ED">
        <w:t xml:space="preserve">research on household level residential sector energy demand does not consider the impact of household residents’ travel </w:t>
      </w:r>
      <w:r w:rsidR="00551922" w:rsidRPr="001A04ED">
        <w:t xml:space="preserve">infrastructure </w:t>
      </w:r>
      <w:r w:rsidR="009D25FC" w:rsidRPr="001A04ED">
        <w:t>on energy consumption patterns.</w:t>
      </w:r>
      <w:r w:rsidR="00820BAB" w:rsidRPr="001A04ED">
        <w:t xml:space="preserve"> The absence of travel </w:t>
      </w:r>
      <w:r w:rsidR="00551922" w:rsidRPr="001A04ED">
        <w:t xml:space="preserve">infrastructure </w:t>
      </w:r>
      <w:r w:rsidR="00820BAB" w:rsidRPr="001A04ED">
        <w:t xml:space="preserve">elements in energy demand models can be attributed to the lack of data providing </w:t>
      </w:r>
      <w:r w:rsidR="0024461B" w:rsidRPr="001A04ED">
        <w:t>this</w:t>
      </w:r>
      <w:r w:rsidR="00820BAB" w:rsidRPr="001A04ED">
        <w:t xml:space="preserve"> information in energy surveys.</w:t>
      </w:r>
      <w:r w:rsidR="00CA58B3" w:rsidRPr="001A04ED">
        <w:t xml:space="preserve"> </w:t>
      </w:r>
      <w:r w:rsidR="00820BAB" w:rsidRPr="001A04ED">
        <w:t xml:space="preserve">In this study, </w:t>
      </w:r>
      <w:r w:rsidR="00D764A8" w:rsidRPr="001D6DE6">
        <w:t>a novel</w:t>
      </w:r>
      <w:r w:rsidR="00820BAB" w:rsidRPr="001D6DE6">
        <w:t xml:space="preserve"> </w:t>
      </w:r>
      <w:r w:rsidR="00AB26FA" w:rsidRPr="001D6DE6">
        <w:t xml:space="preserve">econometric </w:t>
      </w:r>
      <w:r w:rsidR="00820BAB" w:rsidRPr="001D6DE6">
        <w:t>fusion approach</w:t>
      </w:r>
      <w:r w:rsidR="00BC24E6" w:rsidRPr="001D6DE6">
        <w:t xml:space="preserve"> is utilized</w:t>
      </w:r>
      <w:r w:rsidR="00820BAB" w:rsidRPr="001D6DE6">
        <w:t xml:space="preserve"> </w:t>
      </w:r>
      <w:r w:rsidR="00854AEC" w:rsidRPr="001D6DE6">
        <w:t>to</w:t>
      </w:r>
      <w:r w:rsidR="00820BAB" w:rsidRPr="001D6DE6">
        <w:t xml:space="preserve"> combine </w:t>
      </w:r>
      <w:r w:rsidR="00877C5D" w:rsidRPr="001D6DE6">
        <w:t>the</w:t>
      </w:r>
      <w:r w:rsidR="00820BAB" w:rsidRPr="001D6DE6">
        <w:t xml:space="preserve"> </w:t>
      </w:r>
      <w:r w:rsidR="007D5BDB" w:rsidRPr="001D6DE6">
        <w:t>traditional energy dataset -</w:t>
      </w:r>
      <w:r w:rsidR="00820BAB" w:rsidRPr="001D6DE6">
        <w:t xml:space="preserve">Residential Energy Consumption Survey (RECS) data </w:t>
      </w:r>
      <w:r w:rsidR="007D5BDB" w:rsidRPr="001D6DE6">
        <w:t xml:space="preserve">– with a transportation survey </w:t>
      </w:r>
      <w:r w:rsidR="009F4E65" w:rsidRPr="001D6DE6">
        <w:t>data -</w:t>
      </w:r>
      <w:r w:rsidR="007D5BDB" w:rsidRPr="001D6DE6">
        <w:t xml:space="preserve"> </w:t>
      </w:r>
      <w:r w:rsidR="00820BAB" w:rsidRPr="001D6DE6">
        <w:t>National Household Travel Survey (NHTS) data</w:t>
      </w:r>
      <w:r w:rsidR="00820BAB" w:rsidRPr="001A04ED">
        <w:t>.</w:t>
      </w:r>
      <w:r w:rsidR="00854AEC" w:rsidRPr="001A04ED">
        <w:t xml:space="preserve"> </w:t>
      </w:r>
      <w:r w:rsidR="00795F15" w:rsidRPr="001A04ED">
        <w:t xml:space="preserve">The </w:t>
      </w:r>
      <w:r w:rsidR="00EB6098" w:rsidRPr="001A04ED">
        <w:t xml:space="preserve">probabilistic fusion approach is employed to study energy consumption by end use type with a </w:t>
      </w:r>
      <w:r w:rsidR="0027369C" w:rsidRPr="001A04ED">
        <w:t>Multiple Discrete Continuous Extreme Value model framework</w:t>
      </w:r>
      <w:r w:rsidR="001E1AAB" w:rsidRPr="001A04ED">
        <w:t>.</w:t>
      </w:r>
      <w:r w:rsidR="00DB7F05" w:rsidRPr="001A04ED">
        <w:t xml:space="preserve"> </w:t>
      </w:r>
      <w:r w:rsidR="00401352" w:rsidRPr="001D6DE6">
        <w:rPr>
          <w:rFonts w:cs="Times New Roman"/>
        </w:rPr>
        <w:t>The framework will quantify the impact of travel infrastructure and usage related attributes on household end-use energy demand and remedy the over-estimation of the impact of socioeconomic attributes.</w:t>
      </w:r>
      <w:r w:rsidR="00401352" w:rsidRPr="001A04ED">
        <w:rPr>
          <w:rFonts w:cs="Times New Roman"/>
        </w:rPr>
        <w:t xml:space="preserve"> The model results reveal the impact of several household socioeconomic attributes (i.e., household size, location and income) and travel infrastructure and usage related attributes (i.e. number of vehicles of different fuel and body types, household annual mileage and frequency of long-distance trips) on household end-use energy demand. </w:t>
      </w:r>
      <w:r w:rsidR="001E1AAB" w:rsidRPr="001A04ED">
        <w:t xml:space="preserve">The model estimation results are augmented with an elasticity analysis </w:t>
      </w:r>
      <w:r w:rsidR="00FF7D74" w:rsidRPr="001A04ED">
        <w:t xml:space="preserve">and policy analysis </w:t>
      </w:r>
      <w:r w:rsidR="001E1AAB" w:rsidRPr="001A04ED">
        <w:t>to highlight the</w:t>
      </w:r>
      <w:r w:rsidR="00FF7D74" w:rsidRPr="001A04ED">
        <w:t xml:space="preserve"> implementation of the proposed framework.</w:t>
      </w:r>
      <w:r w:rsidR="001E1AAB" w:rsidRPr="001A04ED">
        <w:t xml:space="preserve"> </w:t>
      </w:r>
      <w:r w:rsidR="003A3A46" w:rsidRPr="001A04ED">
        <w:t xml:space="preserve">The </w:t>
      </w:r>
      <w:r w:rsidR="004B7974" w:rsidRPr="001A04ED">
        <w:t xml:space="preserve">elasticity </w:t>
      </w:r>
      <w:r w:rsidR="003A3A46" w:rsidRPr="001A04ED">
        <w:t xml:space="preserve">results reveal that ignoring the influence of travel infrastructure and usage variables can contribute to </w:t>
      </w:r>
      <w:r w:rsidR="00A173B0" w:rsidRPr="001A04ED">
        <w:t>errors for elasticity values for other independent variables</w:t>
      </w:r>
      <w:r w:rsidR="00FF7EA3" w:rsidRPr="001A04ED">
        <w:t xml:space="preserve"> such as household size (</w:t>
      </w:r>
      <w:r w:rsidR="004B7974" w:rsidRPr="001A04ED">
        <w:t>up to</w:t>
      </w:r>
      <w:r w:rsidR="0067057C" w:rsidRPr="001A04ED">
        <w:t xml:space="preserve"> 1800</w:t>
      </w:r>
      <w:r w:rsidR="00B67B7F" w:rsidRPr="001A04ED">
        <w:t>%</w:t>
      </w:r>
      <w:r w:rsidR="00FF7EA3" w:rsidRPr="001A04ED">
        <w:t xml:space="preserve">), </w:t>
      </w:r>
      <w:r w:rsidR="00B67B7F" w:rsidRPr="001A04ED">
        <w:t>number of adults (</w:t>
      </w:r>
      <w:r w:rsidR="004B7974" w:rsidRPr="001A04ED">
        <w:t xml:space="preserve">up to </w:t>
      </w:r>
      <w:r w:rsidR="0067057C" w:rsidRPr="001A04ED">
        <w:t>50%</w:t>
      </w:r>
      <w:r w:rsidR="00B67B7F" w:rsidRPr="001A04ED">
        <w:t>) and residential location (</w:t>
      </w:r>
      <w:r w:rsidR="004B7974" w:rsidRPr="001A04ED">
        <w:t xml:space="preserve">up to </w:t>
      </w:r>
      <w:r w:rsidR="0067057C" w:rsidRPr="001A04ED">
        <w:t>15</w:t>
      </w:r>
      <w:r w:rsidR="00B67B7F" w:rsidRPr="001A04ED">
        <w:t>%)</w:t>
      </w:r>
      <w:r w:rsidR="00A173B0" w:rsidRPr="001A04ED">
        <w:t xml:space="preserve">. </w:t>
      </w:r>
    </w:p>
    <w:p w14:paraId="7A8C81E1" w14:textId="77777777" w:rsidR="00710242" w:rsidRPr="001A04ED" w:rsidRDefault="00710242" w:rsidP="00846F81">
      <w:pPr>
        <w:pStyle w:val="1stParagraph"/>
      </w:pPr>
    </w:p>
    <w:p w14:paraId="64CA32C3" w14:textId="78FE7793" w:rsidR="00DE4276" w:rsidRPr="001A04ED" w:rsidRDefault="00710242" w:rsidP="00846F81">
      <w:pPr>
        <w:pStyle w:val="1stParagraph"/>
        <w:rPr>
          <w:b/>
          <w:bCs/>
        </w:rPr>
      </w:pPr>
      <w:r w:rsidRPr="001A04ED">
        <w:rPr>
          <w:b/>
          <w:bCs/>
        </w:rPr>
        <w:t>Keywords:</w:t>
      </w:r>
      <w:r w:rsidR="001707D0" w:rsidRPr="001A04ED">
        <w:rPr>
          <w:b/>
          <w:bCs/>
        </w:rPr>
        <w:t xml:space="preserve"> </w:t>
      </w:r>
      <w:r w:rsidR="001707D0" w:rsidRPr="001A04ED">
        <w:t xml:space="preserve">Household energy, </w:t>
      </w:r>
      <w:r w:rsidR="00F2693B" w:rsidRPr="001A04ED">
        <w:t xml:space="preserve">travel </w:t>
      </w:r>
      <w:r w:rsidR="0024461B" w:rsidRPr="001A04ED">
        <w:t>infrastructure</w:t>
      </w:r>
      <w:r w:rsidR="009D609D" w:rsidRPr="001A04ED">
        <w:t xml:space="preserve"> and usage</w:t>
      </w:r>
      <w:r w:rsidR="00F2693B" w:rsidRPr="001A04ED">
        <w:t>, data fusion, MDCEV model</w:t>
      </w:r>
      <w:r w:rsidR="00F25869" w:rsidRPr="001A04ED">
        <w:rPr>
          <w:b/>
          <w:bCs/>
        </w:rPr>
        <w:t xml:space="preserve">, </w:t>
      </w:r>
      <w:r w:rsidR="00F25869" w:rsidRPr="001A04ED">
        <w:t>energy end-uses</w:t>
      </w:r>
    </w:p>
    <w:p w14:paraId="1875C653" w14:textId="77777777" w:rsidR="003E34D0" w:rsidRPr="001A04ED" w:rsidRDefault="003E34D0" w:rsidP="00846F81">
      <w:pPr>
        <w:pStyle w:val="1stParagraph"/>
        <w:rPr>
          <w:b/>
          <w:bCs/>
        </w:rPr>
        <w:sectPr w:rsidR="003E34D0" w:rsidRPr="001A04ED" w:rsidSect="003B3AC2">
          <w:type w:val="continuous"/>
          <w:pgSz w:w="12240" w:h="15840"/>
          <w:pgMar w:top="1440" w:right="1440" w:bottom="1440" w:left="1440" w:header="720" w:footer="720" w:gutter="0"/>
          <w:cols w:space="720"/>
          <w:docGrid w:linePitch="360"/>
        </w:sectPr>
      </w:pPr>
    </w:p>
    <w:p w14:paraId="15B347E7" w14:textId="77777777" w:rsidR="001D6DE6" w:rsidRDefault="001D6DE6">
      <w:pPr>
        <w:spacing w:after="160" w:line="259" w:lineRule="auto"/>
        <w:ind w:firstLine="0"/>
        <w:contextualSpacing w:val="0"/>
        <w:jc w:val="left"/>
        <w:rPr>
          <w:rFonts w:eastAsiaTheme="majorEastAsia" w:cstheme="majorBidi"/>
          <w:b/>
        </w:rPr>
      </w:pPr>
      <w:r>
        <w:br w:type="page"/>
      </w:r>
    </w:p>
    <w:p w14:paraId="08650ADB" w14:textId="2E9B4503" w:rsidR="005D507B" w:rsidRPr="001A04ED" w:rsidRDefault="005D507B" w:rsidP="00DF133A">
      <w:pPr>
        <w:pStyle w:val="Heading1"/>
        <w:rPr>
          <w:szCs w:val="22"/>
        </w:rPr>
      </w:pPr>
      <w:r w:rsidRPr="001A04ED">
        <w:rPr>
          <w:szCs w:val="22"/>
        </w:rPr>
        <w:t>Background</w:t>
      </w:r>
    </w:p>
    <w:p w14:paraId="54104B3F" w14:textId="481DBD0B" w:rsidR="009D604F" w:rsidRPr="001A04ED" w:rsidRDefault="00E916E2" w:rsidP="003B77B9">
      <w:pPr>
        <w:pStyle w:val="1stParagraph"/>
      </w:pPr>
      <w:r w:rsidRPr="001A04ED">
        <w:t xml:space="preserve">Residential </w:t>
      </w:r>
      <w:r w:rsidR="00E6034F" w:rsidRPr="001A04ED">
        <w:t xml:space="preserve">energy demand </w:t>
      </w:r>
      <w:r w:rsidR="0095162A" w:rsidRPr="001A04ED">
        <w:t xml:space="preserve">contributes significantly to the overall </w:t>
      </w:r>
      <w:r w:rsidRPr="001A04ED">
        <w:t xml:space="preserve">energy demand of a country. </w:t>
      </w:r>
      <w:r w:rsidR="007231BF" w:rsidRPr="001A04ED">
        <w:t>According to the U.S. Energy Information Administration</w:t>
      </w:r>
      <w:r w:rsidR="00492844" w:rsidRPr="001A04ED">
        <w:t xml:space="preserve"> (EIA)</w:t>
      </w:r>
      <w:r w:rsidR="004E7377" w:rsidRPr="001A04ED">
        <w:t xml:space="preserve">, the residential sector accounted for </w:t>
      </w:r>
      <w:r w:rsidR="007662F8" w:rsidRPr="001A04ED">
        <w:t xml:space="preserve">around 20% of the total </w:t>
      </w:r>
      <w:r w:rsidR="00D34B1E" w:rsidRPr="001A04ED">
        <w:t>U.S. energy consumption in 2023</w:t>
      </w:r>
      <w:r w:rsidR="00D14798" w:rsidRPr="001A04ED">
        <w:t xml:space="preserve"> </w:t>
      </w:r>
      <w:r w:rsidR="00D14798" w:rsidRPr="001A04ED">
        <w:fldChar w:fldCharType="begin" w:fldLock="1"/>
      </w:r>
      <w:r w:rsidR="004C452B" w:rsidRPr="001A04ED">
        <w:instrText>ADDIN CSL_CITATION {"citationItems":[{"id":"ITEM-1","itemData":{"URL":"https://www.eia.gov/tools/faqs/faq.php?id=86&amp;t=1","author":[{"dropping-particle":"","family":"EIA","given":"","non-dropping-particle":"","parse-names":false,"suffix":""}],"container-title":"U.S. Energy Information Administration","id":"ITEM-1","issued":{"date-parts":[["2024"]]},"title":"How much energy is consumed in U.S. buildings?","type":"webpage"},"uris":["http://www.mendeley.com/documents/?uuid=ef74c999-5f97-4570-8d43-f65074200a1d"]}],"mendeley":{"formattedCitation":"(EIA, 2024b)","plainTextFormattedCitation":"(EIA, 2024b)","previouslyFormattedCitation":"(EIA, 2024b)"},"properties":{"noteIndex":0},"schema":"https://github.com/citation-style-language/schema/raw/master/csl-citation.json"}</w:instrText>
      </w:r>
      <w:r w:rsidR="00D14798" w:rsidRPr="001A04ED">
        <w:fldChar w:fldCharType="separate"/>
      </w:r>
      <w:r w:rsidR="00374B30" w:rsidRPr="001A04ED">
        <w:rPr>
          <w:noProof/>
        </w:rPr>
        <w:t>(EIA, 2024b)</w:t>
      </w:r>
      <w:r w:rsidR="00D14798" w:rsidRPr="001A04ED">
        <w:fldChar w:fldCharType="end"/>
      </w:r>
      <w:r w:rsidR="00D34B1E" w:rsidRPr="001A04ED">
        <w:t xml:space="preserve">. </w:t>
      </w:r>
      <w:r w:rsidR="00C968C7" w:rsidRPr="001A04ED">
        <w:t xml:space="preserve">Currently, </w:t>
      </w:r>
      <w:r w:rsidR="007B2FA1" w:rsidRPr="001A04ED">
        <w:t xml:space="preserve">residential energy demand patterns are </w:t>
      </w:r>
      <w:r w:rsidR="00C968C7" w:rsidRPr="001A04ED">
        <w:t>in a state of flux</w:t>
      </w:r>
      <w:r w:rsidR="007B2FA1" w:rsidRPr="001A04ED">
        <w:t xml:space="preserve">. </w:t>
      </w:r>
      <w:r w:rsidR="005D35A1" w:rsidRPr="001A04ED">
        <w:t>The rapid adoption of advanced home technologies (such as energy efficient air conditioners, high-definition TVs, gaming consoles, and</w:t>
      </w:r>
      <w:r w:rsidR="00787E5F" w:rsidRPr="001A04ED">
        <w:t xml:space="preserve"> smart home devices</w:t>
      </w:r>
      <w:r w:rsidR="005D35A1" w:rsidRPr="001A04ED">
        <w:t xml:space="preserve">), </w:t>
      </w:r>
      <w:r w:rsidR="00D614B9" w:rsidRPr="001A04ED">
        <w:t>prevalence</w:t>
      </w:r>
      <w:r w:rsidR="005D35A1" w:rsidRPr="001A04ED">
        <w:t xml:space="preserve"> of emerging transportation alternatives (such as electric vehicle charging facilities), increasing share of residential solar charging, and work culture evolution post-COVID with higher rate of hybrid work will continue to impact household energy consumption patterns into the future.</w:t>
      </w:r>
      <w:r w:rsidR="007B2FA1" w:rsidRPr="001A04ED">
        <w:t xml:space="preserve"> </w:t>
      </w:r>
      <w:r w:rsidR="00074054" w:rsidRPr="001A04ED">
        <w:t>In addition to affecting national energy demand, the residential sector has a large impact on global warming</w:t>
      </w:r>
      <w:r w:rsidR="005717CF" w:rsidRPr="001A04ED">
        <w:t xml:space="preserve">. In 2021, </w:t>
      </w:r>
      <w:r w:rsidR="00CD4E19" w:rsidRPr="001A04ED">
        <w:t>residential energy consumption</w:t>
      </w:r>
      <w:r w:rsidR="00074054" w:rsidRPr="001A04ED">
        <w:t xml:space="preserve"> </w:t>
      </w:r>
      <w:r w:rsidR="00074054" w:rsidRPr="001A04ED">
        <w:lastRenderedPageBreak/>
        <w:t>releas</w:t>
      </w:r>
      <w:r w:rsidR="00CD4E19" w:rsidRPr="001A04ED">
        <w:t xml:space="preserve">ed </w:t>
      </w:r>
      <w:r w:rsidR="00074054" w:rsidRPr="001A04ED">
        <w:t xml:space="preserve"> about 365 million metric tons of carbon dioxide </w:t>
      </w:r>
      <w:r w:rsidR="00074054" w:rsidRPr="001A04ED">
        <w:fldChar w:fldCharType="begin" w:fldLock="1"/>
      </w:r>
      <w:r w:rsidR="00273110" w:rsidRPr="001A04ED">
        <w:instrText>ADDIN CSL_CITATION {"citationItems":[{"id":"ITEM-1","itemData":{"URL":"https://usafacts.org/articles/what-are-the-main-sources-of-us-greenhouse-gas-emissions/","author":[{"dropping-particle":"","family":"USAFacts","given":"","non-dropping-particle":"","parse-names":false,"suffix":""}],"container-title":"USA Facts","id":"ITEM-1","issued":{"date-parts":[["2024"]]},"title":"What are the main sources of US greenhouse gas emissions?","type":"webpage"},"uris":["http://www.mendeley.com/documents/?uuid=1ec3e04f-b510-44ac-824a-285e8045f001"]}],"mendeley":{"formattedCitation":"(USAFacts, 2024)","plainTextFormattedCitation":"(USAFacts, 2024)","previouslyFormattedCitation":"(USAFacts, 2024)"},"properties":{"noteIndex":0},"schema":"https://github.com/citation-style-language/schema/raw/master/csl-citation.json"}</w:instrText>
      </w:r>
      <w:r w:rsidR="00074054" w:rsidRPr="001A04ED">
        <w:fldChar w:fldCharType="separate"/>
      </w:r>
      <w:r w:rsidR="008C37C1" w:rsidRPr="001A04ED">
        <w:rPr>
          <w:noProof/>
        </w:rPr>
        <w:t>(USAFacts, 2024)</w:t>
      </w:r>
      <w:r w:rsidR="00074054" w:rsidRPr="001A04ED">
        <w:fldChar w:fldCharType="end"/>
      </w:r>
      <w:r w:rsidR="00074054" w:rsidRPr="001A04ED">
        <w:t>.</w:t>
      </w:r>
      <w:r w:rsidR="006E7AA7" w:rsidRPr="001A04ED">
        <w:t xml:space="preserve"> </w:t>
      </w:r>
      <w:r w:rsidR="007B2FA1" w:rsidRPr="001A04ED">
        <w:t>As countries around the world tackle greenhouse gas emissions in their fight against global warming, identifying the factors affecting residential energy demand</w:t>
      </w:r>
      <w:r w:rsidR="00412189" w:rsidRPr="001A04ED">
        <w:t xml:space="preserve"> in the future </w:t>
      </w:r>
      <w:r w:rsidR="007B2FA1" w:rsidRPr="001A04ED">
        <w:t xml:space="preserve">will be an important </w:t>
      </w:r>
      <w:r w:rsidR="00412189" w:rsidRPr="001A04ED">
        <w:t>contribution</w:t>
      </w:r>
      <w:r w:rsidR="007B2FA1" w:rsidRPr="001A04ED">
        <w:t>.</w:t>
      </w:r>
    </w:p>
    <w:p w14:paraId="371E94E7" w14:textId="15A266C0" w:rsidR="00DC0326" w:rsidRPr="001A04ED" w:rsidRDefault="00D40AF7" w:rsidP="00DC0326">
      <w:pPr>
        <w:rPr>
          <w:rFonts w:cs="Times New Roman"/>
          <w:i/>
          <w:iCs/>
        </w:rPr>
      </w:pPr>
      <w:r w:rsidRPr="001A04ED">
        <w:t>Residential</w:t>
      </w:r>
      <w:r w:rsidR="008D6439" w:rsidRPr="001A04ED">
        <w:t xml:space="preserve"> energy demand patterns are well researched in </w:t>
      </w:r>
      <w:r w:rsidR="006E7AA7" w:rsidRPr="001A04ED">
        <w:t>energy</w:t>
      </w:r>
      <w:r w:rsidR="008D6439" w:rsidRPr="001A04ED">
        <w:t xml:space="preserve"> </w:t>
      </w:r>
      <w:r w:rsidR="00C4151F" w:rsidRPr="001A04ED">
        <w:t>literature</w:t>
      </w:r>
      <w:r w:rsidR="008D6439" w:rsidRPr="001A04ED">
        <w:t xml:space="preserve">. </w:t>
      </w:r>
      <w:r w:rsidR="007A27FE" w:rsidRPr="001A04ED">
        <w:t>The</w:t>
      </w:r>
      <w:r w:rsidRPr="001A04ED">
        <w:t xml:space="preserve"> demand </w:t>
      </w:r>
      <w:r w:rsidR="00B02D17" w:rsidRPr="001A04ED">
        <w:t xml:space="preserve">patterns </w:t>
      </w:r>
      <w:r w:rsidRPr="001A04ED">
        <w:t xml:space="preserve">are </w:t>
      </w:r>
      <w:r w:rsidR="00B02D17" w:rsidRPr="001A04ED">
        <w:t xml:space="preserve">typically analyzed </w:t>
      </w:r>
      <w:r w:rsidRPr="001A04ED">
        <w:t xml:space="preserve">along three key dimensions: (a) overall energy demand  (see </w:t>
      </w:r>
      <w:r w:rsidRPr="001A04ED">
        <w:fldChar w:fldCharType="begin" w:fldLock="1"/>
      </w:r>
      <w:r w:rsidR="00CA5333" w:rsidRPr="001A04ED">
        <w:instrText>ADDIN CSL_CITATION {"citationItems":[{"id":"ITEM-1","itemData":{"DOI":"10.1016/j.apenergy.2021.117303","ISSN":"03062619","abstract":"Residential buildings consume a large amount of energy in operation, which can be reduced by planning energy-efficient design and operation strategies. Understanding and quantifying the impact of key driving factors to the residential building energy end-use is essential for promoting more energy-efficient building design and operation schemes. Although the climate, building, and occupant-related features have been proven as the key driving factors to residential building energy end-use, their impacts are rarely compared and quantified simultaneously. This study conducts the first attempt in combining the machine learning method with Monte Carlo method to quantify the impacts of these key driving factors simultaneously. Data collected from the Residential Energy Consumption Survey 2015 of the U.S. was investigated in this study. The results indicate that the total energy end-use has positive correlations with the total building area, rooms’ numbers, windows’ numbers, indoor heating temperature setpoint and the occupants’ age; and has a negative correlation with the cooling temperature setpoint; the impacts of heating degree days and cooling degree days are nonlinear and complicated; the impact of the level of insulation is nuanced and offset by the harsh climate. The results of this study contribute good references to policymakers and architects for the synthesis of energy-efficient residential building design and operation; guidelines can be developed for the future survey on residential building energy for relevant and precise data collection to improve the building energy modelling.","author":[{"dropping-particle":"","family":"Wang","given":"Lan","non-dropping-particle":"","parse-names":false,"suffix":""},{"dropping-particle":"","family":"Lee","given":"Eric W.M.","non-dropping-particle":"","parse-names":false,"suffix":""},{"dropping-particle":"","family":"Hussian","given":"Syed Asad","non-dropping-particle":"","parse-names":false,"suffix":""},{"dropping-particle":"","family":"Yuen","given":"Anthony Chun Yin","non-dropping-particle":"","parse-names":false,"suffix":""},{"dropping-particle":"","family":"Feng","given":"Wei","non-dropping-particle":"","parse-names":false,"suffix":""}],"container-title":"Applied Energy","id":"ITEM-1","issue":"December 2020","issued":{"date-parts":[["2021"]]},"page":"117303","publisher":"Elsevier Ltd","title":"Quantitative impact analysis of driving factors on annual residential building energy end-use combining machine learning and stochastic methods","type":"article-journal","volume":"299"},"uris":["http://www.mendeley.com/documents/?uuid=819e4b63-da78-48a9-976b-1c4294e21914"]},{"id":"ITEM-2","itemData":{"DOI":"10.1016/j.energy.2018.09.108","ISSN":"03605442","abstract":"As a large part of primary energy consumption in different countries is related to the residential sector, a reduction in energy consumption at the “household-scale” may determine a significant reduction in the carbon emission at the “country-scale”. Hence, the precise knowledge of the relationships between the household characteristics and the energy consumption/expenditure may serve as basis for policymakers when planning investments aiming to reduce the primary energy consumption in the residential sector. This paper contributes to the existing discussion, focusing on the Italian case study, by analyzing the relationships between the residential energy expenditure and the building factors, socio-demographic variables and appliances. In particular, the impact that the different household characteristics have on per–capita family energy expenditures has been examined commented and compared with the previous literature. The analysis is performed by coupling (a) the ordinary least squares method, to determine the relationship between the variables, (b) the variance inflation factor, to check for multicollinearity issues, and (c) the least absolute shrinkage and selection operator, to select suitable variables. Subsequently, a segmentation of the Italian households has been proposed, by using a segmentation-tree approach and the outcomes of the previous analysis.","author":[{"dropping-particle":"","family":"Besagni","given":"Giorgio","non-dropping-particle":"","parse-names":false,"suffix":""},{"dropping-particle":"","family":"Borgarello","given":"Marco","non-dropping-particle":"","parse-names":false,"suffix":""}],"container-title":"Energy","id":"ITEM-2","issued":{"date-parts":[["2018"]]},"page":"369-386","title":"The determinants of residential energy expenditure in Italy","type":"article-journal","volume":"165"},"uris":["http://www.mendeley.com/documents/?uuid=fbd83fef-d729-476f-9dd0-503fd0c35346"]}],"mendeley":{"formattedCitation":"(Besagni &amp; Borgarello, 2018; Wang et al., 2021)","plainTextFormattedCitation":"(Besagni &amp; Borgarello, 2018; Wang et al., 2021)","previouslyFormattedCitation":"(Besagni &amp; Borgarello, 2018; Wang et al., 2021)"},"properties":{"noteIndex":0},"schema":"https://github.com/citation-style-language/schema/raw/master/csl-citation.json"}</w:instrText>
      </w:r>
      <w:r w:rsidRPr="001A04ED">
        <w:fldChar w:fldCharType="separate"/>
      </w:r>
      <w:r w:rsidR="00CA5333" w:rsidRPr="001A04ED">
        <w:rPr>
          <w:noProof/>
        </w:rPr>
        <w:t>(Besagni &amp; Borgarello, 2018; Wang et al., 2021)</w:t>
      </w:r>
      <w:r w:rsidRPr="001A04ED">
        <w:fldChar w:fldCharType="end"/>
      </w:r>
      <w:r w:rsidRPr="001A04ED">
        <w:t xml:space="preserve">), (b) energy consumption by energy source, such as electricity, natural gas, and Liquefied Petroleum (LP) gas (see </w:t>
      </w:r>
      <w:r w:rsidRPr="001A04ED">
        <w:fldChar w:fldCharType="begin" w:fldLock="1"/>
      </w:r>
      <w:r w:rsidR="00CA5333" w:rsidRPr="001A04ED">
        <w:instrText>ADDIN CSL_CITATION {"citationItems":[{"id":"ITEM-1","itemData":{"DOI":"10.1016/j.enbuild.2021.110934","ISSN":"03787788","abstract":"Residential energy use has become an important source of global energy demand growth and carbon emissions growth. Residential building energy usage accounts for about 22% of the total energy use in the United States. In the current study, we address residential energy usage by addressing two decisions: (1) source of energy (such as electric and natural gas) and (2) consumption by energy source for various purposes. A Multiple Discrete Continuous Extreme Value model that allows us to analyze the source and consumption decisions in an integrated framework is developed. The model is estimated using data drawn from the 2015 Residential Energy Consumption Survey that provides energy use details for electricity, natural gas, fuel oil and Liquefied Petroleum Gas for residential units across United States. An exhaustive set of independent variables including location characteristics, household characteristics, housing characteristics, appliance use and climatic characteristics were employed in the model estimation. The model estimation results are augmented with a comprehensive policy analysis to illustrate how various independent variables affect energy use by source. A comparison of energy use between urban and rural regions, by varying household size and housing unit size are examined.","author":[{"dropping-particle":"","family":"Iraganaboina","given":"Naveen Chandra","non-dropping-particle":"","parse-names":false,"suffix":""},{"dropping-particle":"","family":"Eluru","given":"Naveen","non-dropping-particle":"","parse-names":false,"suffix":""}],"container-title":"Energy and Buildings","id":"ITEM-1","issued":{"date-parts":[["2021"]]},"page":"110934","publisher":"Elsevier B.V.","title":"An examination of factors affecting residential energy consumption using a multiple discrete continuous approach","type":"article-journal","volume":"240"},"uris":["http://www.mendeley.com/documents/?uuid=1a2aff66-8503-405f-b73a-853c17c0feb4"]},{"id":"ITEM-2","itemData":{"DOI":"10.1080/13467581.2021.1987244","ISSN":"13472852","abstract":"In this study, we focused on electricity consumption and household characteristics with Dynamic Pricing(DP) experiment in the collective housing complex of a Japanese Smart Community, which had been divided into two groups, Treatment group (110 households) and Control group (65 households). We collected and analyzed a questionnaire survey on the family attributes of residents and all housing electrical appliances to understand the actual conditions of household characteristics. The annual energy consumption by smart meters had been aggregated and analyzed to understand the actual conditions of electricity end-use of the households. The results showed the main factors of household, which affect the electricity consumption, were floor area, family number, income of households, and the number of air conditioner. During dynamic pricing experiment in summer and winter, we found that the implementation of Dynamic Pricing would affect household users' habits of using electrical equipment and had a contribution to energy peak cut. Through the hierarchical cluster analysis, we divided both group into three types of household characteristics respectively. The result has revealed that the family structure would affect the electricity consumption during Dynamic Pricing implement.In this study, we focus on energy consumption and household characteristics with dynamic pricing experiment in the collective housing complex of a Japanese Smart Community. we collected and analyzed a questionnaire survey on the family attributes of residents and the lifestyle of all housing equipment to understand the actual conditions such as the attributes of the resident generation. The annual energy consumption by smart meters will be aggregated and analyzed to understand the actual conditions of electricity consumption of the resident generation. Based on the aggregated results, a database of lifestyle patterns and energy consumption is constructed, and the relationship between each factor and energy consumption, and each lifestyle pattern has been analyzed.","author":[{"dropping-particle":"","family":"Lu","given":"Yunqin","non-dropping-particle":"","parse-names":false,"suffix":""},{"dropping-particle":"","family":"Gao","given":"Weijun","non-dropping-particle":"","parse-names":false,"suffix":""},{"dropping-particle":"","family":"Kuroki","given":"Soichiro","non-dropping-particle":"","parse-names":false,"suffix":""},{"dropping-particle":"","family":"Ge","given":"Jian","non-dropping-particle":"","parse-names":false,"suffix":""}],"container-title":"Journal of Asian Architecture and Building Engineering","id":"ITEM-2","issue":"6","issued":{"date-parts":[["2022"]]},"page":"2564-2579","publisher":"Taylor &amp; Francis","title":"Household characteristics and electricity end-use under dynamic pricing in the collective housing complex of a Japanese smart community","type":"article-journal","volume":"21"},"uris":["http://www.mendeley.com/documents/?uuid=0e87e7cf-ca50-40ce-a8c5-805bff263366"]}],"mendeley":{"formattedCitation":"(Iraganaboina &amp; Eluru, 2021; Lu et al., 2022)","plainTextFormattedCitation":"(Iraganaboina &amp; Eluru, 2021; Lu et al., 2022)","previouslyFormattedCitation":"(Iraganaboina &amp; Eluru, 2021; Lu et al., 2022)"},"properties":{"noteIndex":0},"schema":"https://github.com/citation-style-language/schema/raw/master/csl-citation.json"}</w:instrText>
      </w:r>
      <w:r w:rsidRPr="001A04ED">
        <w:fldChar w:fldCharType="separate"/>
      </w:r>
      <w:r w:rsidR="00CA5333" w:rsidRPr="001A04ED">
        <w:rPr>
          <w:noProof/>
        </w:rPr>
        <w:t>(Iraganaboina &amp; Eluru, 2021; Lu et al., 2022)</w:t>
      </w:r>
      <w:r w:rsidRPr="001A04ED">
        <w:fldChar w:fldCharType="end"/>
      </w:r>
      <w:r w:rsidRPr="001A04ED">
        <w:t>), and (c) energy demand for specific end-use</w:t>
      </w:r>
      <w:r w:rsidR="00B02D17" w:rsidRPr="001A04ED">
        <w:t xml:space="preserve"> type</w:t>
      </w:r>
      <w:r w:rsidRPr="001A04ED">
        <w:t xml:space="preserve"> such as space heating, water heating, and cooling (see </w:t>
      </w:r>
      <w:r w:rsidRPr="001A04ED">
        <w:fldChar w:fldCharType="begin" w:fldLock="1"/>
      </w:r>
      <w:r w:rsidR="00A25A6D" w:rsidRPr="001A04ED">
        <w:instrText>ADDIN CSL_CITATION {"citationItems":[{"id":"ITEM-1","itemData":{"DOI":"10.1016/j.jobe.2023.106947","ISSN":"23527102","abstract":"Decarbonizing the residential buildings sector is important to realize a net-zero future. However, little research comprehensively explores how residential energy by end-uses, i.e., space heating, space cooling, water heating, and appliances, vary across different climate, building, and occupant characteristics. Therefore, based on Residential Energy Consumption Survey 2015, this study investigates how these energy end-uses correlated with different influential factors, i.e., climate, demographics, housing and appliance features. Recursively random forest regression and partial dependency plots were employed to analyze and quantify the impact of influencing factors on end-use energy usage. The developed models illustrate nonlinear and varying impacts of influential factors on different end-uses, with R-square from 0.481 (appliance) to 0.885 (space cooling). Specifically, housing size and climate are determinant factors of space heating/cooling, while family size and total appliance number determine water heating and appliance usage, respectively. Use frequency, size, and vintage of common appliances (e.g., refrigerator, laundry) affect appliance energy consumption. Furthermore, one-way ANOVA confirms the statistically significant differences in energy consumption across varying household income groups, i.e., households with higher incomes consume more energy. Houses with older vintages use more total energy, especially in space heating, while less in cooling due to lower penetration of air conditioners. Finally, the analysis proves that residential end-use electrification, mainly space heating and water heating, is beneficial for energy efficiency. The findings contribute to understanding influential factors on different end-uses in households, which from a holistic level informs the potential pathway for building decarbonization, especially targeting at specific end-uses or occupant groups.","author":[{"dropping-particle":"","family":"Kuang","given":"Biao","non-dropping-particle":"","parse-names":false,"suffix":""},{"dropping-particle":"","family":"Schelly","given":"Chelsea","non-dropping-particle":"","parse-names":false,"suffix":""},{"dropping-particle":"","family":"Ou","given":"Ge","non-dropping-particle":"","parse-names":false,"suffix":""},{"dropping-particle":"","family":"Sahraei-Ardakani","given":"Mostafa","non-dropping-particle":"","parse-names":false,"suffix":""},{"dropping-particle":"","family":"Tiwari","given":"Shardul","non-dropping-particle":"","parse-names":false,"suffix":""},{"dropping-particle":"","family":"Chen","given":"Jianli","non-dropping-particle":"","parse-names":false,"suffix":""}],"container-title":"Journal of Building Engineering","id":"ITEM-1","issue":"March","issued":{"date-parts":[["2023"]]},"title":"Data-driven analysis of influential factors on residential energy end-use in the US","type":"article-journal","volume":"75"},"uris":["http://www.mendeley.com/documents/?uuid=fa357c72-a654-4804-8a06-e3ae46709a4a"]},{"id":"ITEM-2","itemData":{"DOI":"10.1016/j.energy.2021.121810","ISSN":"03605442","abstract":"About two-thirds of Nepal's final energy is consumed by households. Traditional solid biomass constitutes most of the households' energy needs, and cooking is by far their most important energy-consuming activity. This paper analyzes household energy use patterns in Nepal through the year 2051 based on a bottom-up simulation accounting framework for seven provinces and the capital city, differentiated by rural and urban areas and seven end-uses. Six scenarios involving different growth paths for socio-economic and energy system development are considered. Unlike in developed economies, the study finds that country's household energy demand will continue to rise in the future, but it is heterogeneous across the provinces. With the government's recent SDG7 initiatives, electricity is expected to play a key role in the household's future energy mix, although biomass use will remain significant but in declining trends. The study also identifies priority provinces where additional action is needed to improve access to clean and affordable modern energy services. Assertive policy initiatives are needed beyond 2030 to pursue clean energy market establishments and end-use technological developments for the expected growth of household clean energy demand.","author":[{"dropping-particle":"","family":"Malla","given":"Sunil","non-dropping-particle":"","parse-names":false,"suffix":""}],"container-title":"Energy","id":"ITEM-2","issued":{"date-parts":[["2022"]]},"page":"121810","publisher":"Elsevier Ltd","title":"An outlook of end-use energy demand based on a clean energy and technology transformation of the household sector in Nepal","type":"article-journal","volume":"238"},"uris":["http://www.mendeley.com/documents/?uuid=e6d2b1bd-78d5-4fed-a72b-091a64faf747"]}],"mendeley":{"formattedCitation":"(Kuang et al., 2023a; Malla, 2022)","plainTextFormattedCitation":"(Kuang et al., 2023a; Malla, 2022)","previouslyFormattedCitation":"(Kuang et al., 2023a; Malla, 2022)"},"properties":{"noteIndex":0},"schema":"https://github.com/citation-style-language/schema/raw/master/csl-citation.json"}</w:instrText>
      </w:r>
      <w:r w:rsidRPr="001A04ED">
        <w:fldChar w:fldCharType="separate"/>
      </w:r>
      <w:r w:rsidR="00CA5333" w:rsidRPr="001A04ED">
        <w:rPr>
          <w:noProof/>
        </w:rPr>
        <w:t>(Kuang et al., 2023a; Malla, 2022)</w:t>
      </w:r>
      <w:r w:rsidRPr="001A04ED">
        <w:fldChar w:fldCharType="end"/>
      </w:r>
      <w:r w:rsidRPr="001A04ED">
        <w:t xml:space="preserve">). From a demand estimation perspective, assessing energy consumption across different end-use categories provides a thorough insight into </w:t>
      </w:r>
      <w:r w:rsidR="00D614B9" w:rsidRPr="001A04ED">
        <w:t xml:space="preserve">the factors affecting </w:t>
      </w:r>
      <w:r w:rsidRPr="001A04ED">
        <w:t xml:space="preserve">household energy </w:t>
      </w:r>
      <w:r w:rsidR="00BE09E6" w:rsidRPr="001A04ED">
        <w:t>consumption patterns</w:t>
      </w:r>
      <w:r w:rsidRPr="001A04ED">
        <w:t>.</w:t>
      </w:r>
      <w:r w:rsidR="00BE09E6" w:rsidRPr="001A04ED">
        <w:t xml:space="preserve"> </w:t>
      </w:r>
      <w:r w:rsidRPr="001A04ED">
        <w:t xml:space="preserve">The methodological approaches considered </w:t>
      </w:r>
      <w:r w:rsidR="00B343F1" w:rsidRPr="001A04ED">
        <w:t xml:space="preserve">for residential energy </w:t>
      </w:r>
      <w:r w:rsidR="00A27B8D" w:rsidRPr="001A04ED">
        <w:t xml:space="preserve">modeling </w:t>
      </w:r>
      <w:r w:rsidRPr="001A04ED">
        <w:t>include regression-based approaches</w:t>
      </w:r>
      <w:r w:rsidR="0029143C" w:rsidRPr="001A04ED">
        <w:t xml:space="preserve"> </w:t>
      </w:r>
      <w:r w:rsidRPr="001A04ED">
        <w:fldChar w:fldCharType="begin" w:fldLock="1"/>
      </w:r>
      <w:r w:rsidR="00273110" w:rsidRPr="001A04ED">
        <w:instrText>ADDIN CSL_CITATION {"citationItems":[{"id":"ITEM-1","itemData":{"DOI":"10.1016/j.enbuild.2021.111782","ISSN":"03787788","abstract":"The purpose of this study was to analyze the determinants of end-use energy consumption: heating, cooling, DHW, lighting, electric appliances, cooking, through the integrated consideration of physical building factors, sociodemographics, and household appliance-use characteristics in residential buildings. To this end, this study collected dwelling and household characteristics through a site survey of 71 apartment households, which is a representative residential building type in South Korea. Additionally, a measurement system was installed so that information pertaining to the energy consumption by end use could be collected; we acquired annual energy data for the period between May 2017 and April 2018. Then, valid determinants for each end use were examined through multiple regression analysis with five regression models. (Model 1: analysis of a single variable that is the most influential; Model 2–4: analysis of valid determinants considering only physical building factors, sociodemographics, and household appliance-use characteristics by each model; Model 5: analysis of valid determinants considering all independent variables). The key findings of the research were as follows. The most deterministic factor was found to be AREA (area for exclusive use) for energy consumption of heating and electric appliances. And nHM (number of household members) was presented as the most influential factor for DHW, lighting, and cooking energy consumption. For cooling energy consumption, AIR_oper (air conditioner operating hour) was shown as the most deterministic factor. Furthermore, the order of influence of physical building factors, sociodemographics, and household appliance-use characteristics over each end-use energy consumption displayed as follows: building &gt; appliance-use for heating, appliance-use &gt; building for cooling, only sociodemographics for DHW and cooking, sociodemographics &gt; building &gt; appliance-use for lighting, appliance-use &gt; sociodemographics &gt; building for electric appliances.","author":[{"dropping-particle":"","family":"Lee","given":"Soo Jin","non-dropping-particle":"","parse-names":false,"suffix":""},{"dropping-particle":"","family":"Song","given":"Seung Yeong","non-dropping-particle":"","parse-names":false,"suffix":""}],"container-title":"Energy and Buildings","id":"ITEM-1","issued":{"date-parts":[["2022"]]},"page":"111782","publisher":"Elsevier B.V.","title":"Determinants of residential end-use energy: Effects of buildings, sociodemographics, and household appliances","type":"article-journal","volume":"257"},"uris":["http://www.mendeley.com/documents/?uuid=e8aec0a2-8b66-49fc-b395-f9f7a01d9247"]},{"id":"ITEM-2","itemData":{"ISBN":"8615013102737","abstract":"Building characteristics, household compositions, lifestyles, and home equipment are recognized as the main factors influencing residential energy consumption, which has been a subject of extensive exploration for many years now. However, the quantitative correlation models between the above factors and residential end-use energy have not been fully studied. This paper aims to explore the determinants of residential end-use energy consumption by a comprehensive analysis based on the factors of building characteristics, household compositions, lifestyles, and home equipment. For this purpose, we investigated and collected the building information of 66 households and obtained the data through an installed measurement system of the annual residential end-use energy from July 2019 to June 2020. Subsequently, six multiple regression models were used to quantitatively analyze the valid determinants of each end-use energy. The main results were as follows: for cooling energy consumption, the greatest effective variable was FM_no (22–59, number of family members aged 22 to 59); the most influential variable was found to be FM_no (number of family members) for DHW and appliances energy consumption; for lighting and cooking energy consumption, the most effective variables were AREA (floor area) and Cooking (average daily cooking hours), respectively. Moreover, the order of influence of building characteristics, household compositions, lifestyles, and home equipment over each end-use energy consumption is as follows: households &gt; equipment &gt; lifestyles for cooling and DHW, households &gt; buildings &gt; equipment for lighting, equipment &gt; lifestyles for appliances and cooking.","author":[{"dropping-particle":"","family":"Xie","given":"Yixuan","non-dropping-particle":"","parse-names":false,"suffix":""},{"dropping-particle":"","family":"Noor","given":"Azlin Iryani Mohd","non-dropping-particle":"","parse-names":false,"suffix":""}],"container-title":"Buildings","id":"ITEM-2","issue":"538","issued":{"date-parts":[["2022"]]},"page":"1-18","title":"Factors Affecting Residential End-Use Energy: Multiple Regression Analysis Based on Buildings, Households, Lifestyles, and Equipment","type":"article-journal","volume":"12"},"uris":["http://www.mendeley.com/documents/?uuid=fda04617-8a01-48d1-8358-2de3f5bbdc88"]}],"mendeley":{"formattedCitation":"(Lee &amp; Song, 2022; Xie &amp; Noor, 2022)","plainTextFormattedCitation":"(Lee &amp; Song, 2022; Xie &amp; Noor, 2022)","previouslyFormattedCitation":"(Lee &amp; Song, 2022; Xie &amp; Noor, 2022)"},"properties":{"noteIndex":0},"schema":"https://github.com/citation-style-language/schema/raw/master/csl-citation.json"}</w:instrText>
      </w:r>
      <w:r w:rsidRPr="001A04ED">
        <w:fldChar w:fldCharType="separate"/>
      </w:r>
      <w:r w:rsidR="008C37C1" w:rsidRPr="001A04ED">
        <w:rPr>
          <w:noProof/>
        </w:rPr>
        <w:t>(Lee &amp; Song, 2022; Xie &amp; Noor, 2022)</w:t>
      </w:r>
      <w:r w:rsidRPr="001A04ED">
        <w:fldChar w:fldCharType="end"/>
      </w:r>
      <w:r w:rsidRPr="001A04ED">
        <w:t xml:space="preserve">, </w:t>
      </w:r>
      <w:r w:rsidR="00FC035D" w:rsidRPr="001A04ED">
        <w:rPr>
          <w:rFonts w:cs="Times New Roman"/>
        </w:rPr>
        <w:t>machine learning</w:t>
      </w:r>
      <w:r w:rsidRPr="001A04ED">
        <w:rPr>
          <w:rFonts w:cs="Times New Roman"/>
        </w:rPr>
        <w:t xml:space="preserve"> approaches (such as random-forest regression</w:t>
      </w:r>
      <w:r w:rsidR="006544FF" w:rsidRPr="001A04ED">
        <w:rPr>
          <w:rFonts w:cs="Times New Roman"/>
        </w:rPr>
        <w:t xml:space="preserve">, k-nearest neighbors, </w:t>
      </w:r>
      <w:r w:rsidR="00E44E41" w:rsidRPr="001A04ED">
        <w:rPr>
          <w:rFonts w:cs="Times New Roman"/>
        </w:rPr>
        <w:t>gradient boosting method, extreme gradient boosting</w:t>
      </w:r>
      <w:r w:rsidR="00E11949" w:rsidRPr="001A04ED">
        <w:rPr>
          <w:rFonts w:cs="Times New Roman"/>
        </w:rPr>
        <w:t xml:space="preserve"> method</w:t>
      </w:r>
      <w:r w:rsidR="000108C9" w:rsidRPr="001A04ED">
        <w:rPr>
          <w:rFonts w:cs="Times New Roman"/>
        </w:rPr>
        <w:t>, support vector machine</w:t>
      </w:r>
      <w:r w:rsidR="00D83D24" w:rsidRPr="001A04ED">
        <w:rPr>
          <w:rFonts w:cs="Times New Roman"/>
        </w:rPr>
        <w:t>,</w:t>
      </w:r>
      <w:r w:rsidR="000108C9" w:rsidRPr="001A04ED">
        <w:rPr>
          <w:rFonts w:cs="Times New Roman"/>
        </w:rPr>
        <w:t xml:space="preserve"> artificial neural network</w:t>
      </w:r>
      <w:r w:rsidR="00D83D24" w:rsidRPr="001A04ED">
        <w:rPr>
          <w:rFonts w:cs="Times New Roman"/>
        </w:rPr>
        <w:t xml:space="preserve"> and deep extreme machine learning approach</w:t>
      </w:r>
      <w:r w:rsidRPr="001A04ED">
        <w:rPr>
          <w:rFonts w:cs="Times New Roman"/>
        </w:rPr>
        <w:t xml:space="preserve">) </w:t>
      </w:r>
      <w:r w:rsidRPr="001A04ED">
        <w:rPr>
          <w:rFonts w:cs="Times New Roman"/>
        </w:rPr>
        <w:fldChar w:fldCharType="begin" w:fldLock="1"/>
      </w:r>
      <w:r w:rsidR="00273110" w:rsidRPr="001A04ED">
        <w:rPr>
          <w:rFonts w:cs="Times New Roman"/>
        </w:rPr>
        <w:instrText>ADDIN CSL_CITATION {"citationItems":[{"id":"ITEM-1","itemData":{"DOI":"10.1016/j.jobe.2023.106947","ISSN":"23527102","abstract":"Decarbonizing the residential buildings sector is important to realize a net-zero future. However, little research comprehensively explores how residential energy by end-uses, i.e., space heating, space cooling, water heating, and appliances, vary across different climate, building, and occupant characteristics. Therefore, based on Residential Energy Consumption Survey 2015, this study investigates how these energy end-uses correlated with different influential factors, i.e., climate, demographics, housing and appliance features. Recursively random forest regression and partial dependency plots were employed to analyze and quantify the impact of influencing factors on end-use energy usage. The developed models illustrate nonlinear and varying impacts of influential factors on different end-uses, with R-square from 0.481 (appliance) to 0.885 (space cooling). Specifically, housing size and climate are determinant factors of space heating/cooling, while family size and total appliance number determine water heating and appliance usage, respectively. Use frequency, size, and vintage of common appliances (e.g., refrigerator, laundry) affect appliance energy consumption. Furthermore, one-way ANOVA confirms the statistically significant differences in energy consumption across varying household income groups, i.e., households with higher incomes consume more energy. Houses with older vintages use more total energy, especially in space heating, while less in cooling due to lower penetration of air conditioners. Finally, the analysis proves that residential end-use electrification, mainly space heating and water heating, is beneficial for energy efficiency. The findings contribute to understanding influential factors on different end-uses in households, which from a holistic level informs the potential pathway for building decarbonization, especially targeting at specific end-uses or occupant groups.","author":[{"dropping-particle":"","family":"Kuang","given":"Biao","non-dropping-particle":"","parse-names":false,"suffix":""},{"dropping-particle":"","family":"Schelly","given":"Chelsea","non-dropping-particle":"","parse-names":false,"suffix":""},{"dropping-particle":"","family":"Ou","given":"Ge","non-dropping-particle":"","parse-names":false,"suffix":""},{"dropping-particle":"","family":"Sahraei-Ardakani","given":"Mostafa","non-dropping-particle":"","parse-names":false,"suffix":""},{"dropping-particle":"","family":"Tiwari","given":"Shardul","non-dropping-particle":"","parse-names":false,"suffix":""},{"dropping-particle":"","family":"Chen","given":"Jianli","non-dropping-particle":"","parse-names":false,"suffix":""}],"container-title":"Journal of Building Engineering","id":"ITEM-1","issue":"March","issued":{"date-parts":[["2023"]]},"page":"1-22","title":"Data-driven analysis of influential factors on residential energy end-use in the US","type":"article-journal","volume":"75"},"uris":["http://www.mendeley.com/documents/?uuid=e132cbe8-020c-47f5-be69-a11ed7d62b67"]},{"id":"ITEM-2","itemData":{"DOI":"10.1016/j.erss.2022.102715","ISSN":"22146296","abstract":"This paper illustrates the use of different machine learning techniques to estimate household energy demand. To demonstrate the performance of the techniques, we discuss how the different machine learning algorithms select a model or models of energy usage and we explore how well the models predict usage. Our study employs a high-dimensional dataset of housing, socioeconomic, and behavioral characteristics, provided by the U.S. Energy Information Administration's ongoing Residential Energy Consumption Survey. In addition to discussing the machine learning models, we estimate energy price elasticities, which are important indicators of how sensitive households are to changes in residential energy prices. Given the broad set of data in the survey, we compare and contrast various machine learning techniques to see which model provides the best overall fit to the data. We find that a random forest algorithm performs better than the other machine learning approaches, which include a step-wise Akaike Information Criterion, partial least squares, ordinary least squares, k-nearest neighbors, penalized regression, and gradient boosting methods. Finally, we discuss how machine learning can be used to inform residential energy policies and predict household energy consumption.","author":[{"dropping-particle":"","family":"Burnett","given":"J. Wesley","non-dropping-particle":"","parse-names":false,"suffix":""},{"dropping-particle":"","family":"Kiesling","given":"L. Lynne","non-dropping-particle":"","parse-names":false,"suffix":""}],"container-title":"Energy Research and Social Science","id":"ITEM-2","issue":"June","issued":{"date-parts":[["2022"]]},"page":"102715","publisher":"Elsevier Ltd","title":"How do machines predict energy use? Comparing machine learning approaches for modeling household energy demand in the United States","type":"article-journal","volume":"91"},"uris":["http://www.mendeley.com/documents/?uuid=1e074d27-1a72-43a9-95aa-f0db5240ee9c"]}],"mendeley":{"formattedCitation":"(Burnett &amp; Kiesling, 2022; Kuang et al., 2023b)","plainTextFormattedCitation":"(Burnett &amp; Kiesling, 2022; Kuang et al., 2023b)","previouslyFormattedCitation":"(Burnett &amp; Kiesling, 2022; Kuang et al., 2023b)"},"properties":{"noteIndex":0},"schema":"https://github.com/citation-style-language/schema/raw/master/csl-citation.json"}</w:instrText>
      </w:r>
      <w:r w:rsidRPr="001A04ED">
        <w:rPr>
          <w:rFonts w:cs="Times New Roman"/>
        </w:rPr>
        <w:fldChar w:fldCharType="separate"/>
      </w:r>
      <w:r w:rsidR="008C37C1" w:rsidRPr="001A04ED">
        <w:rPr>
          <w:rFonts w:cs="Times New Roman"/>
          <w:noProof/>
        </w:rPr>
        <w:t>(Burnett &amp; Kiesling, 2022; Kuang et al., 2023b)</w:t>
      </w:r>
      <w:r w:rsidRPr="001A04ED">
        <w:rPr>
          <w:rFonts w:cs="Times New Roman"/>
        </w:rPr>
        <w:fldChar w:fldCharType="end"/>
      </w:r>
      <w:r w:rsidRPr="001A04ED">
        <w:rPr>
          <w:rFonts w:cs="Times New Roman"/>
        </w:rPr>
        <w:t xml:space="preserve">, bottom-up simulation approaches </w:t>
      </w:r>
      <w:r w:rsidRPr="001A04ED">
        <w:rPr>
          <w:rFonts w:cs="Times New Roman"/>
        </w:rPr>
        <w:fldChar w:fldCharType="begin" w:fldLock="1"/>
      </w:r>
      <w:r w:rsidR="00273110" w:rsidRPr="001A04ED">
        <w:rPr>
          <w:rFonts w:cs="Times New Roman"/>
        </w:rPr>
        <w:instrText>ADDIN CSL_CITATION {"citationItems":[{"id":"ITEM-1","itemData":{"DOI":"10.1016/j.energy.2021.121810","ISSN":"03605442","abstract":"About two-thirds of Nepal's final energy is consumed by households. Traditional solid biomass constitutes most of the households' energy needs, and cooking is by far their most important energy-consuming activity. This paper analyzes household energy use patterns in Nepal through the year 2051 based on a bottom-up simulation accounting framework for seven provinces and the capital city, differentiated by rural and urban areas and seven end-uses. Six scenarios involving different growth paths for socio-economic and energy system development are considered. Unlike in developed economies, the study finds that country's household energy demand will continue to rise in the future, but it is heterogeneous across the provinces. With the government's recent SDG7 initiatives, electricity is expected to play a key role in the household's future energy mix, although biomass use will remain significant but in declining trends. The study also identifies priority provinces where additional action is needed to improve access to clean and affordable modern energy services. Assertive policy initiatives are needed beyond 2030 to pursue clean energy market establishments and end-use technological developments for the expected growth of household clean energy demand.","author":[{"dropping-particle":"","family":"Malla","given":"Sunil","non-dropping-particle":"","parse-names":false,"suffix":""}],"container-title":"Energy","id":"ITEM-1","issued":{"date-parts":[["2022"]]},"page":"121810","publisher":"Elsevier Ltd","title":"An outlook of end-use energy demand based on a clean energy and technology transformation of the household sector in Nepal","type":"article-journal","volume":"238"},"uris":["http://www.mendeley.com/documents/?uuid=e6d2b1bd-78d5-4fed-a72b-091a64faf747"]},{"id":"ITEM-2","itemData":{"DOI":"10.1016/j.apenergy.2021.117510","ISSN":"03062619","abstract":"Decarbonization scenarios for achieving net zero greenhouse gas emissions in the Japanese residential sector by 2050 were examined using a bottom-up simulation model of energy end-use demand. The examined scenarios involve the dissemination of currently available technology, including highly insulated houses, high-efficiency equipment, high-efficiency appliances, electrification, and building-integrated photovoltaics (PV) in detached houses. The results show that decarbonization can be mostly achieved by the studied scenarios, especially through the dissemination of highly insulated buildings and high-efficiency water heaters as well as the installation of PV for all detached houses. This scenario reduced the total primary energy demand by 61% in 2013. A land-use strategy for increased detached houses is preferable for increasing PV capacity. For the scenario that achieves net zero energy, the predicted heat load intensity and electricity consumption per capita are almost the same as those of the Low Energy Demand (LED) scenario. Increased dependence on PV will create an imbalance in the relationship between electricity supply and demand, and 26% of the residential energy demand would rely on non-battery energy storage, such as pumped hydropower and hydrogen, owing to the seasonal time gap between residual and deficit electricity.","author":[{"dropping-particle":"","family":"Shimoda","given":"Yoshiyuki","non-dropping-particle":"","parse-names":false,"suffix":""},{"dropping-particle":"","family":"Sugiyama","given":"Minami","non-dropping-particle":"","parse-names":false,"suffix":""},{"dropping-particle":"","family":"Nishimoto","given":"Ryuya","non-dropping-particle":"","parse-names":false,"suffix":""},{"dropping-particle":"","family":"Momonoki","given":"Takashi","non-dropping-particle":"","parse-names":false,"suffix":""}],"container-title":"Applied Energy","id":"ITEM-2","issued":{"date-parts":[["2021"]]},"page":"117510","publisher":"Elsevier Ltd","title":"Evaluating decarbonization scenarios and energy management requirement for the residential sector in Japan through bottom-up simulations of energy end-use demand in 2050","type":"article-journal","volume":"303"},"uris":["http://www.mendeley.com/documents/?uuid=022d1c17-e64c-4d9f-893a-7ed72e04f265"]}],"mendeley":{"formattedCitation":"(Malla, 2022; Shimoda et al., 2021)","plainTextFormattedCitation":"(Malla, 2022; Shimoda et al., 2021)","previouslyFormattedCitation":"(Malla, 2022; Shimoda et al., 2021)"},"properties":{"noteIndex":0},"schema":"https://github.com/citation-style-language/schema/raw/master/csl-citation.json"}</w:instrText>
      </w:r>
      <w:r w:rsidRPr="001A04ED">
        <w:rPr>
          <w:rFonts w:cs="Times New Roman"/>
        </w:rPr>
        <w:fldChar w:fldCharType="separate"/>
      </w:r>
      <w:r w:rsidR="008C37C1" w:rsidRPr="001A04ED">
        <w:rPr>
          <w:rFonts w:cs="Times New Roman"/>
          <w:noProof/>
        </w:rPr>
        <w:t>(Malla, 2022; Shimoda et al., 2021)</w:t>
      </w:r>
      <w:r w:rsidRPr="001A04ED">
        <w:rPr>
          <w:rFonts w:cs="Times New Roman"/>
        </w:rPr>
        <w:fldChar w:fldCharType="end"/>
      </w:r>
      <w:r w:rsidRPr="001A04ED">
        <w:rPr>
          <w:rFonts w:cs="Times New Roman"/>
        </w:rPr>
        <w:t xml:space="preserve">, engineering methodologies (such as Intergovernmental Panel on Climate Change (IPCC) method for carbon emission and </w:t>
      </w:r>
      <w:r w:rsidR="00615E9D" w:rsidRPr="001A04ED">
        <w:rPr>
          <w:rFonts w:cs="Times New Roman"/>
        </w:rPr>
        <w:t xml:space="preserve">Australian Zero Emissions House </w:t>
      </w:r>
      <w:r w:rsidRPr="001A04ED">
        <w:rPr>
          <w:rFonts w:cs="Times New Roman"/>
        </w:rPr>
        <w:t xml:space="preserve">design tool </w:t>
      </w:r>
      <w:r w:rsidRPr="001A04ED">
        <w:rPr>
          <w:rFonts w:cs="Times New Roman"/>
        </w:rPr>
        <w:fldChar w:fldCharType="begin" w:fldLock="1"/>
      </w:r>
      <w:r w:rsidR="00273110" w:rsidRPr="001A04ED">
        <w:rPr>
          <w:rFonts w:cs="Times New Roman"/>
        </w:rPr>
        <w:instrText>ADDIN CSL_CITATION {"citationItems":[{"id":"ITEM-1","itemData":{"DOI":"10.1080/2093761X.2013.801801","ISSN":"20937628","abstract":"A new tool for predicting the total energy consumption and associated greenhouse gas (GHG) emissions of Australian households is developed by integrating the thermal efficiency of the building envelope, installed equipment and appliances, and different occupancy profiles with energy end-use modules for space heating, space cooling, water heating, lighting, and plug-in appliances. Space heating and cooling energy consumption are simulated by an enhanced version of a house energy rating tool - AccuRate, modified to account for specific heating, ventilation and air-conditioning (HVAC) system efficiency and occupancy profile. Individual modules for hot water, lighting and appliances are developed, calibrated and assessed against available published end-use data in Australia and New Zealand. The tool's integrated capability to predict the annual energy consumption of a tenant-occupied house in Melbourne is validated with actual data measured over a 12-month period. © 2013 Copyright Taylor and Francis Group, LLC.","author":[{"dropping-particle":"","family":"Ren","given":"Zhengen","non-dropping-particle":"","parse-names":false,"suffix":""},{"dropping-particle":"","family":"Foliente","given":"Greg","non-dropping-particle":"","parse-names":false,"suffix":""},{"dropping-particle":"","family":"Chan","given":"Wan Yee","non-dropping-particle":"","parse-names":false,"suffix":""},{"dropping-particle":"","family":"Chen","given":"Dong","non-dropping-particle":"","parse-names":false,"suffix":""},{"dropping-particle":"","family":"Ambrose","given":"Michael","non-dropping-particle":"","parse-names":false,"suffix":""},{"dropping-particle":"","family":"Paevere","given":"Phillip","non-dropping-particle":"","parse-names":false,"suffix":""}],"container-title":"International Journal of Sustainable Building Technology and Urban Development","id":"ITEM-1","issue":"3","issued":{"date-parts":[["2013"]]},"page":"210-228","title":"A model for predicting household end-use energy consumption and greenhouse gas emissions in Australia","type":"article-journal","volume":"4"},"uris":["http://www.mendeley.com/documents/?uuid=a3454a0d-a0be-4ae6-8568-9c6e08f0f9e0"]},{"id":"ITEM-2","itemData":{"DOI":"10.1016/j.enbuild.2015.03.026","ISSN":"03787788","abstract":"Abstract Residential sector is one of the greatest contributors to national CO2 emissions in China, contributing towards 10.3% in 2012. With rapid urbanization and development in the future, it will inevitably keep increasing, thus it is of great importance to study the characteristics of residential carbon emissions. This paper investigates the carbon emission evolutions during 1996-2012 in urban and rural residential sector, from an end-use perspective. Especially, comprehensive emission factors of electricity and heat in terms of time-series are taken into consideration, and five end-use activities are analyzed. The key findings are: in urban areas, carbon emissions from private transportations grew the fastest and it still has great growth potential in the medium and short term; carbon emissions from space heating and cooling; and cooking and water heating accounted for the largest, with about 40% and 30%, respectively. The growth rates of these are also fast, therefore controls to maintain high standards for degree of comfort are needed. In rural areas, carbon emissions from private transportations also grew fast, even higher than that of urban residents, so it should develop rural public transportation; the rapid growth of carbon emissions from home appliances and lighting reflected the improvement of living conditions and modernization; carbon emissions from space heating and cooling accounted for the largest proportion and has great potential in the future.","author":[{"dropping-particle":"","family":"Fan","given":"Jing Li","non-dropping-particle":"","parse-names":false,"suffix":""},{"dropping-particle":"","family":"Yu","given":"Hao","non-dropping-particle":"","parse-names":false,"suffix":""},{"dropping-particle":"","family":"Wei","given":"Yi Ming","non-dropping-particle":"","parse-names":false,"suffix":""}],"container-title":"Energy and Buildings","id":"ITEM-2","issued":{"date-parts":[["2015"]]},"page":"201-209","publisher":"Elsevier B.V.","title":"Residential energy-related carbon emissions in urban and rural China during 1996-2012: From the perspective of five end-use activities","type":"article-journal","volume":"96"},"uris":["http://www.mendeley.com/documents/?uuid=a5dac30d-900f-4c78-8e88-1091689407d3"]}],"mendeley":{"formattedCitation":"(Fan et al., 2015; Ren et al., 2013)","plainTextFormattedCitation":"(Fan et al., 2015; Ren et al., 2013)","previouslyFormattedCitation":"(Fan et al., 2015; Ren et al., 2013)"},"properties":{"noteIndex":0},"schema":"https://github.com/citation-style-language/schema/raw/master/csl-citation.json"}</w:instrText>
      </w:r>
      <w:r w:rsidRPr="001A04ED">
        <w:rPr>
          <w:rFonts w:cs="Times New Roman"/>
        </w:rPr>
        <w:fldChar w:fldCharType="separate"/>
      </w:r>
      <w:r w:rsidR="008C37C1" w:rsidRPr="001A04ED">
        <w:rPr>
          <w:rFonts w:cs="Times New Roman"/>
          <w:noProof/>
        </w:rPr>
        <w:t>(Fan et al., 2015; Ren et al., 2013)</w:t>
      </w:r>
      <w:r w:rsidRPr="001A04ED">
        <w:rPr>
          <w:rFonts w:cs="Times New Roman"/>
        </w:rPr>
        <w:fldChar w:fldCharType="end"/>
      </w:r>
      <w:r w:rsidRPr="001A04ED">
        <w:rPr>
          <w:rFonts w:cs="Times New Roman"/>
        </w:rPr>
        <w:t xml:space="preserve"> and advanced econometric frameworks (such as Multiple Discrete Continuous Extreme Value (MDCEV) model and mixed </w:t>
      </w:r>
      <w:r w:rsidR="00CE0A73" w:rsidRPr="001A04ED">
        <w:rPr>
          <w:rFonts w:cs="Times New Roman"/>
        </w:rPr>
        <w:t>m</w:t>
      </w:r>
      <w:r w:rsidR="00D827A9" w:rsidRPr="001A04ED">
        <w:rPr>
          <w:rFonts w:cs="Times New Roman"/>
        </w:rPr>
        <w:t>ultinomial logit</w:t>
      </w:r>
      <w:r w:rsidRPr="001A04ED">
        <w:rPr>
          <w:rFonts w:cs="Times New Roman"/>
        </w:rPr>
        <w:t xml:space="preserve">-MDCEV model) </w:t>
      </w:r>
      <w:r w:rsidRPr="001A04ED">
        <w:rPr>
          <w:rFonts w:cs="Times New Roman"/>
        </w:rPr>
        <w:fldChar w:fldCharType="begin" w:fldLock="1"/>
      </w:r>
      <w:r w:rsidR="00273110" w:rsidRPr="001A04ED">
        <w:rPr>
          <w:rFonts w:cs="Times New Roman"/>
        </w:rPr>
        <w:instrText>ADDIN CSL_CITATION {"citationItems":[{"id":"ITEM-1","itemData":{"DOI":"10.1016/j.trd.2015.07.001","ISSN":"13619209","abstract":"Household decisions on the energy consumption behavior are with regard to the situations that multiple end-uses (e.g., domestic appliances and vehicles) are simultaneously hold and consumed. To deal with this issue, the multiple discrete-continuous models are the best choices from the behavioral perspective. This study compared two types of utility theory-based multiple discrete-continuous models, which are widely applied in the literature: multiple discrete-continuous extreme value (MDCEV) model and the improved resource allocation model based on the multi-linear function (RAM-MLF). A household energy consumption survey was carried out in Beijing in 2010, and the comparative analysis on the performance of these two models is carried out based on the survey data. Results show that the overall performance of RAM-MLF is slightly superior to the MDCEV model due to the incorporation of the inter-end-use interaction and the relative importance of end uses. Moreover, the utility structure by using the satiation parameters to represent the diminishing marginal utility with the increasing consumption shows better fitness than the structure only using the logarithmic function. These findings can be contributed to understand the household energy consumption behavior, while suggest the potential improvement of the model structure, which is mainly focused on the utility form and the decision making mechanism.","author":[{"dropping-particle":"","family":"Yu","given":"Biying","non-dropping-particle":"","parse-names":false,"suffix":""},{"dropping-particle":"","family":"Zhang","given":"Junyi","non-dropping-particle":"","parse-names":false,"suffix":""}],"container-title":"Transportation Research Part D: Transport and Environment","id":"ITEM-1","issued":{"date-parts":[["2015"]]},"page":"126-140","publisher":"Elsevier Ltd","title":"Modeling household energy consumption behavior: A comparative analysis","type":"article-journal","volume":"39"},"uris":["http://www.mendeley.com/documents/?uuid=aad0dcd5-52e4-4dc3-8576-2d538ae8dac9"]},{"id":"ITEM-2","itemData":{"ISBN":"9784431543787","author":[{"dropping-particle":"","family":"Yu","given":"Biying","non-dropping-particle":"","parse-names":false,"suffix":""},{"dropping-particle":"","family":"Zhang","given":"Junyi","non-dropping-particle":"","parse-names":false,"suffix":""},{"dropping-particle":"","family":"Fujiwara","given":"Akimasa","non-dropping-particle":"","parse-names":false,"suffix":""}],"chapter-number":"9","container-title":"Sustainable Transport Studies in Asia","editor":[{"dropping-particle":"","family":"Fujiwara","given":"Akimasa","non-dropping-particle":"","parse-names":false,"suffix":""},{"dropping-particle":"","family":"Zhang","given":"Junyi","non-dropping-particle":"","parse-names":false,"suffix":""}],"id":"ITEM-2","issued":{"date-parts":[["2013"]]},"page":"211-236","publisher":"Springer","title":"Integrated Analysis of Household Energy Consumption Behavior Across the Residential and Transport Sectors","type":"chapter"},"uris":["http://www.mendeley.com/documents/?uuid=a904cf12-7b33-4a3f-8280-fff2f65b5d22"]}],"mendeley":{"formattedCitation":"(Yu et al., 2013; Yu &amp; Zhang, 2015)","plainTextFormattedCitation":"(Yu et al., 2013; Yu &amp; Zhang, 2015)","previouslyFormattedCitation":"(Yu et al., 2013; Yu &amp; Zhang, 2015)"},"properties":{"noteIndex":0},"schema":"https://github.com/citation-style-language/schema/raw/master/csl-citation.json"}</w:instrText>
      </w:r>
      <w:r w:rsidRPr="001A04ED">
        <w:rPr>
          <w:rFonts w:cs="Times New Roman"/>
        </w:rPr>
        <w:fldChar w:fldCharType="separate"/>
      </w:r>
      <w:r w:rsidR="008C37C1" w:rsidRPr="001A04ED">
        <w:rPr>
          <w:rFonts w:cs="Times New Roman"/>
          <w:noProof/>
        </w:rPr>
        <w:t>(Yu et al., 2013; Yu &amp; Zhang, 2015)</w:t>
      </w:r>
      <w:r w:rsidRPr="001A04ED">
        <w:rPr>
          <w:rFonts w:cs="Times New Roman"/>
        </w:rPr>
        <w:fldChar w:fldCharType="end"/>
      </w:r>
      <w:r w:rsidRPr="001A04ED">
        <w:rPr>
          <w:rFonts w:cs="Times New Roman"/>
        </w:rPr>
        <w:t>.</w:t>
      </w:r>
      <w:r w:rsidR="00E1494B" w:rsidRPr="001A04ED">
        <w:rPr>
          <w:rFonts w:cs="Times New Roman"/>
        </w:rPr>
        <w:t xml:space="preserve"> </w:t>
      </w:r>
      <w:r w:rsidR="00DC0326" w:rsidRPr="001A04ED">
        <w:rPr>
          <w:rFonts w:cs="Times New Roman"/>
        </w:rPr>
        <w:t xml:space="preserve">Across most of these approaches, energy demand by end-use is modeled separately by end-use. Thus, these approaches ignore that the different end-use energy demands arise from the same household. The MDCEV model provides an elegant framework in studying choice scenarios where multiple alternatives are selected. Examples of such choice scenarios include purchasing different types of vehicles in a household </w:t>
      </w:r>
      <w:r w:rsidR="00DC0326" w:rsidRPr="001A04ED">
        <w:rPr>
          <w:rFonts w:cs="Times New Roman"/>
        </w:rPr>
        <w:fldChar w:fldCharType="begin" w:fldLock="1"/>
      </w:r>
      <w:r w:rsidR="00DC0326" w:rsidRPr="001A04ED">
        <w:rPr>
          <w:rFonts w:cs="Times New Roman"/>
        </w:rPr>
        <w:instrText>ADDIN CSL_CITATION {"citationItems":[{"id":"ITEM-1","itemData":{"DOI":"10.1016/j.trb.2005.01.003","ISSN":"01912615","abstract":"The increasing diversity of vehicle type holdings and the growing usage of vehicles by households have serious policy implications for traffic congestion and air pollution. Consequently, it is important to accurately predict the vehicle holdings of households as well as the vehicle miles of travel by vehicle type to project future traffic congestion and mobile source emission levels. In this paper, we apply a multiple discrete-continuous extreme value model to analyze the holdings and use of multiple vehicle types by households. Data for the analysis is drawn from a 2000 San Francisco Bay Area survey. The model results indicate the important effects of household demographics, residence location variables and vehicle attributes on vehicle type holdings and use. The model developed in the paper can be applied to predict the impact of demographic, land use, and operating cost changes on vehicle type holdings and usage. Such predictions are important at a time when the household demographic characteristics are changing rapidly in the United States. The predictions can also inform the design of proactive land-use, economic, and transportation policies to influence household vehicle holdings and usage in a way that reduces traffic congestion and air quality problems. © 2005 Elsevier Ltd. All rights reserved.","author":[{"dropping-particle":"","family":"Bhat","given":"Chandra R.","non-dropping-particle":"","parse-names":false,"suffix":""},{"dropping-particle":"","family":"Sen","given":"Sudeshna","non-dropping-particle":"","parse-names":false,"suffix":""}],"container-title":"Transportation Research Part B: Methodological","id":"ITEM-1","issue":"1","issued":{"date-parts":[["2006"]]},"page":"35-53","title":"Household vehicle type holdings and usage: An application of the multiple discrete-continuous extreme value (MDCEV) model","type":"article-journal","volume":"40"},"uris":["http://www.mendeley.com/documents/?uuid=2f776d2b-89f1-4074-a28f-79e893287482"]}],"mendeley":{"formattedCitation":"(Bhat &amp; Sen, 2006)","plainTextFormattedCitation":"(Bhat &amp; Sen, 2006)","previouslyFormattedCitation":"(Bhat &amp; Sen, 2006)"},"properties":{"noteIndex":0},"schema":"https://github.com/citation-style-language/schema/raw/master/csl-citation.json"}</w:instrText>
      </w:r>
      <w:r w:rsidR="00DC0326" w:rsidRPr="001A04ED">
        <w:rPr>
          <w:rFonts w:cs="Times New Roman"/>
        </w:rPr>
        <w:fldChar w:fldCharType="separate"/>
      </w:r>
      <w:r w:rsidR="00DC0326" w:rsidRPr="001A04ED">
        <w:rPr>
          <w:rFonts w:cs="Times New Roman"/>
          <w:noProof/>
        </w:rPr>
        <w:t>(Bhat &amp; Sen, 2006)</w:t>
      </w:r>
      <w:r w:rsidR="00DC0326" w:rsidRPr="001A04ED">
        <w:rPr>
          <w:rFonts w:cs="Times New Roman"/>
        </w:rPr>
        <w:fldChar w:fldCharType="end"/>
      </w:r>
      <w:r w:rsidR="00DC0326" w:rsidRPr="001A04ED">
        <w:rPr>
          <w:rFonts w:cs="Times New Roman"/>
        </w:rPr>
        <w:t xml:space="preserve">, activity participation in a day </w:t>
      </w:r>
      <w:r w:rsidR="00DC0326" w:rsidRPr="001A04ED">
        <w:rPr>
          <w:rFonts w:cs="Times New Roman"/>
        </w:rPr>
        <w:fldChar w:fldCharType="begin" w:fldLock="1"/>
      </w:r>
      <w:r w:rsidR="00DC0326" w:rsidRPr="001A04ED">
        <w:rPr>
          <w:rFonts w:cs="Times New Roman"/>
        </w:rPr>
        <w:instrText>ADDIN CSL_CITATION {"citationItems":[{"id":"ITEM-1","itemData":{"DOI":"10.1016/j.trb.2004.08.003","ISSN":"01912615","abstract":"Several consumer demand choices are characterized by the choice of multiple alternatives simultaneously. An example of such a choice situation in activity-travel analysis is the type of discretionary (or leisure) activity to participate in and the duration of time investment of the participation. In this context, within a given temporal period (say a day or a week), an individual may decide to participate in multiple types of activities (for example, in-home social activities, out-of-home social activities, in-home recreational activities, out-of-home recreational activities, and out-of-home non-maintenance shopping activities). In this paper, we derive and formulate a utility theory-based model for discrete/continuous choice that assumes diminishing marginal utility as the level of consumption of any particular alternative increases (i.e., satiation). This assumption yields a multiple discreteness model (i.e., choice of multiple alternatives can occur simultaneously). This is in contrast to the standard discrete choice model that is based on assuming the absence of any diminishing marginal utility as the level of consumption of any alternative increases (i.e., no satiation), leading to the case of strictly single discreteness. The econometric model formulated here, which we refer to as the multiple discrete-continuous extreme value (MDCEV) model, has a surprisingly simple and elegant closed form expression for the discrete-continuous probability of not consuming certain alternatives and consuming given levels of the remaining alternatives. To our knowledge, we are the first to develop such a simple and powerful closed-form model for multiple discreteness in the literature. This formulation should constitute an important milestone in the area of multiple discreteness, just as the multinomial logit (MNL) represented an important milestone in the area of single discreteness. Further, the MDCEV model formulated here has the appealing property that it collapses to the familiar multinomial logit (MNL) choice model in the case of single discreteness. Finally, heteroscedasticity and/or correlation in unobserved characteristics affecting the demand of different alternatives can be easily incorporated within the MDCEV model framework using a mixing approach. The MDCEV model and its mixed variant are applied to analyze time-use allocation decisions among a variety of discretionary activities on weekends using data from the 2000 San Francisco Bay Area survey. © 20…","author":[{"dropping-particle":"","family":"Bhat","given":"Chandra R.","non-dropping-particle":"","parse-names":false,"suffix":""}],"container-title":"Transportation Research Part B: Methodological","id":"ITEM-1","issue":"8","issued":{"date-parts":[["2005"]]},"page":"679-707","title":"A multiple discrete-continuous extreme value model: Formulation and application to discretionary time-use decisions","type":"article-journal","volume":"39"},"uris":["http://www.mendeley.com/documents/?uuid=b1a0ffde-e0de-4627-bb22-7bc9da12bb1b"]}],"mendeley":{"formattedCitation":"(Bhat, 2005)","plainTextFormattedCitation":"(Bhat, 2005)","previouslyFormattedCitation":"(Bhat, 2005)"},"properties":{"noteIndex":0},"schema":"https://github.com/citation-style-language/schema/raw/master/csl-citation.json"}</w:instrText>
      </w:r>
      <w:r w:rsidR="00DC0326" w:rsidRPr="001A04ED">
        <w:rPr>
          <w:rFonts w:cs="Times New Roman"/>
        </w:rPr>
        <w:fldChar w:fldCharType="separate"/>
      </w:r>
      <w:r w:rsidR="00DC0326" w:rsidRPr="001A04ED">
        <w:rPr>
          <w:rFonts w:cs="Times New Roman"/>
          <w:noProof/>
        </w:rPr>
        <w:t>(Bhat, 2005)</w:t>
      </w:r>
      <w:r w:rsidR="00DC0326" w:rsidRPr="001A04ED">
        <w:rPr>
          <w:rFonts w:cs="Times New Roman"/>
        </w:rPr>
        <w:fldChar w:fldCharType="end"/>
      </w:r>
      <w:r w:rsidR="00DC0326" w:rsidRPr="001A04ED">
        <w:rPr>
          <w:rFonts w:cs="Times New Roman"/>
        </w:rPr>
        <w:t xml:space="preserve">, and energy consumption by energy source </w:t>
      </w:r>
      <w:r w:rsidR="00DC0326" w:rsidRPr="001A04ED">
        <w:rPr>
          <w:rFonts w:cs="Times New Roman"/>
        </w:rPr>
        <w:fldChar w:fldCharType="begin" w:fldLock="1"/>
      </w:r>
      <w:r w:rsidR="00DC0326" w:rsidRPr="001A04ED">
        <w:rPr>
          <w:rFonts w:cs="Times New Roman"/>
        </w:rPr>
        <w:instrText>ADDIN CSL_CITATION {"citationItems":[{"id":"ITEM-1","itemData":{"DOI":"10.1016/j.enbuild.2021.110934","ISSN":"03787788","abstract":"Residential energy use has become an important source of global energy demand growth and carbon emissions growth. Residential building energy usage accounts for about 22% of the total energy use in the United States. In the current study, we address residential energy usage by addressing two decisions: (1) source of energy (such as electric and natural gas) and (2) consumption by energy source for various purposes. A Multiple Discrete Continuous Extreme Value model that allows us to analyze the source and consumption decisions in an integrated framework is developed. The model is estimated using data drawn from the 2015 Residential Energy Consumption Survey that provides energy use details for electricity, natural gas, fuel oil and Liquefied Petroleum Gas for residential units across United States. An exhaustive set of independent variables including location characteristics, household characteristics, housing characteristics, appliance use and climatic characteristics were employed in the model estimation. The model estimation results are augmented with a comprehensive policy analysis to illustrate how various independent variables affect energy use by source. A comparison of energy use between urban and rural regions, by varying household size and housing unit size are examined.","author":[{"dropping-particle":"","family":"Iraganaboina","given":"Naveen Chandra","non-dropping-particle":"","parse-names":false,"suffix":""},{"dropping-particle":"","family":"Eluru","given":"Naveen","non-dropping-particle":"","parse-names":false,"suffix":""}],"container-title":"Energy and Buildings","id":"ITEM-1","issued":{"date-parts":[["2021"]]},"page":"110934","publisher":"Elsevier B.V.","title":"An examination of factors affecting residential energy consumption using a multiple discrete continuous approach","type":"article-journal","volume":"240"},"uris":["http://www.mendeley.com/documents/?uuid=1a2aff66-8503-405f-b73a-853c17c0feb4"]}],"mendeley":{"formattedCitation":"(Iraganaboina &amp; Eluru, 2021)","plainTextFormattedCitation":"(Iraganaboina &amp; Eluru, 2021)","previouslyFormattedCitation":"(Iraganaboina &amp; Eluru, 2021)"},"properties":{"noteIndex":0},"schema":"https://github.com/citation-style-language/schema/raw/master/csl-citation.json"}</w:instrText>
      </w:r>
      <w:r w:rsidR="00DC0326" w:rsidRPr="001A04ED">
        <w:rPr>
          <w:rFonts w:cs="Times New Roman"/>
        </w:rPr>
        <w:fldChar w:fldCharType="separate"/>
      </w:r>
      <w:r w:rsidR="00DC0326" w:rsidRPr="001A04ED">
        <w:rPr>
          <w:rFonts w:cs="Times New Roman"/>
          <w:noProof/>
        </w:rPr>
        <w:t>(Iraganaboina &amp; Eluru, 2021)</w:t>
      </w:r>
      <w:r w:rsidR="00DC0326" w:rsidRPr="001A04ED">
        <w:rPr>
          <w:rFonts w:cs="Times New Roman"/>
        </w:rPr>
        <w:fldChar w:fldCharType="end"/>
      </w:r>
      <w:r w:rsidR="00DC0326" w:rsidRPr="001A04ED">
        <w:rPr>
          <w:rFonts w:cs="Times New Roman"/>
        </w:rPr>
        <w:t>. The MDCEV approach, employed in this study, recognizes overall energy allocation across end-uses (such as space cooling, lighting, cooking and water heating) as a single behavioral process allowing for substitution and complementarity effects across end-use alternatives.</w:t>
      </w:r>
      <w:r w:rsidR="00DC0326" w:rsidRPr="001A04ED">
        <w:rPr>
          <w:rFonts w:cs="Times New Roman"/>
          <w:i/>
          <w:iCs/>
        </w:rPr>
        <w:t xml:space="preserve"> </w:t>
      </w:r>
    </w:p>
    <w:p w14:paraId="4BC8659F" w14:textId="4D1C97C6" w:rsidR="00CC64F6" w:rsidRPr="001A04ED" w:rsidRDefault="008D6439" w:rsidP="00D92C7F">
      <w:pPr>
        <w:rPr>
          <w:rFonts w:cs="Times New Roman"/>
        </w:rPr>
      </w:pPr>
      <w:r w:rsidRPr="001A04ED">
        <w:t>These studies</w:t>
      </w:r>
      <w:r w:rsidR="00C4151F" w:rsidRPr="001A04ED">
        <w:t xml:space="preserve"> </w:t>
      </w:r>
      <w:r w:rsidR="006D2065" w:rsidRPr="001A04ED">
        <w:t>reveal</w:t>
      </w:r>
      <w:r w:rsidR="00FD6C16" w:rsidRPr="001A04ED">
        <w:t xml:space="preserve"> </w:t>
      </w:r>
      <w:r w:rsidR="00CD0AA9" w:rsidRPr="001A04ED">
        <w:t>several</w:t>
      </w:r>
      <w:r w:rsidR="0087385B" w:rsidRPr="001A04ED">
        <w:t xml:space="preserve"> </w:t>
      </w:r>
      <w:r w:rsidRPr="001A04ED">
        <w:t>important determinants of energy demand includ</w:t>
      </w:r>
      <w:r w:rsidR="00BE7E80" w:rsidRPr="001A04ED">
        <w:t xml:space="preserve">ing </w:t>
      </w:r>
      <w:r w:rsidR="005F5711" w:rsidRPr="001A04ED">
        <w:t>– (a)</w:t>
      </w:r>
      <w:r w:rsidR="0087385B" w:rsidRPr="001A04ED">
        <w:t xml:space="preserve"> </w:t>
      </w:r>
      <w:r w:rsidR="006D2065" w:rsidRPr="001A04ED">
        <w:t xml:space="preserve">household </w:t>
      </w:r>
      <w:r w:rsidR="0087385B" w:rsidRPr="001A04ED">
        <w:t xml:space="preserve">sociodemographic attributes, </w:t>
      </w:r>
      <w:r w:rsidR="005F5711" w:rsidRPr="001A04ED">
        <w:t xml:space="preserve">(b) </w:t>
      </w:r>
      <w:r w:rsidR="0087385B" w:rsidRPr="001A04ED">
        <w:t xml:space="preserve">dwelling attributes, </w:t>
      </w:r>
      <w:r w:rsidR="005F5711" w:rsidRPr="001A04ED">
        <w:t xml:space="preserve">(c) </w:t>
      </w:r>
      <w:r w:rsidR="0087385B" w:rsidRPr="001A04ED">
        <w:t>household appliance-use related attributes</w:t>
      </w:r>
      <w:r w:rsidR="00B55D79" w:rsidRPr="001A04ED">
        <w:t xml:space="preserve"> </w:t>
      </w:r>
      <w:r w:rsidR="0087385B" w:rsidRPr="001A04ED">
        <w:t xml:space="preserve">and </w:t>
      </w:r>
      <w:r w:rsidR="00232790" w:rsidRPr="001A04ED">
        <w:t xml:space="preserve">(d) </w:t>
      </w:r>
      <w:r w:rsidR="0087385B" w:rsidRPr="001A04ED">
        <w:t xml:space="preserve">climate related </w:t>
      </w:r>
      <w:r w:rsidR="00943377" w:rsidRPr="001A04ED">
        <w:t>attributes.</w:t>
      </w:r>
      <w:r w:rsidR="00270E54" w:rsidRPr="001A04ED">
        <w:t xml:space="preserve"> </w:t>
      </w:r>
      <w:r w:rsidR="00270E54" w:rsidRPr="001A04ED">
        <w:rPr>
          <w:rFonts w:cs="Times New Roman"/>
        </w:rPr>
        <w:t xml:space="preserve">Sociodemographic attributes such as household size, income, and location (urban vs. rural) significantly influence energy consumption patterns across different end-uses </w:t>
      </w:r>
      <w:r w:rsidR="00270E54" w:rsidRPr="001A04ED">
        <w:rPr>
          <w:rFonts w:cs="Times New Roman"/>
        </w:rPr>
        <w:fldChar w:fldCharType="begin" w:fldLock="1"/>
      </w:r>
      <w:r w:rsidR="00270E54" w:rsidRPr="001A04ED">
        <w:rPr>
          <w:rFonts w:cs="Times New Roman"/>
        </w:rPr>
        <w:instrText>ADDIN CSL_CITATION {"citationItems":[{"id":"ITEM-1","itemData":{"DOI":"10.1016/j.energy.2021.121810","ISSN":"03605442","abstract":"About two-thirds of Nepal's final energy is consumed by households. Traditional solid biomass constitutes most of the households' energy needs, and cooking is by far their most important energy-consuming activity. This paper analyzes household energy use patterns in Nepal through the year 2051 based on a bottom-up simulation accounting framework for seven provinces and the capital city, differentiated by rural and urban areas and seven end-uses. Six scenarios involving different growth paths for socio-economic and energy system development are considered. Unlike in developed economies, the study finds that country's household energy demand will continue to rise in the future, but it is heterogeneous across the provinces. With the government's recent SDG7 initiatives, electricity is expected to play a key role in the household's future energy mix, although biomass use will remain significant but in declining trends. The study also identifies priority provinces where additional action is needed to improve access to clean and affordable modern energy services. Assertive policy initiatives are needed beyond 2030 to pursue clean energy market establishments and end-use technological developments for the expected growth of household clean energy demand.","author":[{"dropping-particle":"","family":"Malla","given":"Sunil","non-dropping-particle":"","parse-names":false,"suffix":""}],"container-title":"Energy","id":"ITEM-1","issued":{"date-parts":[["2022"]]},"page":"121810","publisher":"Elsevier Ltd","title":"An outlook of end-use energy demand based on a clean energy and technology transformation of the household sector in Nepal","type":"article-journal","volume":"238"},"uris":["http://www.mendeley.com/documents/?uuid=e6d2b1bd-78d5-4fed-a72b-091a64faf747"]}],"mendeley":{"formattedCitation":"(Malla, 2022)","plainTextFormattedCitation":"(Malla, 2022)","previouslyFormattedCitation":"(Malla, 2022)"},"properties":{"noteIndex":0},"schema":"https://github.com/citation-style-language/schema/raw/master/csl-citation.json"}</w:instrText>
      </w:r>
      <w:r w:rsidR="00270E54" w:rsidRPr="001A04ED">
        <w:rPr>
          <w:rFonts w:cs="Times New Roman"/>
        </w:rPr>
        <w:fldChar w:fldCharType="separate"/>
      </w:r>
      <w:r w:rsidR="00270E54" w:rsidRPr="001A04ED">
        <w:rPr>
          <w:rFonts w:cs="Times New Roman"/>
          <w:noProof/>
        </w:rPr>
        <w:t>(Malla, 2022)</w:t>
      </w:r>
      <w:r w:rsidR="00270E54" w:rsidRPr="001A04ED">
        <w:rPr>
          <w:rFonts w:cs="Times New Roman"/>
        </w:rPr>
        <w:fldChar w:fldCharType="end"/>
      </w:r>
      <w:r w:rsidR="00270E54" w:rsidRPr="001A04ED">
        <w:rPr>
          <w:rFonts w:cs="Times New Roman"/>
        </w:rPr>
        <w:t xml:space="preserve">. Larger households often consume more energy due to increased usage of appliances for heating, cooling, and other purposes </w:t>
      </w:r>
      <w:r w:rsidR="00270E54" w:rsidRPr="001A04ED">
        <w:rPr>
          <w:rFonts w:cs="Times New Roman"/>
        </w:rPr>
        <w:fldChar w:fldCharType="begin" w:fldLock="1"/>
      </w:r>
      <w:r w:rsidR="00270E54" w:rsidRPr="001A04ED">
        <w:rPr>
          <w:rFonts w:cs="Times New Roman"/>
        </w:rPr>
        <w:instrText>ADDIN CSL_CITATION {"citationItems":[{"id":"ITEM-1","itemData":{"DOI":"https://doi.org/10.1038/s41560-019-0512-1","author":[{"dropping-particle":"","family":"Ellsworth-Krebs","given":"Katherine","non-dropping-particle":"","parse-names":false,"suffix":""}],"container-title":"Nature Energy","id":"ITEM-1","issued":{"date-parts":[["2020"]]},"page":"20-25","title":"Implications of declining household sizes and expectations of home comfort for domestic energy demand","type":"article-journal","volume":"5"},"uris":["http://www.mendeley.com/documents/?uuid=d3d06138-dabe-4afb-8a28-857bfdc66b1f"]},{"id":"ITEM-2","itemData":{"DOI":"10.1016/j.energy.2019.06.048","ISSN":"03605442","abstract":"For a developing country with a large rural population, to understand the rural households' energy consumption characteristic and energy consumption determinants for further public policy design is of increasing importance. Therefore, this paper provides a detailed analysis of the characteristics of rural households’ energy consumption. Simultaneously, based on the data of 1472 rural households from the Chinese General Social Survey of 2015, the energy consumption determinants of rural households are estimated by Tobit model. Results reveal that rural households with a healthy and old household head reduce the share of coal consumption, and household labors with an off-farm job and high level of education, and a large household size increase the share of LPG and electricity consumption. The good economic condition of rural households contributes to the reduction of biomass consumption. Given the results, the government should work for poverty reduction, subsidies for modern equipment purchase, policies of effective and renewable energy technologies, and educational investment in rural areas, which may help for a positive transition in energy consumption for rural households.","author":[{"dropping-particle":"","family":"Zou","given":"Baoling","non-dropping-particle":"","parse-names":false,"suffix":""},{"dropping-particle":"","family":"Luo","given":"Biliang","non-dropping-particle":"","parse-names":false,"suffix":""}],"container-title":"Energy","id":"ITEM-2","issued":{"date-parts":[["2019"]]},"page":"814-823","publisher":"Elsevier Ltd","title":"Rural household energy consumption characteristics and determinants in China","type":"article-journal","volume":"182"},"uris":["http://www.mendeley.com/documents/?uuid=ad20e8a8-2c15-4fc9-96aa-86401d3747a4"]}],"mendeley":{"formattedCitation":"(Ellsworth-Krebs, 2020; Zou &amp; Luo, 2019)","plainTextFormattedCitation":"(Ellsworth-Krebs, 2020; Zou &amp; Luo, 2019)","previouslyFormattedCitation":"(Ellsworth-Krebs, 2020; Zou &amp; Luo, 2019)"},"properties":{"noteIndex":0},"schema":"https://github.com/citation-style-language/schema/raw/master/csl-citation.json"}</w:instrText>
      </w:r>
      <w:r w:rsidR="00270E54" w:rsidRPr="001A04ED">
        <w:rPr>
          <w:rFonts w:cs="Times New Roman"/>
        </w:rPr>
        <w:fldChar w:fldCharType="separate"/>
      </w:r>
      <w:r w:rsidR="00270E54" w:rsidRPr="001A04ED">
        <w:rPr>
          <w:rFonts w:cs="Times New Roman"/>
          <w:noProof/>
        </w:rPr>
        <w:t>(Ellsworth-Krebs, 2020; Zou &amp; Luo, 2019)</w:t>
      </w:r>
      <w:r w:rsidR="00270E54" w:rsidRPr="001A04ED">
        <w:rPr>
          <w:rFonts w:cs="Times New Roman"/>
        </w:rPr>
        <w:fldChar w:fldCharType="end"/>
      </w:r>
      <w:r w:rsidR="00270E54" w:rsidRPr="001A04ED">
        <w:rPr>
          <w:rFonts w:cs="Times New Roman"/>
        </w:rPr>
        <w:t xml:space="preserve">. Higher-income households also consume more energy than their counterparts, especially for discretionary uses such as advanced heating/cooling systems, larger living spaces, and additional appliances. They are also more likely to own EVs, influencing residential charging demand </w:t>
      </w:r>
      <w:r w:rsidR="00270E54" w:rsidRPr="001A04ED">
        <w:rPr>
          <w:rFonts w:cs="Times New Roman"/>
        </w:rPr>
        <w:fldChar w:fldCharType="begin" w:fldLock="1"/>
      </w:r>
      <w:r w:rsidR="00270E54" w:rsidRPr="001A04ED">
        <w:rPr>
          <w:rFonts w:cs="Times New Roman"/>
        </w:rPr>
        <w:instrText>ADDIN CSL_CITATION {"citationItems":[{"id":"ITEM-1","itemData":{"author":[{"dropping-particle":"","family":"Shin","given":"Hyeon-Shic","non-dropping-particle":"","parse-names":false,"suffix":""},{"dropping-particle":"","family":"Farkas","given":"Z. Andrew","non-dropping-particle":"","parse-names":false,"suffix":""},{"dropping-particle":"","family":"Nickkar","given":"Amirreza","non-dropping-particle":"","parse-names":false,"suffix":""}],"container-title":"International Conference on Transportation and Development","id":"ITEM-1","issued":{"date-parts":[["2019"]]},"page":"77-90","publisher":"American Society of Civil Engineers","publisher-place":"Reston, VA","title":"An analysis of attributes of electric vehicle owners’ travel and purchasing behavior: The case of Maryland","type":"paper-conference"},"uris":["http://www.mendeley.com/documents/?uuid=3abff128-bebb-4b8f-bad3-cd2fa54187f2"]},{"id":"ITEM-2","itemData":{"DOI":"10.1007/s12626-022-00109-9","ISBN":"0123456789","ISSN":"2523-3173","abstract":"Electric mobility has been around for a long time. In recent years, with advancements in technology, electric vehicles (EVs) have shown a new potential to meet many of the challenges being faced by humanity. These challenges include increasing dependence on fossil fuels, environmental concerns, challenges posed by rapid urbanization, urban mobility, and employment. However, the adoption of electric vehicles has remained challenging despite consumers having a positive attitude toward EVs and big policy pushes by governments in many countries. Marketers from the electric vehicle (EV) industry are finding it difficult to identify genuine buyers for their products. In this context, the present study attempts to develop a machine learning model to predict whether a person would “Buy” or “Won’t Buy” an electric vehicle in India. To develop the model, an exploration of EV context was done first by conducting a text analysis of online content relating to electric vehicles. The objective was to find frequently occurring words to gain a meaningful understanding of the consumer’s interests and concerns relating to electric vehicles. The machine learning model indicates that age, gender, income, level of environmental concerns, vehicle cost, running cost, vehicle performance, driving range, and mass behavior are significant predictors of electrical vehicle purchase in India. The level of education, employment, and government subsidy are not significant predictors of EV uptake.","author":[{"dropping-particle":"","family":"Dixit","given":"Sushil Kumar","non-dropping-particle":"","parse-names":false,"suffix":""},{"dropping-particle":"","family":"Singh","given":"Ashirwad Kumar","non-dropping-particle":"","parse-names":false,"suffix":""}],"container-title":"The Review of Socionetwork Strategies","id":"ITEM-2","issue":"2","issued":{"date-parts":[["2022"]]},"page":"221-238","publisher":"Springer Nature Singapore","title":"Predicting Electric Vehicle (EV) Buyers in India: A Machine Learning Approach","type":"article-journal","volume":"16"},"uris":["http://www.mendeley.com/documents/?uuid=f384063a-456d-4999-bca2-f156fd6051d6"]}],"mendeley":{"formattedCitation":"(Dixit &amp; Singh, 2022; Shin et al., 2019)","plainTextFormattedCitation":"(Dixit &amp; Singh, 2022; Shin et al., 2019)","previouslyFormattedCitation":"(Dixit &amp; Singh, 2022; Shin et al., 2019)"},"properties":{"noteIndex":0},"schema":"https://github.com/citation-style-language/schema/raw/master/csl-citation.json"}</w:instrText>
      </w:r>
      <w:r w:rsidR="00270E54" w:rsidRPr="001A04ED">
        <w:rPr>
          <w:rFonts w:cs="Times New Roman"/>
        </w:rPr>
        <w:fldChar w:fldCharType="separate"/>
      </w:r>
      <w:r w:rsidR="00270E54" w:rsidRPr="001A04ED">
        <w:rPr>
          <w:rFonts w:cs="Times New Roman"/>
          <w:noProof/>
        </w:rPr>
        <w:t>(Dixit &amp; Singh, 2022; Shin et al., 2019)</w:t>
      </w:r>
      <w:r w:rsidR="00270E54" w:rsidRPr="001A04ED">
        <w:rPr>
          <w:rFonts w:cs="Times New Roman"/>
        </w:rPr>
        <w:fldChar w:fldCharType="end"/>
      </w:r>
      <w:r w:rsidR="00270E54" w:rsidRPr="001A04ED">
        <w:rPr>
          <w:rFonts w:cs="Times New Roman"/>
        </w:rPr>
        <w:t>. Furthermore, variations in energy consumption for space heating and cooling are also noticeable between urban and rural areas due to differences in dwelling size, insulation systems and access to modern technologies</w:t>
      </w:r>
      <w:r w:rsidR="003E150C" w:rsidRPr="001A04ED">
        <w:rPr>
          <w:rStyle w:val="FootnoteReference"/>
          <w:rFonts w:cs="Times New Roman"/>
        </w:rPr>
        <w:footnoteReference w:id="3"/>
      </w:r>
      <w:r w:rsidR="00270E54" w:rsidRPr="001A04ED">
        <w:rPr>
          <w:rFonts w:cs="Times New Roman"/>
        </w:rPr>
        <w:t xml:space="preserve"> </w:t>
      </w:r>
      <w:r w:rsidR="00270E54" w:rsidRPr="001A04ED">
        <w:rPr>
          <w:rFonts w:cs="Times New Roman"/>
        </w:rPr>
        <w:fldChar w:fldCharType="begin" w:fldLock="1"/>
      </w:r>
      <w:r w:rsidR="00293CDA" w:rsidRPr="001A04ED">
        <w:rPr>
          <w:rFonts w:cs="Times New Roman"/>
        </w:rPr>
        <w:instrText>ADDIN CSL_CITATION {"citationItems":[{"id":"ITEM-1","itemData":{"DOI":"10.1016/j.enbuild.2014.02.079","ISSN":"03787788","abstract":"In this study, we analyze holistically the residential energy consumption patterns and the overall housing energy requirements of urban and rural households in Finland. We study separately three of the most common types of housing - apartment buildings, row-/terraced houses, and detached houses - and include private and the communal building energy as well as the amount of energy consumed by free-time residences. With this study, we add perspective to the ongoing discussion on the sustainability of urban versus rural living and that of different housing types. We employ Household Budget Survey data from Statistics Finland and data from the Finnish Forest Research Institute (Metla) to extract the actual energy purchases and convert them into energy units. Our key findings include five perspectives: (1) behavioral differences seem significant between different housing modes; (2) each housing mode appears to be less energy-intensive in rural areas; (3) including indirect energy purchases is essential when comparing different housing modes; (4) unit-of-analysis (m2, capita, household) selection strongly affects the results; and (5) the energy mixes vary significantly between the studied building types, changing from the predominance of non-renewables in apartment buildings to that of renewables in detached houses, which in turn has interesting carbon footprint implications. © 2014 The Authors.","author":[{"dropping-particle":"","family":"Heinonen","given":"Jukka","non-dropping-particle":"","parse-names":false,"suffix":""},{"dropping-particle":"","family":"Junnila","given":"Seppo","non-dropping-particle":"","parse-names":false,"suffix":""}],"container-title":"Energy and Buildings","id":"ITEM-1","issued":{"date-parts":[["2014"]]},"page":"295-303","publisher":"Elsevier B.V.","title":"Residential energy consumption patterns and the overall housing energy requirements of urban and rural households in Finland","type":"article-journal","volume":"76"},"uris":["http://www.mendeley.com/documents/?uuid=0bb5cd4b-8206-4a27-8dcf-2574a8be7e4b"]},{"id":"ITEM-2","itemData":{"DOI":"10.1016/j.egypro.2011.12.1015","ISSN":"18766102","abstract":"The aim of this paper is to analyze the current situation and environmental effects of household energy consumption in rural and urban areas. We suggest some measures on reducing emission and protecting environment from pollution. Based on questionnaires survey, we analyzed the quantity and structure of household energy consumption in urban and rural areas, and compared the environmental effects of energy use between urban and rural areas. We used SPIRPAT model to analyze the impact of population and income factors on the ecological footprint of energy use. The results show that there is an unobvious difference of per capita energy consumption between areas. But in terms of energy structure, urban households are dominated by the fossil energy, while rural households are dominated by both of biomass energy and fossil fuels. The emissions of rural households are much larger than those of urban households. However, the difference of social emissions from energy consumption between urban and rural households becomes little. Both population size and income factors have promoting effect on total energy and the ecological footprints of electricity and coal etc. in urban areas, so does on electricity and biomass in rural areas.","author":[{"dropping-particle":"","family":"Chun-sheng","given":"Zhao","non-dropping-particle":"","parse-names":false,"suffix":""},{"dropping-particle":"","family":"Shu-wen","given":"Niu","non-dropping-particle":"","parse-names":false,"suffix":""},{"dropping-particle":"","family":"Xin","given":"Zhang","non-dropping-particle":"","parse-names":false,"suffix":""}],"container-title":"Energy Procedia","id":"ITEM-2","issued":{"date-parts":[["2012"]]},"page":"805-811","title":"Effects of household energy consumption on environment and its influence factors in rural and urban areas","type":"article-journal","volume":"14"},"uris":["http://www.mendeley.com/documents/?uuid=002ce99e-175a-4f34-a33b-0f1338251dca"]}],"mendeley":{"formattedCitation":"(Chun-sheng et al., 2012; Heinonen &amp; Junnila, 2014)","plainTextFormattedCitation":"(Chun-sheng et al., 2012; Heinonen &amp; Junnila, 2014)","previouslyFormattedCitation":"(Chun-sheng et al., 2012; Heinonen &amp; Junnila, 2014)"},"properties":{"noteIndex":0},"schema":"https://github.com/citation-style-language/schema/raw/master/csl-citation.json"}</w:instrText>
      </w:r>
      <w:r w:rsidR="00270E54" w:rsidRPr="001A04ED">
        <w:rPr>
          <w:rFonts w:cs="Times New Roman"/>
        </w:rPr>
        <w:fldChar w:fldCharType="separate"/>
      </w:r>
      <w:r w:rsidR="00270E54" w:rsidRPr="001A04ED">
        <w:rPr>
          <w:rFonts w:cs="Times New Roman"/>
          <w:noProof/>
        </w:rPr>
        <w:t>(Chun-sheng et al., 2012; Heinonen &amp; Junnila, 2014)</w:t>
      </w:r>
      <w:r w:rsidR="00270E54" w:rsidRPr="001A04ED">
        <w:rPr>
          <w:rFonts w:cs="Times New Roman"/>
        </w:rPr>
        <w:fldChar w:fldCharType="end"/>
      </w:r>
      <w:r w:rsidR="00270E54" w:rsidRPr="001A04ED">
        <w:rPr>
          <w:rFonts w:cs="Times New Roman"/>
        </w:rPr>
        <w:t xml:space="preserve">.   </w:t>
      </w:r>
      <w:r w:rsidR="006A39C1" w:rsidRPr="001A04ED">
        <w:t xml:space="preserve"> </w:t>
      </w:r>
    </w:p>
    <w:p w14:paraId="08E62268" w14:textId="498D9EC9" w:rsidR="00B87EFC" w:rsidRPr="001A04ED" w:rsidRDefault="001F7350" w:rsidP="000B3BA8">
      <w:pPr>
        <w:rPr>
          <w:rFonts w:cs="Times New Roman"/>
          <w:i/>
          <w:iCs/>
        </w:rPr>
      </w:pPr>
      <w:r w:rsidRPr="001A04ED">
        <w:t>Interestingly, the considerable body of research on household level residential sector energy demand does not consider the impact of household residents</w:t>
      </w:r>
      <w:r w:rsidR="00BE7E80" w:rsidRPr="001A04ED">
        <w:t>’</w:t>
      </w:r>
      <w:r w:rsidRPr="001A04ED">
        <w:t xml:space="preserve"> travel </w:t>
      </w:r>
      <w:r w:rsidR="00C338C6" w:rsidRPr="001A04ED">
        <w:t>infrastructure</w:t>
      </w:r>
      <w:r w:rsidR="00937D43" w:rsidRPr="001A04ED">
        <w:t xml:space="preserve"> and usage</w:t>
      </w:r>
      <w:r w:rsidR="00C338C6" w:rsidRPr="001A04ED">
        <w:t xml:space="preserve"> </w:t>
      </w:r>
      <w:r w:rsidRPr="001A04ED">
        <w:t xml:space="preserve">on energy consumption patterns. The out-of-home activities of all or a subset of household residents impacts the energy consumption pattern of various end-uses (such as space heating, water heating, space cooling, lighting, and cooking) and potential post-travel activities (such as cooling, washing and cleaning). The </w:t>
      </w:r>
      <w:r w:rsidRPr="001A04ED">
        <w:lastRenderedPageBreak/>
        <w:t xml:space="preserve">variables that can offer insights on </w:t>
      </w:r>
      <w:r w:rsidR="00402CAD" w:rsidRPr="001A04ED">
        <w:t>travel infrastructure</w:t>
      </w:r>
      <w:r w:rsidRPr="001A04ED">
        <w:t xml:space="preserve"> </w:t>
      </w:r>
      <w:r w:rsidR="00937D43" w:rsidRPr="001A04ED">
        <w:t xml:space="preserve">and usage </w:t>
      </w:r>
      <w:r w:rsidRPr="001A04ED">
        <w:t>can include household vehicle ownership, employment status, long-distance travel behavior</w:t>
      </w:r>
      <w:r w:rsidR="00321109" w:rsidRPr="001A04ED">
        <w:t xml:space="preserve"> and household annual </w:t>
      </w:r>
      <w:r w:rsidR="00F27753" w:rsidRPr="001A04ED">
        <w:t>mileage</w:t>
      </w:r>
      <w:r w:rsidRPr="001A04ED">
        <w:t>.</w:t>
      </w:r>
      <w:r w:rsidR="00D97FEE" w:rsidRPr="001A04ED">
        <w:t xml:space="preserve"> </w:t>
      </w:r>
      <w:r w:rsidR="000B3BA8" w:rsidRPr="001A04ED">
        <w:rPr>
          <w:rFonts w:cs="Times New Roman"/>
        </w:rPr>
        <w:t xml:space="preserve">Households with high vehicle ownership levels potentially represent increased private vehicle usage behavior such as spending significant time outside and this can potentially contribute to lower energy consumption at home. Further, the number of long-distance trips and annual mileage indicate how often household members stay away from home. These metrics directly affect the frequency of appliance usage, space heating/cooling and washing and drying. Therefore, the increased number of long-distance trips or longer annual mileage might influence the energy consumption for different household appliances. Similarly, vehicle fleet fuel type mix influences the energy consumption of various household end uses. For instance, households with electric vehicles (EVs) may potentially install solar infrastructure and energy management systems to manage the increased electricity demand affecting other end uses, such as space heating and cooling. </w:t>
      </w:r>
      <w:r w:rsidRPr="001A04ED">
        <w:t xml:space="preserve">The importance of considering the link between travel </w:t>
      </w:r>
      <w:r w:rsidR="009D609D" w:rsidRPr="001A04ED">
        <w:t xml:space="preserve">infrastructure and usage </w:t>
      </w:r>
      <w:r w:rsidRPr="001A04ED">
        <w:t>and energy consumption is likely to increase further with the growing adoption of EVs.</w:t>
      </w:r>
      <w:r w:rsidR="00BE7E80" w:rsidRPr="001A04ED">
        <w:t xml:space="preserve"> </w:t>
      </w:r>
      <w:r w:rsidR="00B87EFC" w:rsidRPr="001A04ED">
        <w:t xml:space="preserve">With increasing adoption of EVs and </w:t>
      </w:r>
      <w:r w:rsidR="00AF1E5F" w:rsidRPr="001A04ED">
        <w:t xml:space="preserve">the corresponding impact of EV charging on residential energy demand is a dimension of importance. </w:t>
      </w:r>
    </w:p>
    <w:p w14:paraId="4D3A4C22" w14:textId="076D8A4E" w:rsidR="00141937" w:rsidRPr="001A04ED" w:rsidRDefault="00F10D7F" w:rsidP="00047BFD">
      <w:r w:rsidRPr="001A04ED">
        <w:t xml:space="preserve">The absence of </w:t>
      </w:r>
      <w:r w:rsidR="00402CAD" w:rsidRPr="001A04ED">
        <w:t>travel infrastructure</w:t>
      </w:r>
      <w:r w:rsidRPr="001A04ED">
        <w:t xml:space="preserve"> </w:t>
      </w:r>
      <w:r w:rsidR="00937D43" w:rsidRPr="001A04ED">
        <w:t xml:space="preserve">and usage </w:t>
      </w:r>
      <w:r w:rsidRPr="001A04ED">
        <w:t xml:space="preserve">elements in energy demand models can be attributed to the </w:t>
      </w:r>
      <w:r w:rsidR="00A27ABD" w:rsidRPr="001A04ED">
        <w:t xml:space="preserve">lack of data providing </w:t>
      </w:r>
      <w:r w:rsidR="00BE7E80" w:rsidRPr="001A04ED">
        <w:t>this information</w:t>
      </w:r>
      <w:r w:rsidR="00A27ABD" w:rsidRPr="001A04ED">
        <w:t xml:space="preserve"> in energy surveys. </w:t>
      </w:r>
      <w:r w:rsidR="00BE7E80" w:rsidRPr="001A04ED">
        <w:t xml:space="preserve">Traditional survey data or smart meter data is rarely augmented with detailed </w:t>
      </w:r>
      <w:r w:rsidR="00B56934" w:rsidRPr="001A04ED">
        <w:t xml:space="preserve">data related to household travel </w:t>
      </w:r>
      <w:r w:rsidR="00C338C6" w:rsidRPr="001A04ED">
        <w:t xml:space="preserve">infrastructure </w:t>
      </w:r>
      <w:r w:rsidR="00937D43" w:rsidRPr="001A04ED">
        <w:t xml:space="preserve">and usage </w:t>
      </w:r>
      <w:r w:rsidR="00C338C6" w:rsidRPr="001A04ED">
        <w:t>data</w:t>
      </w:r>
      <w:r w:rsidR="00B56934" w:rsidRPr="001A04ED">
        <w:t xml:space="preserve">. </w:t>
      </w:r>
      <w:r w:rsidR="002F2176" w:rsidRPr="001A04ED">
        <w:t>Transportation survey data on the other hand compiles this information. However, given these data are compiled on entirely different respondents the</w:t>
      </w:r>
      <w:r w:rsidR="00D24783" w:rsidRPr="001A04ED">
        <w:t>re has not been any consideration for using the datasets together. In this study, a novel framework</w:t>
      </w:r>
      <w:r w:rsidR="00C065CA" w:rsidRPr="001A04ED">
        <w:t xml:space="preserve"> is employed</w:t>
      </w:r>
      <w:r w:rsidR="00D24783" w:rsidRPr="001A04ED">
        <w:t xml:space="preserve"> that allows us to combine two datasets without any common identifier (see</w:t>
      </w:r>
      <w:r w:rsidR="00667D62" w:rsidRPr="001A04ED">
        <w:t xml:space="preserve"> </w:t>
      </w:r>
      <w:r w:rsidR="007228D1" w:rsidRPr="001A04ED">
        <w:fldChar w:fldCharType="begin" w:fldLock="1"/>
      </w:r>
      <w:r w:rsidR="00273110" w:rsidRPr="001A04ED">
        <w:instrText>ADDIN CSL_CITATION {"citationItems":[{"id":"ITEM-1","itemData":{"author":[{"dropping-particle":"","family":"Jahan","given":"Md Istiak","non-dropping-particle":"","parse-names":false,"suffix":""},{"dropping-particle":"","family":"Bhowmik","given":"Tanmoy","non-dropping-particle":"","parse-names":false,"suffix":""},{"dropping-particle":"","family":"Borjigin","given":"Sachraa G.","non-dropping-particle":"","parse-names":false,"suffix":""},{"dropping-particle":"","family":"Lou","given":"Jiehong","non-dropping-particle":"","parse-names":false,"suffix":""},{"dropping-particle":"","family":"Ugwu","given":"Nneoma M.","non-dropping-particle":"","parse-names":false,"suffix":""},{"dropping-particle":"","family":"Niemeier","given":"Deb A.","non-dropping-particle":"","parse-names":false,"suffix":""},{"dropping-particle":"","family":"Eluru","given":"Naveen","non-dropping-particle":"","parse-names":false,"suffix":""}],"container-title":"Transportation Letters: The International Journal of Transportation Research","id":"ITEM-1","issued":{"date-parts":[["2024"]]},"title":"A Maximum Log-likelihood Based Data Fusion Model for Estimating Household’s Vehicle Purchase Decision","type":"article-journal","volume":"Under revi"},"uris":["http://www.mendeley.com/documents/?uuid=de8e27fe-3c48-47aa-b6b0-e614d9258878"]},{"id":"ITEM-2","itemData":{"author":[{"dropping-particle":"","family":"Bhowmik","given":"Tanmoy","non-dropping-particle":"","parse-names":false,"suffix":""},{"dropping-particle":"","family":"Iraganaboina","given":"Naveen Chandra","non-dropping-particle":"","parse-names":false,"suffix":""},{"dropping-particle":"","family":"Eluru","given":"Naveen","non-dropping-particle":"","parse-names":false,"suffix":""}],"container-title":"PLoS ONE","id":"ITEM-2","issued":{"date-parts":[["2024"]]},"title":"A Novel Maximum Likelihood Based Probabilistic Behavioral Data Fusion Algorithm for Modeling Residential Energy Consumption","type":"article-journal","volume":"Under revi"},"uris":["http://www.mendeley.com/documents/?uuid=e489d871-f6ef-495b-9bc5-d8b17df6555b"]},{"id":"ITEM-3","itemData":{"DOI":"10.1016/j.trc.2024.104753","ISSN":"0968-090X","author":[{"dropping-particle":"","family":"Bhowmik","given":"Tanmoy","non-dropping-particle":"","parse-names":false,"suffix":""},{"dropping-particle":"","family":"Eluru","given":"Naveen","non-dropping-particle":"","parse-names":false,"suffix":""},{"dropping-particle":"","family":"Hasan","given":"Samiul","non-dropping-particle":"","parse-names":false,"suffix":""},{"dropping-particle":"","family":"Culotta","given":"Aron","non-dropping-particle":"","parse-names":false,"suffix":""},{"dropping-particle":"","family":"Chandra","given":"Kamol","non-dropping-particle":"","parse-names":false,"suffix":""}],"container-title":"Transportation Research Part C","id":"ITEM-3","issue":"July","issued":{"date-parts":[["2024"]]},"page":"104753","publisher":"Elsevier Ltd","title":"Predicting hurricane evacuation behavior synthesizing data from travel surveys and social media","type":"article-journal","volume":"165"},"uris":["http://www.mendeley.com/documents/?uuid=4f461fbf-49b0-45cb-81b6-f0dd715c7c3f"]}],"mendeley":{"formattedCitation":"(Bhowmik, Eluru, et al., 2024; Bhowmik, Iraganaboina, et al., 2024; Jahan et al., 2024)","manualFormatting":"(Bhowmik, et al., 2024a; Bhowmik, et al., 2024b; Jahan et al., 2024)","plainTextFormattedCitation":"(Bhowmik, Eluru, et al., 2024; Bhowmik, Iraganaboina, et al., 2024; Jahan et al., 2024)","previouslyFormattedCitation":"(Bhowmik, Eluru, et al., 2024; Bhowmik, Iraganaboina, et al., 2024; Jahan et al., 2024)"},"properties":{"noteIndex":0},"schema":"https://github.com/citation-style-language/schema/raw/master/csl-citation.json"}</w:instrText>
      </w:r>
      <w:r w:rsidR="007228D1" w:rsidRPr="001A04ED">
        <w:fldChar w:fldCharType="separate"/>
      </w:r>
      <w:r w:rsidR="008C37C1" w:rsidRPr="001A04ED">
        <w:rPr>
          <w:noProof/>
        </w:rPr>
        <w:t>(Bhowmik</w:t>
      </w:r>
      <w:r w:rsidR="00D05549" w:rsidRPr="001A04ED">
        <w:rPr>
          <w:noProof/>
        </w:rPr>
        <w:t>, et al.</w:t>
      </w:r>
      <w:r w:rsidR="008C37C1" w:rsidRPr="001A04ED">
        <w:rPr>
          <w:noProof/>
        </w:rPr>
        <w:t>,</w:t>
      </w:r>
      <w:r w:rsidR="001D42E5" w:rsidRPr="001A04ED">
        <w:rPr>
          <w:noProof/>
        </w:rPr>
        <w:t xml:space="preserve"> </w:t>
      </w:r>
      <w:r w:rsidR="008C37C1" w:rsidRPr="001A04ED">
        <w:rPr>
          <w:noProof/>
        </w:rPr>
        <w:t>2024</w:t>
      </w:r>
      <w:r w:rsidR="00D05549" w:rsidRPr="001A04ED">
        <w:rPr>
          <w:noProof/>
        </w:rPr>
        <w:t>a</w:t>
      </w:r>
      <w:r w:rsidR="008C37C1" w:rsidRPr="001A04ED">
        <w:rPr>
          <w:noProof/>
        </w:rPr>
        <w:t>; Jahan et al., 2024)</w:t>
      </w:r>
      <w:r w:rsidR="007228D1" w:rsidRPr="001A04ED">
        <w:fldChar w:fldCharType="end"/>
      </w:r>
      <w:r w:rsidR="00D24783" w:rsidRPr="001A04ED">
        <w:t xml:space="preserve">). </w:t>
      </w:r>
      <w:r w:rsidR="00953617" w:rsidRPr="001A04ED">
        <w:t>T</w:t>
      </w:r>
      <w:r w:rsidR="0015413C" w:rsidRPr="001A04ED">
        <w:t xml:space="preserve">he </w:t>
      </w:r>
      <w:r w:rsidR="00E44FC4" w:rsidRPr="001A04ED">
        <w:t xml:space="preserve">2020 Residential Energy Consumption Survey (RECS) data and the 2022 National Household Travel Survey (NHTS) data </w:t>
      </w:r>
      <w:r w:rsidR="00953617" w:rsidRPr="001A04ED">
        <w:t xml:space="preserve">are employed </w:t>
      </w:r>
      <w:r w:rsidR="00E44FC4" w:rsidRPr="001A04ED">
        <w:t xml:space="preserve">for </w:t>
      </w:r>
      <w:r w:rsidR="00953617" w:rsidRPr="001A04ED">
        <w:t>this</w:t>
      </w:r>
      <w:r w:rsidR="00E44FC4" w:rsidRPr="001A04ED">
        <w:t xml:space="preserve"> fusion exercise. The dependent variable of interest is energy consumption by end-use </w:t>
      </w:r>
      <w:r w:rsidR="002B1293" w:rsidRPr="001A04ED">
        <w:t xml:space="preserve">dimension </w:t>
      </w:r>
      <w:r w:rsidR="00E44FC4" w:rsidRPr="001A04ED">
        <w:t>(such as space heating, water heating, refrigeration, cooling and ventilation, EV charging, and lighting</w:t>
      </w:r>
      <w:r w:rsidR="002B1293" w:rsidRPr="001A04ED">
        <w:t>)</w:t>
      </w:r>
      <w:r w:rsidR="00E44FC4" w:rsidRPr="001A04ED">
        <w:t xml:space="preserve">. </w:t>
      </w:r>
      <w:r w:rsidR="002B1293" w:rsidRPr="001A04ED">
        <w:t xml:space="preserve">Given the nature of the dependent variable, </w:t>
      </w:r>
      <w:r w:rsidR="00E74A4D" w:rsidRPr="001A04ED">
        <w:t>the MDCEV model</w:t>
      </w:r>
      <w:r w:rsidR="002830EF" w:rsidRPr="001A04ED">
        <w:t xml:space="preserve"> </w:t>
      </w:r>
      <w:r w:rsidR="00E03C06" w:rsidRPr="001A04ED">
        <w:t xml:space="preserve">is employed </w:t>
      </w:r>
      <w:r w:rsidR="002830EF" w:rsidRPr="001A04ED">
        <w:t xml:space="preserve">in </w:t>
      </w:r>
      <w:r w:rsidR="00E03C06" w:rsidRPr="001A04ED">
        <w:t>this</w:t>
      </w:r>
      <w:r w:rsidR="002830EF" w:rsidRPr="001A04ED">
        <w:t xml:space="preserve"> analysis.</w:t>
      </w:r>
      <w:r w:rsidR="00E74A4D" w:rsidRPr="001A04ED">
        <w:t xml:space="preserve"> </w:t>
      </w:r>
    </w:p>
    <w:p w14:paraId="309023F6" w14:textId="62C99241" w:rsidR="00547BD6" w:rsidRPr="001A04ED" w:rsidRDefault="00C54610" w:rsidP="00851060">
      <w:r w:rsidRPr="001A04ED">
        <w:t xml:space="preserve">The current study contributes to the existing literature along two dimensions. </w:t>
      </w:r>
      <w:r w:rsidRPr="001A04ED">
        <w:rPr>
          <w:i/>
          <w:iCs/>
        </w:rPr>
        <w:t>First</w:t>
      </w:r>
      <w:r w:rsidRPr="001A04ED">
        <w:t>, this study contribute</w:t>
      </w:r>
      <w:r w:rsidR="00AA3729" w:rsidRPr="001A04ED">
        <w:t>s</w:t>
      </w:r>
      <w:r w:rsidRPr="001A04ED">
        <w:t xml:space="preserve"> to end-use energy demand modeling systems by employing a novel fusion approach merging two datasets without a common identifier. </w:t>
      </w:r>
      <w:r w:rsidRPr="001A04ED">
        <w:rPr>
          <w:i/>
          <w:iCs/>
        </w:rPr>
        <w:t>Second</w:t>
      </w:r>
      <w:r w:rsidRPr="001A04ED">
        <w:t xml:space="preserve">, the study conducts a first of its kind assessment of the impact of travel infrastructure related variables on various household energy end-uses. The study recognizes that traditional approach to energy models that ignore travel infrastructure variables might offer erroneous energy estimates for future scenarios. The proposed model system accurately quantifies the impact of all independent variables by accommodating for travel infrastructure variables. </w:t>
      </w:r>
      <w:r w:rsidR="00DA7C4D" w:rsidRPr="001A04ED">
        <w:t>The independent variables considered from energy data include</w:t>
      </w:r>
      <w:r w:rsidR="006D1A12" w:rsidRPr="001A04ED">
        <w:t xml:space="preserve"> household socioeconomic </w:t>
      </w:r>
      <w:r w:rsidR="005D3BDA" w:rsidRPr="001A04ED">
        <w:t>attributes</w:t>
      </w:r>
      <w:r w:rsidR="006D1A12" w:rsidRPr="001A04ED">
        <w:t xml:space="preserve">, dwelling </w:t>
      </w:r>
      <w:r w:rsidR="005D3BDA" w:rsidRPr="001A04ED">
        <w:t>attributes</w:t>
      </w:r>
      <w:r w:rsidR="006D1A12" w:rsidRPr="001A04ED">
        <w:t xml:space="preserve"> and appliance-use </w:t>
      </w:r>
      <w:r w:rsidR="005D3BDA" w:rsidRPr="001A04ED">
        <w:t>related attributes</w:t>
      </w:r>
      <w:r w:rsidR="00DA7C4D" w:rsidRPr="001A04ED">
        <w:t xml:space="preserve">. The new variables </w:t>
      </w:r>
      <w:r w:rsidR="00141937" w:rsidRPr="001A04ED">
        <w:t>considered from NHTS data include</w:t>
      </w:r>
      <w:r w:rsidR="00F92FA2" w:rsidRPr="001A04ED">
        <w:t xml:space="preserve"> household socioeconomic </w:t>
      </w:r>
      <w:r w:rsidR="005D3BDA" w:rsidRPr="001A04ED">
        <w:t>attributes</w:t>
      </w:r>
      <w:r w:rsidR="00E048FB" w:rsidRPr="001A04ED">
        <w:t xml:space="preserve"> and travel </w:t>
      </w:r>
      <w:r w:rsidR="00B67637" w:rsidRPr="001A04ED">
        <w:t xml:space="preserve">infrastructure and usage </w:t>
      </w:r>
      <w:r w:rsidR="00E048FB" w:rsidRPr="001A04ED">
        <w:t>related attributes</w:t>
      </w:r>
      <w:r w:rsidR="00141937" w:rsidRPr="001A04ED">
        <w:t xml:space="preserve">. </w:t>
      </w:r>
      <w:r w:rsidR="0062174C" w:rsidRPr="001A04ED">
        <w:t xml:space="preserve">The </w:t>
      </w:r>
      <w:r w:rsidR="00141937" w:rsidRPr="001A04ED">
        <w:t xml:space="preserve">proposed </w:t>
      </w:r>
      <w:r w:rsidR="0062174C" w:rsidRPr="001A04ED">
        <w:t>approach allows us to easily examine if the data fusion contrib</w:t>
      </w:r>
      <w:r w:rsidR="00775C6F" w:rsidRPr="001A04ED">
        <w:t xml:space="preserve">utes to improving our understanding of energy </w:t>
      </w:r>
      <w:r w:rsidR="00437646" w:rsidRPr="001A04ED">
        <w:t>consumption by end-use</w:t>
      </w:r>
      <w:r w:rsidR="00775C6F" w:rsidRPr="001A04ED">
        <w:t xml:space="preserve"> in a straightforward manner</w:t>
      </w:r>
      <w:r w:rsidR="00742345" w:rsidRPr="001A04ED">
        <w:t xml:space="preserve"> using traditional model fit metrics (such as log-likelihood and Information Criterion)</w:t>
      </w:r>
      <w:r w:rsidR="00775C6F" w:rsidRPr="001A04ED">
        <w:t>.</w:t>
      </w:r>
      <w:r w:rsidR="00056561" w:rsidRPr="001A04ED">
        <w:t xml:space="preserve"> </w:t>
      </w:r>
      <w:r w:rsidR="00B0745A" w:rsidRPr="001A04ED">
        <w:t xml:space="preserve">The model results clearly identify which of the newly incorporated variables from NHTS provide improved data fit while also correctly quantifying the effect of independent variables from RECS dataset. The model estimation results are augmented with an elasticity analysis to highlight the inconsistencies of </w:t>
      </w:r>
      <w:r w:rsidR="001C0CB5" w:rsidRPr="001A04ED">
        <w:t xml:space="preserve">energy models that ignore travel </w:t>
      </w:r>
      <w:r w:rsidR="00742345" w:rsidRPr="001A04ED">
        <w:t xml:space="preserve">infrastructure </w:t>
      </w:r>
      <w:r w:rsidR="00937D43" w:rsidRPr="001A04ED">
        <w:t xml:space="preserve">and usage </w:t>
      </w:r>
      <w:r w:rsidR="001C0CB5" w:rsidRPr="001A04ED">
        <w:t xml:space="preserve">variables while also showing the potential impact of travel pattern variables. </w:t>
      </w:r>
      <w:r w:rsidR="00056561" w:rsidRPr="001A04ED">
        <w:t>It is important to note here that e</w:t>
      </w:r>
      <w:r w:rsidR="00775C6F" w:rsidRPr="001A04ED">
        <w:t xml:space="preserve">arlier work </w:t>
      </w:r>
      <w:r w:rsidR="00056561" w:rsidRPr="001A04ED">
        <w:t>using the</w:t>
      </w:r>
      <w:r w:rsidR="00775C6F" w:rsidRPr="001A04ED">
        <w:t xml:space="preserve"> fusion </w:t>
      </w:r>
      <w:r w:rsidR="00056561" w:rsidRPr="001A04ED">
        <w:t>approach</w:t>
      </w:r>
      <w:r w:rsidR="00775C6F" w:rsidRPr="001A04ED">
        <w:t xml:space="preserve"> </w:t>
      </w:r>
      <w:r w:rsidR="00C27B24" w:rsidRPr="001A04ED">
        <w:t>considered</w:t>
      </w:r>
      <w:r w:rsidR="00056561" w:rsidRPr="001A04ED">
        <w:t xml:space="preserve"> </w:t>
      </w:r>
      <w:r w:rsidR="00775C6F" w:rsidRPr="001A04ED">
        <w:t>continuous variables</w:t>
      </w:r>
      <w:r w:rsidR="009A7640" w:rsidRPr="001A04ED">
        <w:t xml:space="preserve"> </w:t>
      </w:r>
      <w:r w:rsidR="009A7640" w:rsidRPr="001A04ED">
        <w:fldChar w:fldCharType="begin" w:fldLock="1"/>
      </w:r>
      <w:r w:rsidR="00273110" w:rsidRPr="001A04ED">
        <w:instrText>ADDIN CSL_CITATION {"citationItems":[{"id":"ITEM-1","itemData":{"author":[{"dropping-particle":"","family":"Bhowmik","given":"Tanmoy","non-dropping-particle":"","parse-names":false,"suffix":""},{"dropping-particle":"","family":"Iraganaboina","given":"Naveen Chandra","non-dropping-particle":"","parse-names":false,"suffix":""},{"dropping-particle":"","family":"Eluru","given":"Naveen","non-dropping-particle":"","parse-names":false,"suffix":""}],"container-title":"PLoS ONE","id":"ITEM-1","issued":{"date-parts":[["2024"]]},"title":"A Novel Maximum Likelihood Based Probabilistic Behavioral Data Fusion Algorithm for Modeling Residential Energy Consumption","type":"article-journal","volume":"Under revi"},"uris":["http://www.mendeley.com/documents/?uuid=e489d871-f6ef-495b-9bc5-d8b17df6555b"]}],"mendeley":{"formattedCitation":"(Bhowmik, Iraganaboina, et al., 2024)","manualFormatting":"(Bhowmik, et al., 2024b)","plainTextFormattedCitation":"(Bhowmik, Iraganaboina, et al., 2024)","previouslyFormattedCitation":"(Bhowmik, Iraganaboina, et al., 2024)"},"properties":{"noteIndex":0},"schema":"https://github.com/citation-style-language/schema/raw/master/csl-citation.json"}</w:instrText>
      </w:r>
      <w:r w:rsidR="009A7640" w:rsidRPr="001A04ED">
        <w:fldChar w:fldCharType="separate"/>
      </w:r>
      <w:r w:rsidR="008C37C1" w:rsidRPr="001A04ED">
        <w:rPr>
          <w:noProof/>
        </w:rPr>
        <w:t>(Bhowmik, et al., 2024</w:t>
      </w:r>
      <w:r w:rsidR="00D05549" w:rsidRPr="001A04ED">
        <w:rPr>
          <w:noProof/>
        </w:rPr>
        <w:t>b</w:t>
      </w:r>
      <w:r w:rsidR="008C37C1" w:rsidRPr="001A04ED">
        <w:rPr>
          <w:noProof/>
        </w:rPr>
        <w:t>)</w:t>
      </w:r>
      <w:r w:rsidR="009A7640" w:rsidRPr="001A04ED">
        <w:fldChar w:fldCharType="end"/>
      </w:r>
      <w:r w:rsidR="00775C6F" w:rsidRPr="001A04ED">
        <w:t xml:space="preserve"> and binary outcome variables</w:t>
      </w:r>
      <w:r w:rsidR="009A7640" w:rsidRPr="001A04ED">
        <w:t xml:space="preserve"> </w:t>
      </w:r>
      <w:r w:rsidR="009A7640" w:rsidRPr="001A04ED">
        <w:fldChar w:fldCharType="begin" w:fldLock="1"/>
      </w:r>
      <w:r w:rsidR="00273110" w:rsidRPr="001A04ED">
        <w:instrText>ADDIN CSL_CITATION {"citationItems":[{"id":"ITEM-1","itemData":{"DOI":"10.1016/j.trc.2024.104753","ISSN":"0968-090X","author":[{"dropping-particle":"","family":"Bhowmik","given":"Tanmoy","non-dropping-particle":"","parse-names":false,"suffix":""},{"dropping-particle":"","family":"Eluru","given":"Naveen","non-dropping-particle":"","parse-names":false,"suffix":""},{"dropping-particle":"","family":"Hasan","given":"Samiul","non-dropping-particle":"","parse-names":false,"suffix":""},{"dropping-particle":"","family":"Culotta","given":"Aron","non-dropping-particle":"","parse-names":false,"suffix":""},{"dropping-particle":"","family":"Chandra","given":"Kamol","non-dropping-particle":"","parse-names":false,"suffix":""}],"container-title":"Transportation Research Part C","id":"ITEM-1","issue":"July","issued":{"date-parts":[["2024"]]},"page":"104753","publisher":"Elsevier Ltd","title":"Predicting hurricane evacuation behavior synthesizing data from travel surveys and social media","type":"article-journal","volume":"165"},"uris":["http://www.mendeley.com/documents/?uuid=4f461fbf-49b0-45cb-81b6-f0dd715c7c3f"]}],"mendeley":{"formattedCitation":"(Bhowmik, Eluru, et al., 2024)","manualFormatting":"(Bhowmik, et al., 2024a)","plainTextFormattedCitation":"(Bhowmik, Eluru, et al., 2024)","previouslyFormattedCitation":"(Bhowmik, Eluru, et al., 2024)"},"properties":{"noteIndex":0},"schema":"https://github.com/citation-style-language/schema/raw/master/csl-citation.json"}</w:instrText>
      </w:r>
      <w:r w:rsidR="009A7640" w:rsidRPr="001A04ED">
        <w:fldChar w:fldCharType="separate"/>
      </w:r>
      <w:r w:rsidR="008C37C1" w:rsidRPr="001A04ED">
        <w:rPr>
          <w:noProof/>
        </w:rPr>
        <w:t>(Bhowmik,</w:t>
      </w:r>
      <w:r w:rsidR="00D05549" w:rsidRPr="001A04ED">
        <w:rPr>
          <w:noProof/>
        </w:rPr>
        <w:t xml:space="preserve"> </w:t>
      </w:r>
      <w:r w:rsidR="008C37C1" w:rsidRPr="001A04ED">
        <w:rPr>
          <w:noProof/>
        </w:rPr>
        <w:t>et al., 2024</w:t>
      </w:r>
      <w:r w:rsidR="00D05549" w:rsidRPr="001A04ED">
        <w:rPr>
          <w:noProof/>
        </w:rPr>
        <w:t>a</w:t>
      </w:r>
      <w:r w:rsidR="008C37C1" w:rsidRPr="001A04ED">
        <w:rPr>
          <w:noProof/>
        </w:rPr>
        <w:t>)</w:t>
      </w:r>
      <w:r w:rsidR="009A7640" w:rsidRPr="001A04ED">
        <w:fldChar w:fldCharType="end"/>
      </w:r>
      <w:r w:rsidR="00775C6F" w:rsidRPr="001A04ED">
        <w:t>. In the current paper, this approach</w:t>
      </w:r>
      <w:r w:rsidR="00B873FA" w:rsidRPr="001A04ED">
        <w:t xml:space="preserve"> is applied</w:t>
      </w:r>
      <w:r w:rsidR="00775C6F" w:rsidRPr="001A04ED">
        <w:t xml:space="preserve"> to </w:t>
      </w:r>
      <w:r w:rsidR="00056561" w:rsidRPr="001A04ED">
        <w:t>accommodate</w:t>
      </w:r>
      <w:r w:rsidR="00775C6F" w:rsidRPr="001A04ED">
        <w:t xml:space="preserve"> multiple discrete continuous variables</w:t>
      </w:r>
      <w:r w:rsidR="00AE031C" w:rsidRPr="001A04ED">
        <w:t xml:space="preserve"> thus generalizing the fusion approach for different kinds of dependent variables</w:t>
      </w:r>
      <w:r w:rsidR="00775C6F" w:rsidRPr="001A04ED">
        <w:t>.</w:t>
      </w:r>
    </w:p>
    <w:p w14:paraId="0F6BE0F0" w14:textId="77777777" w:rsidR="00AF5733" w:rsidRPr="001A04ED" w:rsidRDefault="00AF5733" w:rsidP="00AF5733">
      <w:pPr>
        <w:rPr>
          <w:rFonts w:cs="Times New Roman"/>
        </w:rPr>
      </w:pPr>
      <w:r w:rsidRPr="001A04ED">
        <w:rPr>
          <w:rFonts w:cs="Times New Roman"/>
        </w:rPr>
        <w:t xml:space="preserve">The current study aims to develop an energy model framework that can estimate household level energy demand with information on household socioeconomic attributes and travel infrastructure and usage related attributes. The proposed model framework can be employed to estimate regional energy demand based on detailed census population data. The estimates can offer insights on energy demand in response to demographic and climate changes over time. Understanding these trends can offer policy makers with </w:t>
      </w:r>
      <w:r w:rsidRPr="001A04ED">
        <w:rPr>
          <w:rFonts w:cs="Times New Roman"/>
        </w:rPr>
        <w:lastRenderedPageBreak/>
        <w:t>insights on what important treatments (such as improving insulation) can offer energy use reductions in different regions. The viability of the proposed model for scenario analysis has been illustrated in the policy analysis section of the paper.</w:t>
      </w:r>
    </w:p>
    <w:p w14:paraId="38A10F4F" w14:textId="35FD1F4C" w:rsidR="00AF5733" w:rsidRPr="001A04ED" w:rsidRDefault="00AF5733" w:rsidP="00AF5733">
      <w:pPr>
        <w:rPr>
          <w:rFonts w:cs="Times New Roman"/>
        </w:rPr>
      </w:pPr>
      <w:r w:rsidRPr="001A04ED">
        <w:rPr>
          <w:rFonts w:cs="Times New Roman"/>
        </w:rPr>
        <w:t xml:space="preserve">The insights can also be used to design integrated energy management strategies that account for both residential and transportation energy needs. For instance, the number of EV sales is increasing in recent years and according to the US Department of Energy, 80% of EVs are charged at home </w:t>
      </w:r>
      <w:r w:rsidRPr="001A04ED">
        <w:rPr>
          <w:rFonts w:cs="Times New Roman"/>
        </w:rPr>
        <w:fldChar w:fldCharType="begin" w:fldLock="1"/>
      </w:r>
      <w:r w:rsidR="00CA5333" w:rsidRPr="001A04ED">
        <w:rPr>
          <w:rFonts w:cs="Times New Roman"/>
        </w:rPr>
        <w:instrText>ADDIN CSL_CITATION {"citationItems":[{"id":"ITEM-1","itemData":{"author":[{"dropping-particle":"St.","family":"John","given":"Jeff","non-dropping-particle":"","parse-names":false,"suffix":""}],"container-title":"Canary Media","id":"ITEM-1","issued":{"date-parts":[["2022"]]},"title":"5 charts that shed new light on how people charge EVs at home","type":"article-magazine"},"uris":["http://www.mendeley.com/documents/?uuid=e798706e-64aa-4b21-9022-67e0d7d6ffa3"]}],"mendeley":{"formattedCitation":"(John, 2022)","plainTextFormattedCitation":"(John, 2022)","previouslyFormattedCitation":"(John, 2022)"},"properties":{"noteIndex":0},"schema":"https://github.com/citation-style-language/schema/raw/master/csl-citation.json"}</w:instrText>
      </w:r>
      <w:r w:rsidRPr="001A04ED">
        <w:rPr>
          <w:rFonts w:cs="Times New Roman"/>
        </w:rPr>
        <w:fldChar w:fldCharType="separate"/>
      </w:r>
      <w:r w:rsidRPr="001A04ED">
        <w:rPr>
          <w:rFonts w:cs="Times New Roman"/>
          <w:noProof/>
        </w:rPr>
        <w:t>(John, 2022)</w:t>
      </w:r>
      <w:r w:rsidRPr="001A04ED">
        <w:rPr>
          <w:rFonts w:cs="Times New Roman"/>
        </w:rPr>
        <w:fldChar w:fldCharType="end"/>
      </w:r>
      <w:r w:rsidRPr="001A04ED">
        <w:rPr>
          <w:rFonts w:cs="Times New Roman"/>
        </w:rPr>
        <w:t>. Therefore, in the future years, an increasing pressure on the national electricity grid is inevitable. This study provides with valuable insights into the factors that impact household EV charging infrastructure. By identifying the locations of higher concentration of households that consume energy for EV charging, the proposed framework can help in redesigning the national grid and assist with determining optimal locations for new EV charging infrastructure. Further, as household socioeconomic conditions vary across different regions and cities, the proposed framework can also serve as a valuable tool to estimate total energy demand across diverse geographic areas.</w:t>
      </w:r>
    </w:p>
    <w:p w14:paraId="3603EFF7" w14:textId="4B58E85C" w:rsidR="006D7426" w:rsidRPr="001A04ED" w:rsidRDefault="007954DE" w:rsidP="000856A6">
      <w:pPr>
        <w:rPr>
          <w:rFonts w:cs="Times New Roman"/>
        </w:rPr>
      </w:pPr>
      <w:r w:rsidRPr="001A04ED">
        <w:rPr>
          <w:rFonts w:cs="Times New Roman"/>
        </w:rPr>
        <w:t xml:space="preserve">The remainder of the paper is organized as follows: The next section </w:t>
      </w:r>
      <w:r w:rsidR="00912266" w:rsidRPr="001A04ED">
        <w:rPr>
          <w:rFonts w:cs="Times New Roman"/>
        </w:rPr>
        <w:t xml:space="preserve">presents </w:t>
      </w:r>
      <w:r w:rsidRPr="001A04ED">
        <w:rPr>
          <w:rFonts w:cs="Times New Roman"/>
        </w:rPr>
        <w:t xml:space="preserve">the </w:t>
      </w:r>
      <w:r w:rsidR="005E3047" w:rsidRPr="001A04ED">
        <w:rPr>
          <w:rFonts w:cs="Times New Roman"/>
        </w:rPr>
        <w:t xml:space="preserve">experimental design of </w:t>
      </w:r>
      <w:r w:rsidR="00912266" w:rsidRPr="001A04ED">
        <w:rPr>
          <w:rFonts w:cs="Times New Roman"/>
        </w:rPr>
        <w:t xml:space="preserve">the fusion approach </w:t>
      </w:r>
      <w:r w:rsidR="00637625" w:rsidRPr="001A04ED">
        <w:rPr>
          <w:rFonts w:cs="Times New Roman"/>
        </w:rPr>
        <w:t xml:space="preserve">followed by a discussion of the </w:t>
      </w:r>
      <w:r w:rsidR="00912266" w:rsidRPr="001A04ED">
        <w:rPr>
          <w:rFonts w:cs="Times New Roman"/>
        </w:rPr>
        <w:t>methodological details</w:t>
      </w:r>
      <w:r w:rsidR="009152C6" w:rsidRPr="001A04ED">
        <w:rPr>
          <w:rFonts w:cs="Times New Roman"/>
        </w:rPr>
        <w:t>. The</w:t>
      </w:r>
      <w:r w:rsidR="00002D8E" w:rsidRPr="001A04ED">
        <w:rPr>
          <w:rFonts w:cs="Times New Roman"/>
        </w:rPr>
        <w:t xml:space="preserve"> data description section summarizes the datasets. </w:t>
      </w:r>
      <w:r w:rsidR="00451159" w:rsidRPr="001A04ED">
        <w:rPr>
          <w:rFonts w:cs="Times New Roman"/>
        </w:rPr>
        <w:t xml:space="preserve">The </w:t>
      </w:r>
      <w:r w:rsidR="00D270DF" w:rsidRPr="001A04ED">
        <w:rPr>
          <w:rFonts w:cs="Times New Roman"/>
        </w:rPr>
        <w:t xml:space="preserve">following </w:t>
      </w:r>
      <w:r w:rsidR="006D7426" w:rsidRPr="001A04ED">
        <w:rPr>
          <w:rFonts w:cs="Times New Roman"/>
        </w:rPr>
        <w:t>section</w:t>
      </w:r>
      <w:r w:rsidR="003E7CB2" w:rsidRPr="001A04ED">
        <w:rPr>
          <w:rFonts w:cs="Times New Roman"/>
        </w:rPr>
        <w:t xml:space="preserve"> specifies</w:t>
      </w:r>
      <w:r w:rsidR="00451159" w:rsidRPr="001A04ED">
        <w:rPr>
          <w:rFonts w:cs="Times New Roman"/>
        </w:rPr>
        <w:t xml:space="preserve"> the selection of the best fitted model </w:t>
      </w:r>
      <w:r w:rsidR="003E7CB2" w:rsidRPr="001A04ED">
        <w:rPr>
          <w:rFonts w:cs="Times New Roman"/>
        </w:rPr>
        <w:t xml:space="preserve">while the estimation results of the best fitted model is </w:t>
      </w:r>
      <w:r w:rsidR="00EF0A3E" w:rsidRPr="001A04ED">
        <w:rPr>
          <w:rFonts w:cs="Times New Roman"/>
        </w:rPr>
        <w:t>summarized</w:t>
      </w:r>
      <w:r w:rsidR="003E7CB2" w:rsidRPr="001A04ED">
        <w:rPr>
          <w:rFonts w:cs="Times New Roman"/>
        </w:rPr>
        <w:t xml:space="preserve"> in the model estimation section</w:t>
      </w:r>
      <w:r w:rsidRPr="001A04ED">
        <w:rPr>
          <w:rFonts w:cs="Times New Roman"/>
        </w:rPr>
        <w:t xml:space="preserve">. The applicability of the proposed framework is illustrated in the </w:t>
      </w:r>
      <w:r w:rsidR="006D7426" w:rsidRPr="001A04ED">
        <w:rPr>
          <w:rFonts w:cs="Times New Roman"/>
        </w:rPr>
        <w:t>elasticity</w:t>
      </w:r>
      <w:r w:rsidRPr="001A04ED">
        <w:rPr>
          <w:rFonts w:cs="Times New Roman"/>
        </w:rPr>
        <w:t xml:space="preserve"> analysis section. The final section concludes the paper.</w:t>
      </w:r>
    </w:p>
    <w:p w14:paraId="092493B1" w14:textId="77777777" w:rsidR="00DE4276" w:rsidRPr="001A04ED" w:rsidRDefault="00DE4276" w:rsidP="00DE4276">
      <w:pPr>
        <w:ind w:firstLine="0"/>
        <w:rPr>
          <w:rFonts w:cs="Times New Roman"/>
        </w:rPr>
      </w:pPr>
    </w:p>
    <w:p w14:paraId="696512B9" w14:textId="16517F48" w:rsidR="001940AA" w:rsidRPr="001A04ED" w:rsidRDefault="00DF133A" w:rsidP="00DF133A">
      <w:pPr>
        <w:pStyle w:val="Heading1"/>
        <w:rPr>
          <w:szCs w:val="22"/>
        </w:rPr>
      </w:pPr>
      <w:r w:rsidRPr="001A04ED">
        <w:rPr>
          <w:szCs w:val="22"/>
        </w:rPr>
        <w:t>Data Fusion Algorithm</w:t>
      </w:r>
    </w:p>
    <w:p w14:paraId="5ED087F2" w14:textId="7F3F805C" w:rsidR="0047424F" w:rsidRPr="001A04ED" w:rsidRDefault="00FC3D51" w:rsidP="0047424F">
      <w:pPr>
        <w:pStyle w:val="1stParagraph"/>
        <w:rPr>
          <w:rFonts w:cs="Times New Roman"/>
        </w:rPr>
      </w:pPr>
      <w:r w:rsidRPr="001A04ED">
        <w:rPr>
          <w:rFonts w:cs="Times New Roman"/>
        </w:rPr>
        <w:t xml:space="preserve">In this paper, </w:t>
      </w:r>
      <w:r w:rsidR="005D3C08" w:rsidRPr="001A04ED">
        <w:rPr>
          <w:rFonts w:cs="Times New Roman"/>
        </w:rPr>
        <w:t xml:space="preserve">the </w:t>
      </w:r>
      <w:r w:rsidRPr="001A04ED">
        <w:rPr>
          <w:rFonts w:cs="Times New Roman"/>
        </w:rPr>
        <w:t xml:space="preserve">energy use data </w:t>
      </w:r>
      <w:r w:rsidR="005D3C08" w:rsidRPr="001A04ED">
        <w:rPr>
          <w:rFonts w:cs="Times New Roman"/>
        </w:rPr>
        <w:t xml:space="preserve">is employed </w:t>
      </w:r>
      <w:r w:rsidRPr="001A04ED">
        <w:rPr>
          <w:rFonts w:cs="Times New Roman"/>
        </w:rPr>
        <w:t xml:space="preserve">from 2020 Residential Energy Consumption Survey (RECS) </w:t>
      </w:r>
      <w:r w:rsidR="004620E8" w:rsidRPr="001A04ED">
        <w:rPr>
          <w:rFonts w:cs="Times New Roman"/>
        </w:rPr>
        <w:t>dataset and</w:t>
      </w:r>
      <w:r w:rsidRPr="001A04ED">
        <w:rPr>
          <w:rFonts w:cs="Times New Roman"/>
        </w:rPr>
        <w:t xml:space="preserve"> </w:t>
      </w:r>
      <w:r w:rsidR="005D3C08" w:rsidRPr="001A04ED">
        <w:rPr>
          <w:rFonts w:cs="Times New Roman"/>
        </w:rPr>
        <w:t xml:space="preserve">the </w:t>
      </w:r>
      <w:r w:rsidR="0047424F" w:rsidRPr="001A04ED">
        <w:rPr>
          <w:rFonts w:cs="Times New Roman"/>
        </w:rPr>
        <w:t xml:space="preserve">travel </w:t>
      </w:r>
      <w:r w:rsidR="00B67637" w:rsidRPr="001A04ED">
        <w:t xml:space="preserve">infrastructure and usage </w:t>
      </w:r>
      <w:r w:rsidRPr="001A04ED">
        <w:rPr>
          <w:rFonts w:cs="Times New Roman"/>
        </w:rPr>
        <w:t>data</w:t>
      </w:r>
      <w:r w:rsidR="0047424F" w:rsidRPr="001A04ED">
        <w:rPr>
          <w:rFonts w:cs="Times New Roman"/>
        </w:rPr>
        <w:t xml:space="preserve"> </w:t>
      </w:r>
      <w:r w:rsidR="005D3C08" w:rsidRPr="001A04ED">
        <w:rPr>
          <w:rFonts w:cs="Times New Roman"/>
        </w:rPr>
        <w:t xml:space="preserve">is employed </w:t>
      </w:r>
      <w:r w:rsidR="0047424F" w:rsidRPr="001A04ED">
        <w:rPr>
          <w:rFonts w:cs="Times New Roman"/>
        </w:rPr>
        <w:t xml:space="preserve">from the </w:t>
      </w:r>
      <w:r w:rsidR="009935CD" w:rsidRPr="001A04ED">
        <w:rPr>
          <w:rFonts w:cs="Times New Roman"/>
        </w:rPr>
        <w:t xml:space="preserve">2022 </w:t>
      </w:r>
      <w:r w:rsidR="0047424F" w:rsidRPr="001A04ED">
        <w:rPr>
          <w:rFonts w:cs="Times New Roman"/>
        </w:rPr>
        <w:t xml:space="preserve">National Household Travel Survey (NHTS) dataset. </w:t>
      </w:r>
      <w:r w:rsidR="008C2318" w:rsidRPr="001A04ED">
        <w:rPr>
          <w:rFonts w:cs="Times New Roman"/>
        </w:rPr>
        <w:t>The two datasets</w:t>
      </w:r>
      <w:r w:rsidR="0047424F" w:rsidRPr="001A04ED">
        <w:rPr>
          <w:rFonts w:cs="Times New Roman"/>
        </w:rPr>
        <w:t xml:space="preserve"> do not </w:t>
      </w:r>
      <w:r w:rsidR="008C2318" w:rsidRPr="001A04ED">
        <w:rPr>
          <w:rFonts w:cs="Times New Roman"/>
        </w:rPr>
        <w:t>share a</w:t>
      </w:r>
      <w:r w:rsidR="0047424F" w:rsidRPr="001A04ED">
        <w:rPr>
          <w:rFonts w:cs="Times New Roman"/>
        </w:rPr>
        <w:t xml:space="preserve"> unique identifier </w:t>
      </w:r>
      <w:r w:rsidR="008C2318" w:rsidRPr="001A04ED">
        <w:rPr>
          <w:rFonts w:cs="Times New Roman"/>
        </w:rPr>
        <w:t xml:space="preserve">to </w:t>
      </w:r>
      <w:r w:rsidR="0080575A" w:rsidRPr="001A04ED">
        <w:rPr>
          <w:rFonts w:cs="Times New Roman"/>
        </w:rPr>
        <w:t xml:space="preserve">easily </w:t>
      </w:r>
      <w:r w:rsidR="008C2318" w:rsidRPr="001A04ED">
        <w:rPr>
          <w:rFonts w:cs="Times New Roman"/>
        </w:rPr>
        <w:t>merge them</w:t>
      </w:r>
      <w:r w:rsidR="0047424F" w:rsidRPr="001A04ED">
        <w:rPr>
          <w:rFonts w:cs="Times New Roman"/>
        </w:rPr>
        <w:t xml:space="preserve">. Hence, </w:t>
      </w:r>
      <w:r w:rsidR="008C2318" w:rsidRPr="001A04ED">
        <w:rPr>
          <w:rFonts w:cs="Times New Roman"/>
        </w:rPr>
        <w:t xml:space="preserve">a probabilistic </w:t>
      </w:r>
      <w:r w:rsidR="0047424F" w:rsidRPr="001A04ED">
        <w:rPr>
          <w:rFonts w:cs="Times New Roman"/>
        </w:rPr>
        <w:t xml:space="preserve">fusion approach </w:t>
      </w:r>
      <w:r w:rsidR="00AF4C3F" w:rsidRPr="001A04ED">
        <w:rPr>
          <w:rFonts w:cs="Times New Roman"/>
        </w:rPr>
        <w:t xml:space="preserve">is employed </w:t>
      </w:r>
      <w:r w:rsidR="008C2318" w:rsidRPr="001A04ED">
        <w:rPr>
          <w:rFonts w:cs="Times New Roman"/>
        </w:rPr>
        <w:t>for our analysis of energy consumption by end use</w:t>
      </w:r>
      <w:r w:rsidR="0047424F" w:rsidRPr="001A04ED">
        <w:rPr>
          <w:rFonts w:cs="Times New Roman"/>
        </w:rPr>
        <w:t>.</w:t>
      </w:r>
    </w:p>
    <w:p w14:paraId="348794CB" w14:textId="336567B0" w:rsidR="006C630B" w:rsidRPr="001A04ED" w:rsidRDefault="008C2318" w:rsidP="009B4657">
      <w:bookmarkStart w:id="0" w:name="_Hlk110279982"/>
      <w:r w:rsidRPr="001A04ED">
        <w:t>T</w:t>
      </w:r>
      <w:r w:rsidR="00056249" w:rsidRPr="001A04ED">
        <w:t xml:space="preserve">he data fusion is </w:t>
      </w:r>
      <w:r w:rsidR="0037502E" w:rsidRPr="001A04ED">
        <w:t xml:space="preserve">performed </w:t>
      </w:r>
      <w:r w:rsidR="00056249" w:rsidRPr="001A04ED">
        <w:t xml:space="preserve">based on </w:t>
      </w:r>
      <w:r w:rsidR="0037502E" w:rsidRPr="001A04ED">
        <w:t xml:space="preserve">the </w:t>
      </w:r>
      <w:r w:rsidR="00056249" w:rsidRPr="001A04ED">
        <w:t xml:space="preserve">common attributes across the two datasets. </w:t>
      </w:r>
      <w:bookmarkEnd w:id="0"/>
      <w:r w:rsidR="00056249" w:rsidRPr="001A04ED">
        <w:t xml:space="preserve">The fusion algorithm hypothesizes that households with matching attributes </w:t>
      </w:r>
      <w:r w:rsidR="004B5C9B" w:rsidRPr="001A04ED">
        <w:t xml:space="preserve">across the two datasets </w:t>
      </w:r>
      <w:r w:rsidR="00056249" w:rsidRPr="001A04ED">
        <w:t xml:space="preserve">are likely to </w:t>
      </w:r>
      <w:r w:rsidR="004B5C9B" w:rsidRPr="001A04ED">
        <w:t>share similar attributes</w:t>
      </w:r>
      <w:r w:rsidR="00EA05EF" w:rsidRPr="001A04ED">
        <w:t xml:space="preserve"> (such as travel </w:t>
      </w:r>
      <w:r w:rsidR="00710CDF" w:rsidRPr="001A04ED">
        <w:t xml:space="preserve">infrastructure and usage </w:t>
      </w:r>
      <w:r w:rsidR="00EA05EF" w:rsidRPr="001A04ED">
        <w:t>attributes form NHTS)</w:t>
      </w:r>
      <w:r w:rsidR="00056249" w:rsidRPr="001A04ED">
        <w:t xml:space="preserve">. </w:t>
      </w:r>
      <w:r w:rsidR="003935C4" w:rsidRPr="001A04ED">
        <w:t xml:space="preserve">Seven common variables – </w:t>
      </w:r>
      <w:r w:rsidR="000F095C" w:rsidRPr="001A04ED">
        <w:t xml:space="preserve">household </w:t>
      </w:r>
      <w:r w:rsidR="0042095C" w:rsidRPr="001A04ED">
        <w:t>d</w:t>
      </w:r>
      <w:r w:rsidR="000F095C" w:rsidRPr="001A04ED">
        <w:t>ivision</w:t>
      </w:r>
      <w:r w:rsidR="00EE1B25" w:rsidRPr="001A04ED">
        <w:rPr>
          <w:rStyle w:val="FootnoteReference"/>
        </w:rPr>
        <w:footnoteReference w:id="4"/>
      </w:r>
      <w:r w:rsidR="000F095C" w:rsidRPr="001A04ED">
        <w:t>,</w:t>
      </w:r>
      <w:r w:rsidR="00EF2218" w:rsidRPr="001A04ED">
        <w:t xml:space="preserve"> </w:t>
      </w:r>
      <w:r w:rsidR="000F095C" w:rsidRPr="001A04ED">
        <w:t xml:space="preserve">household </w:t>
      </w:r>
      <w:r w:rsidR="0042095C" w:rsidRPr="001A04ED">
        <w:t>i</w:t>
      </w:r>
      <w:r w:rsidR="000F095C" w:rsidRPr="001A04ED">
        <w:t xml:space="preserve">ncome, </w:t>
      </w:r>
      <w:r w:rsidR="00EF2218" w:rsidRPr="001A04ED">
        <w:t xml:space="preserve">household </w:t>
      </w:r>
      <w:r w:rsidR="0042095C" w:rsidRPr="001A04ED">
        <w:t>l</w:t>
      </w:r>
      <w:r w:rsidR="00EF2218" w:rsidRPr="001A04ED">
        <w:t xml:space="preserve">ocation, household </w:t>
      </w:r>
      <w:r w:rsidR="0042095C" w:rsidRPr="001A04ED">
        <w:t>o</w:t>
      </w:r>
      <w:r w:rsidR="00EF2218" w:rsidRPr="001A04ED">
        <w:t xml:space="preserve">wnership, household </w:t>
      </w:r>
      <w:r w:rsidR="0042095C" w:rsidRPr="001A04ED">
        <w:t>r</w:t>
      </w:r>
      <w:r w:rsidR="00EF2218" w:rsidRPr="001A04ED">
        <w:t xml:space="preserve">egion, </w:t>
      </w:r>
      <w:r w:rsidR="003935C4" w:rsidRPr="001A04ED">
        <w:t xml:space="preserve">household </w:t>
      </w:r>
      <w:r w:rsidR="0042095C" w:rsidRPr="001A04ED">
        <w:t>s</w:t>
      </w:r>
      <w:r w:rsidR="003935C4" w:rsidRPr="001A04ED">
        <w:t xml:space="preserve">ize and housing </w:t>
      </w:r>
      <w:r w:rsidR="0042095C" w:rsidRPr="001A04ED">
        <w:t>t</w:t>
      </w:r>
      <w:r w:rsidR="003935C4" w:rsidRPr="001A04ED">
        <w:t xml:space="preserve">ype – are present in </w:t>
      </w:r>
      <w:r w:rsidR="00710CDF" w:rsidRPr="001A04ED">
        <w:t xml:space="preserve">the </w:t>
      </w:r>
      <w:r w:rsidR="003935C4" w:rsidRPr="001A04ED">
        <w:t>RECS and NHTS dataset</w:t>
      </w:r>
      <w:r w:rsidR="005831BA" w:rsidRPr="001A04ED">
        <w:t>s</w:t>
      </w:r>
      <w:r w:rsidR="003935C4" w:rsidRPr="001A04ED">
        <w:t>.</w:t>
      </w:r>
      <w:r w:rsidR="00EA05EF" w:rsidRPr="001A04ED">
        <w:t xml:space="preserve"> </w:t>
      </w:r>
      <w:r w:rsidR="00B34AD6" w:rsidRPr="001A04ED">
        <w:t>While</w:t>
      </w:r>
      <w:r w:rsidR="00EA05EF" w:rsidRPr="001A04ED">
        <w:t xml:space="preserve"> it might be ideal to </w:t>
      </w:r>
      <w:r w:rsidR="005B31AA" w:rsidRPr="001A04ED">
        <w:t xml:space="preserve">consider fusion with only </w:t>
      </w:r>
      <w:r w:rsidR="00575F98" w:rsidRPr="001A04ED">
        <w:t>a completely</w:t>
      </w:r>
      <w:r w:rsidR="005B31AA" w:rsidRPr="001A04ED">
        <w:t xml:space="preserve"> matched set of records, it is not always possible to get enough records for fusion with strict matching </w:t>
      </w:r>
      <w:r w:rsidR="002A150A" w:rsidRPr="001A04ED">
        <w:t xml:space="preserve">policy. As the number of matching variables </w:t>
      </w:r>
      <w:r w:rsidR="000A5D6B" w:rsidRPr="001A04ED">
        <w:t>increases</w:t>
      </w:r>
      <w:r w:rsidR="002A150A" w:rsidRPr="001A04ED">
        <w:t xml:space="preserve">, the number of possible matches across the two datasets </w:t>
      </w:r>
      <w:r w:rsidR="00575F98" w:rsidRPr="001A04ED">
        <w:t>reduces</w:t>
      </w:r>
      <w:r w:rsidR="002A150A" w:rsidRPr="001A04ED">
        <w:t xml:space="preserve"> very rapidly. </w:t>
      </w:r>
      <w:r w:rsidR="00E85369" w:rsidRPr="001A04ED">
        <w:t xml:space="preserve">For example, when all seven variables </w:t>
      </w:r>
      <w:r w:rsidR="00AF4C3F" w:rsidRPr="001A04ED">
        <w:t xml:space="preserve">are matched, </w:t>
      </w:r>
      <w:r w:rsidR="00E85369" w:rsidRPr="001A04ED">
        <w:t xml:space="preserve">the average number of matches is only </w:t>
      </w:r>
      <w:r w:rsidR="008018EA" w:rsidRPr="001A04ED">
        <w:t>14</w:t>
      </w:r>
      <w:r w:rsidR="00E85369" w:rsidRPr="001A04ED">
        <w:t xml:space="preserve">. </w:t>
      </w:r>
      <w:r w:rsidR="00F43F5E" w:rsidRPr="001A04ED">
        <w:t xml:space="preserve">In addition, </w:t>
      </w:r>
      <w:r w:rsidR="003D39F3" w:rsidRPr="001A04ED">
        <w:t>13%</w:t>
      </w:r>
      <w:r w:rsidR="00F43F5E" w:rsidRPr="001A04ED">
        <w:t xml:space="preserve"> RECS records </w:t>
      </w:r>
      <w:r w:rsidR="00D163D3" w:rsidRPr="001A04ED">
        <w:t>do not have any matches from the NHTS da</w:t>
      </w:r>
      <w:r w:rsidR="002F1D4B" w:rsidRPr="001A04ED">
        <w:t>t</w:t>
      </w:r>
      <w:r w:rsidR="00D163D3" w:rsidRPr="001A04ED">
        <w:t xml:space="preserve">aset. </w:t>
      </w:r>
      <w:r w:rsidR="002A150A" w:rsidRPr="001A04ED">
        <w:t xml:space="preserve">Hence, </w:t>
      </w:r>
      <w:r w:rsidR="00056249" w:rsidRPr="001A04ED">
        <w:t xml:space="preserve">in </w:t>
      </w:r>
      <w:r w:rsidR="00865081" w:rsidRPr="001A04ED">
        <w:t>this</w:t>
      </w:r>
      <w:r w:rsidR="00056249" w:rsidRPr="001A04ED">
        <w:t xml:space="preserve"> context, </w:t>
      </w:r>
      <w:r w:rsidR="001F2CBA" w:rsidRPr="001A04ED">
        <w:t>among</w:t>
      </w:r>
      <w:r w:rsidR="00350202" w:rsidRPr="001A04ED">
        <w:t xml:space="preserve"> the seven common variables</w:t>
      </w:r>
      <w:r w:rsidR="001F2CBA" w:rsidRPr="001A04ED">
        <w:t>,</w:t>
      </w:r>
      <w:r w:rsidR="00350202" w:rsidRPr="001A04ED">
        <w:t xml:space="preserve"> </w:t>
      </w:r>
      <w:r w:rsidR="00056249" w:rsidRPr="001A04ED">
        <w:t xml:space="preserve">matching </w:t>
      </w:r>
      <w:r w:rsidR="000A5D6B" w:rsidRPr="001A04ED">
        <w:t xml:space="preserve">at most </w:t>
      </w:r>
      <w:r w:rsidR="00350202" w:rsidRPr="001A04ED">
        <w:t>six</w:t>
      </w:r>
      <w:r w:rsidR="00056249" w:rsidRPr="001A04ED">
        <w:t xml:space="preserve"> variables</w:t>
      </w:r>
      <w:r w:rsidR="00865081" w:rsidRPr="001A04ED">
        <w:t xml:space="preserve"> is considered</w:t>
      </w:r>
      <w:r w:rsidR="00056249" w:rsidRPr="001A04ED">
        <w:t xml:space="preserve"> to ensure adequate matching records exist.</w:t>
      </w:r>
      <w:r w:rsidR="00A13B14" w:rsidRPr="001A04ED">
        <w:t xml:space="preserve"> </w:t>
      </w:r>
      <w:r w:rsidR="00E008DF" w:rsidRPr="001A04ED">
        <w:t>To be sure, the performance of each possible set of matching variables</w:t>
      </w:r>
      <w:r w:rsidR="00865081" w:rsidRPr="001A04ED">
        <w:t xml:space="preserve"> are carefully compared</w:t>
      </w:r>
      <w:r w:rsidR="00E008DF" w:rsidRPr="001A04ED">
        <w:t>.</w:t>
      </w:r>
    </w:p>
    <w:p w14:paraId="0806DD55" w14:textId="77777777" w:rsidR="00721E96" w:rsidRPr="001A04ED" w:rsidRDefault="00721E96" w:rsidP="00721E96">
      <w:pPr>
        <w:ind w:firstLine="0"/>
      </w:pPr>
    </w:p>
    <w:p w14:paraId="6CF9396E" w14:textId="2802A478" w:rsidR="00721E96" w:rsidRPr="001A04ED" w:rsidRDefault="00325408" w:rsidP="00325408">
      <w:pPr>
        <w:ind w:firstLine="0"/>
        <w:jc w:val="center"/>
      </w:pPr>
      <w:r w:rsidRPr="001A04ED">
        <w:rPr>
          <w:noProof/>
        </w:rPr>
        <w:lastRenderedPageBreak/>
        <w:drawing>
          <wp:inline distT="0" distB="0" distL="0" distR="0" wp14:anchorId="086C4865" wp14:editId="14F8F2D9">
            <wp:extent cx="5943600" cy="3837940"/>
            <wp:effectExtent l="0" t="0" r="0" b="0"/>
            <wp:docPr id="1551227648" name="Picture 1" descr="A diagram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27648" name="Picture 1" descr="A diagram of a numb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3837940"/>
                    </a:xfrm>
                    <a:prstGeom prst="rect">
                      <a:avLst/>
                    </a:prstGeom>
                  </pic:spPr>
                </pic:pic>
              </a:graphicData>
            </a:graphic>
          </wp:inline>
        </w:drawing>
      </w:r>
    </w:p>
    <w:p w14:paraId="1F9C6BFB" w14:textId="77777777" w:rsidR="00325408" w:rsidRPr="001A04ED" w:rsidRDefault="00325408" w:rsidP="00325408">
      <w:pPr>
        <w:pStyle w:val="1stParagraph"/>
        <w:jc w:val="center"/>
        <w:rPr>
          <w:b/>
          <w:bCs/>
        </w:rPr>
      </w:pPr>
      <w:r w:rsidRPr="001A04ED">
        <w:rPr>
          <w:b/>
          <w:bCs/>
        </w:rPr>
        <w:t>Figure 1: Flow chart of fusion algorithm</w:t>
      </w:r>
    </w:p>
    <w:p w14:paraId="2CD96852" w14:textId="315511A0" w:rsidR="00325408" w:rsidRPr="001A04ED" w:rsidRDefault="00325408" w:rsidP="00721E96">
      <w:pPr>
        <w:ind w:firstLine="0"/>
      </w:pPr>
    </w:p>
    <w:p w14:paraId="19036122" w14:textId="6DBBBC4A" w:rsidR="00BF4A39" w:rsidRPr="001A04ED" w:rsidRDefault="00BF4A39" w:rsidP="00BF4A39">
      <w:r w:rsidRPr="001A04ED">
        <w:t>The reader would note that for any set of matching variables, multiple matches are likely to exist. Among these matches, there is no way to identify an “ideal match”. Hence, the fusion process with multiple candidates from the pool of matched records</w:t>
      </w:r>
      <w:r w:rsidR="00AC1B00" w:rsidRPr="001A04ED">
        <w:t xml:space="preserve"> is considered</w:t>
      </w:r>
      <w:r w:rsidRPr="001A04ED">
        <w:t xml:space="preserve">. </w:t>
      </w:r>
      <w:r w:rsidR="00AC1B00" w:rsidRPr="001A04ED">
        <w:t>T</w:t>
      </w:r>
      <w:r w:rsidRPr="001A04ED">
        <w:t>he model fit of the dependent variable for different number of fusion records</w:t>
      </w:r>
      <w:r w:rsidR="00157621" w:rsidRPr="001A04ED">
        <w:t xml:space="preserve"> is systematically tested</w:t>
      </w:r>
      <w:r w:rsidRPr="001A04ED">
        <w:t xml:space="preserve"> to identify the “optimal” number of fusion records. While increasing the size of fusion records can possibly improve the model, the increase in computation time needs to be recognized. When multiple NHTS </w:t>
      </w:r>
      <w:r w:rsidR="00157621" w:rsidRPr="001A04ED">
        <w:t xml:space="preserve">records are fused </w:t>
      </w:r>
      <w:r w:rsidRPr="001A04ED">
        <w:t>for each RECS record, the energy consumption record will repeat with each fused record. Hence, a weight variable</w:t>
      </w:r>
      <w:r w:rsidR="00157621" w:rsidRPr="001A04ED">
        <w:t xml:space="preserve"> is considered</w:t>
      </w:r>
      <w:r w:rsidRPr="001A04ED">
        <w:t xml:space="preserve"> that ensures each RECS record accounts for only one record. For example, if the number of matched records is 10, </w:t>
      </w:r>
      <w:r w:rsidR="00ED2CFF" w:rsidRPr="001A04ED">
        <w:t xml:space="preserve">it is </w:t>
      </w:r>
      <w:r w:rsidRPr="001A04ED">
        <w:t>ensure</w:t>
      </w:r>
      <w:r w:rsidR="00ED2CFF" w:rsidRPr="001A04ED">
        <w:t>d</w:t>
      </w:r>
      <w:r w:rsidRPr="001A04ED">
        <w:t xml:space="preserve"> that across the 10 records the newly added weight adds to 1. </w:t>
      </w:r>
      <w:r w:rsidR="00ED2CFF" w:rsidRPr="001A04ED">
        <w:t xml:space="preserve">In this </w:t>
      </w:r>
      <w:r w:rsidR="00286F91" w:rsidRPr="001A04ED">
        <w:t>research, two</w:t>
      </w:r>
      <w:r w:rsidRPr="001A04ED">
        <w:t xml:space="preserve"> approaches</w:t>
      </w:r>
      <w:r w:rsidR="00286F91" w:rsidRPr="001A04ED">
        <w:t xml:space="preserve"> are employed</w:t>
      </w:r>
      <w:r w:rsidRPr="001A04ED">
        <w:t xml:space="preserve"> for determining the weight. The first approach takes the form of a deterministic weight – </w:t>
      </w:r>
      <m:oMath>
        <m:r>
          <w:rPr>
            <w:rFonts w:ascii="Cambria Math" w:hAnsi="Cambria Math"/>
          </w:rPr>
          <m:t>1⁄(</m:t>
        </m:r>
        <m:r>
          <m:rPr>
            <m:sty m:val="p"/>
          </m:rPr>
          <w:rPr>
            <w:rFonts w:ascii="Cambria Math" w:hAnsi="Cambria Math"/>
          </w:rPr>
          <m:t>Number of NHTS records</m:t>
        </m:r>
        <m:r>
          <w:rPr>
            <w:rFonts w:ascii="Cambria Math" w:hAnsi="Cambria Math"/>
          </w:rPr>
          <m:t>)</m:t>
        </m:r>
      </m:oMath>
      <w:r w:rsidRPr="001A04ED">
        <w:t xml:space="preserve"> (so 1/10 in our example). In the second approach - probabilistic approach - the model </w:t>
      </w:r>
      <w:r w:rsidR="00A76771" w:rsidRPr="001A04ED">
        <w:t xml:space="preserve">is let to </w:t>
      </w:r>
      <w:r w:rsidRPr="001A04ED">
        <w:t xml:space="preserve">allocate the weight for each of the fused records based on the variables not used in the matching process. </w:t>
      </w:r>
      <w:r w:rsidRPr="001A04ED">
        <w:rPr>
          <w:rFonts w:cs="Times New Roman"/>
        </w:rPr>
        <w:t xml:space="preserve">The weight function is scored based on the similarity/dissimilarity of the common attributes that were not used for fusion. The weight score is expected to be higher for records with higher similarity. </w:t>
      </w:r>
      <w:r w:rsidRPr="001A04ED">
        <w:t xml:space="preserve">In this process, the records that offer the largest improvement in prediction will have higher weights. </w:t>
      </w:r>
      <w:r w:rsidRPr="001A04ED">
        <w:rPr>
          <w:rFonts w:cs="Times New Roman"/>
        </w:rPr>
        <w:t>Finally, g</w:t>
      </w:r>
      <w:r w:rsidRPr="001A04ED">
        <w:t>iven the inherent random nature of the fusion process, the fusion process</w:t>
      </w:r>
      <w:r w:rsidR="00ED5B3A" w:rsidRPr="001A04ED">
        <w:t xml:space="preserve"> is repeated</w:t>
      </w:r>
      <w:r w:rsidRPr="001A04ED">
        <w:t xml:space="preserve"> for a fixed number of fused records multiple times to ensure that the results are reliable. The model parameters across these samples are compared using a modified Wald t-test to ensure parameter stability. After establishing parameter stability, the fused dataset and the model is finalized. The complete data fusion process is summarized in Figure 1 (see </w:t>
      </w:r>
      <w:r w:rsidRPr="001A04ED">
        <w:fldChar w:fldCharType="begin" w:fldLock="1"/>
      </w:r>
      <w:r w:rsidRPr="001A04ED">
        <w:instrText>ADDIN CSL_CITATION {"citationItems":[{"id":"ITEM-1","itemData":{"DOI":"10.1016/j.trc.2024.104753","ISSN":"0968-090X","author":[{"dropping-particle":"","family":"Bhowmik","given":"Tanmoy","non-dropping-particle":"","parse-names":false,"suffix":""},{"dropping-particle":"","family":"Eluru","given":"Naveen","non-dropping-particle":"","parse-names":false,"suffix":""},{"dropping-particle":"","family":"Hasan","given":"Samiul","non-dropping-particle":"","parse-names":false,"suffix":""},{"dropping-particle":"","family":"Culotta","given":"Aron","non-dropping-particle":"","parse-names":false,"suffix":""},{"dropping-particle":"","family":"Chandra","given":"Kamol","non-dropping-particle":"","parse-names":false,"suffix":""}],"container-title":"Transportation Research Part C","id":"ITEM-1","issue":"July","issued":{"date-parts":[["2024"]]},"page":"104753","publisher":"Elsevier Ltd","title":"Predicting hurricane evacuation behavior synthesizing data from travel surveys and social media","type":"article-journal","volume":"165"},"uris":["http://www.mendeley.com/documents/?uuid=4f461fbf-49b0-45cb-81b6-f0dd715c7c3f"]}],"mendeley":{"formattedCitation":"(Bhowmik, Eluru, et al., 2024)","manualFormatting":"(Bhowmik, et al., 2024a)","plainTextFormattedCitation":"(Bhowmik, Eluru, et al., 2024)","previouslyFormattedCitation":"(Bhowmik, Eluru, et al., 2024)"},"properties":{"noteIndex":0},"schema":"https://github.com/citation-style-language/schema/raw/master/csl-citation.json"}</w:instrText>
      </w:r>
      <w:r w:rsidRPr="001A04ED">
        <w:fldChar w:fldCharType="separate"/>
      </w:r>
      <w:r w:rsidRPr="001A04ED">
        <w:rPr>
          <w:noProof/>
        </w:rPr>
        <w:t>(Bhowmik, et al., 2024a)</w:t>
      </w:r>
      <w:r w:rsidRPr="001A04ED">
        <w:fldChar w:fldCharType="end"/>
      </w:r>
      <w:r w:rsidRPr="001A04ED">
        <w:t xml:space="preserve"> for similar research). In addition, an example of data fusion process is presented in Figure 2. </w:t>
      </w:r>
    </w:p>
    <w:p w14:paraId="0983A93B" w14:textId="77777777" w:rsidR="00325408" w:rsidRPr="001A04ED" w:rsidRDefault="00325408" w:rsidP="00325408">
      <w:pPr>
        <w:ind w:firstLine="0"/>
      </w:pPr>
    </w:p>
    <w:p w14:paraId="2FF82CB1" w14:textId="743CCFE8" w:rsidR="00325408" w:rsidRPr="001A04ED" w:rsidRDefault="00325408" w:rsidP="00325408">
      <w:pPr>
        <w:ind w:firstLine="0"/>
        <w:jc w:val="center"/>
      </w:pPr>
      <w:r w:rsidRPr="001A04ED">
        <w:rPr>
          <w:noProof/>
        </w:rPr>
        <w:lastRenderedPageBreak/>
        <w:drawing>
          <wp:inline distT="0" distB="0" distL="0" distR="0" wp14:anchorId="09051BC7" wp14:editId="4EF6C65C">
            <wp:extent cx="5943600" cy="3343275"/>
            <wp:effectExtent l="0" t="0" r="0" b="9525"/>
            <wp:docPr id="719567374" name="Picture 6"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67374" name="Picture 6" descr="A close-up of a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7A1A4EB2" w14:textId="62B50A64" w:rsidR="00325408" w:rsidRPr="001A04ED" w:rsidRDefault="00325408" w:rsidP="00325408">
      <w:pPr>
        <w:ind w:firstLine="0"/>
        <w:jc w:val="center"/>
        <w:rPr>
          <w:b/>
          <w:bCs/>
        </w:rPr>
      </w:pPr>
      <w:r w:rsidRPr="001A04ED">
        <w:rPr>
          <w:b/>
          <w:bCs/>
        </w:rPr>
        <w:t>Figure 2: Illustration of data fusion between RECS and NHTS datasets</w:t>
      </w:r>
    </w:p>
    <w:p w14:paraId="77A9258F" w14:textId="77777777" w:rsidR="00BE3095" w:rsidRPr="001A04ED" w:rsidRDefault="00BE3095" w:rsidP="00BE3095">
      <w:pPr>
        <w:ind w:firstLine="0"/>
        <w:rPr>
          <w:b/>
          <w:bCs/>
        </w:rPr>
      </w:pPr>
    </w:p>
    <w:p w14:paraId="61A85DDE" w14:textId="6D79B51B" w:rsidR="004B78FF" w:rsidRPr="001A04ED" w:rsidRDefault="004B78FF" w:rsidP="004B78FF">
      <w:r w:rsidRPr="001A04ED">
        <w:t xml:space="preserve">From Figure 2, </w:t>
      </w:r>
      <w:r w:rsidR="000D4A5B" w:rsidRPr="001A04ED">
        <w:t>it</w:t>
      </w:r>
      <w:r w:rsidRPr="001A04ED">
        <w:t xml:space="preserve"> can</w:t>
      </w:r>
      <w:r w:rsidR="000D4A5B" w:rsidRPr="001A04ED">
        <w:t xml:space="preserve"> be</w:t>
      </w:r>
      <w:r w:rsidRPr="001A04ED">
        <w:t xml:space="preserve"> observe</w:t>
      </w:r>
      <w:r w:rsidR="000D4A5B" w:rsidRPr="001A04ED">
        <w:t>d</w:t>
      </w:r>
      <w:r w:rsidRPr="001A04ED">
        <w:t xml:space="preserve"> that the RECS data and the NHTS data do not share a common identifier to merge them. While considering household location and ownership as matching variables, three cases can be found in the NHTS dataset for the first case of the RECS data. When the three NHTS records</w:t>
      </w:r>
      <w:r w:rsidR="000D4A5B" w:rsidRPr="001A04ED">
        <w:t xml:space="preserve"> are fused</w:t>
      </w:r>
      <w:r w:rsidRPr="001A04ED">
        <w:t xml:space="preserve"> to the RECS record, the energy consumption record in the RECS data repeats three times. Hence,</w:t>
      </w:r>
      <w:r w:rsidR="000D4A5B" w:rsidRPr="001A04ED">
        <w:t xml:space="preserve"> </w:t>
      </w:r>
      <w:r w:rsidRPr="001A04ED">
        <w:t xml:space="preserve">a weight variable </w:t>
      </w:r>
      <w:r w:rsidR="000D4A5B" w:rsidRPr="001A04ED">
        <w:t xml:space="preserve">is considered </w:t>
      </w:r>
      <w:r w:rsidRPr="001A04ED">
        <w:t>to ensure that the RECS record accounts for only one record. In the case of deterministic weight, all the cases in the fused dataset are assigned an equal weight (1/3). However, in the case of probabilistic weights,</w:t>
      </w:r>
      <w:r w:rsidR="000D4A5B" w:rsidRPr="001A04ED">
        <w:t xml:space="preserve"> </w:t>
      </w:r>
      <w:r w:rsidRPr="001A04ED">
        <w:t>the variable income category</w:t>
      </w:r>
      <w:r w:rsidR="000D4A5B" w:rsidRPr="001A04ED">
        <w:t xml:space="preserve"> is considered</w:t>
      </w:r>
      <w:r w:rsidRPr="001A04ED">
        <w:t xml:space="preserve"> for allocating the weights because the income category is present in both datasets but is not used in the matching process. It can be noticed that, only for the first fused record the income category matches in both datasets. Thus, t</w:t>
      </w:r>
      <w:r w:rsidRPr="001A04ED">
        <w:rPr>
          <w:rFonts w:cs="Times New Roman"/>
        </w:rPr>
        <w:t>he weight score for this record is computed to be higher (for illustration)</w:t>
      </w:r>
      <w:r w:rsidRPr="001A04ED">
        <w:t xml:space="preserve">. In our proposed framework, the appropriate weight allocation approach will be selected based on the impact of the weight variable (income category in our example) on model performance.  </w:t>
      </w:r>
    </w:p>
    <w:p w14:paraId="7B0C6C59" w14:textId="77777777" w:rsidR="004B78FF" w:rsidRPr="001A04ED" w:rsidRDefault="004B78FF" w:rsidP="004B78FF">
      <w:pPr>
        <w:pStyle w:val="1stParagraph"/>
      </w:pPr>
    </w:p>
    <w:p w14:paraId="6D35EFB5" w14:textId="72050C22" w:rsidR="00637625" w:rsidRPr="001A04ED" w:rsidRDefault="004B1C01" w:rsidP="00DF133A">
      <w:pPr>
        <w:pStyle w:val="Heading1"/>
        <w:rPr>
          <w:szCs w:val="22"/>
        </w:rPr>
      </w:pPr>
      <w:r w:rsidRPr="001A04ED">
        <w:rPr>
          <w:szCs w:val="22"/>
        </w:rPr>
        <w:t>Modeling Methodology</w:t>
      </w:r>
    </w:p>
    <w:p w14:paraId="27AA1485" w14:textId="6DD7070A" w:rsidR="00B94F43" w:rsidRPr="001A04ED" w:rsidRDefault="00B94F43" w:rsidP="00B94F43">
      <w:pPr>
        <w:pStyle w:val="1stParagraph"/>
      </w:pPr>
      <w:r w:rsidRPr="001A04ED">
        <w:t xml:space="preserve">With the preliminaries provided on the data fusion process, the methodological framework of the MDCEV model that is adopted in our study to estimate household energy demand for various end-uses with fused data is outlined here. </w:t>
      </w:r>
    </w:p>
    <w:p w14:paraId="42E1FA06" w14:textId="77777777" w:rsidR="00B94F43" w:rsidRPr="001A04ED" w:rsidRDefault="00B94F43" w:rsidP="00B94F43">
      <w:pPr>
        <w:pStyle w:val="1stParagraph"/>
      </w:pPr>
    </w:p>
    <w:p w14:paraId="72418B7F" w14:textId="77777777" w:rsidR="00B94F43" w:rsidRPr="001A04ED" w:rsidRDefault="00B94F43" w:rsidP="000F095C">
      <w:pPr>
        <w:pStyle w:val="Heading2"/>
        <w:rPr>
          <w:szCs w:val="22"/>
        </w:rPr>
      </w:pPr>
      <w:r w:rsidRPr="001A04ED">
        <w:rPr>
          <w:szCs w:val="22"/>
        </w:rPr>
        <w:t>MDCEV Fusion Model</w:t>
      </w:r>
    </w:p>
    <w:p w14:paraId="579186BD" w14:textId="407CFD1D" w:rsidR="00B94F43" w:rsidRPr="001A04ED" w:rsidRDefault="00B94F43" w:rsidP="00B94F43">
      <w:pPr>
        <w:pStyle w:val="1stParagraph"/>
      </w:pPr>
      <w:r w:rsidRPr="001A04ED">
        <w:t>The fusion model structure includes a decision component and a weight component. In the decision model component, the MDCEV model formulation is employed for estimating the household energy demand for different end-uses</w:t>
      </w:r>
      <w:r w:rsidR="007527C8" w:rsidRPr="001A04ED">
        <w:t xml:space="preserve"> (</w:t>
      </w:r>
      <w:r w:rsidR="00A72938" w:rsidRPr="001A04ED">
        <w:t xml:space="preserve">see </w:t>
      </w:r>
      <w:r w:rsidR="00A72938" w:rsidRPr="001A04ED">
        <w:fldChar w:fldCharType="begin" w:fldLock="1"/>
      </w:r>
      <w:r w:rsidR="00273110" w:rsidRPr="001A04ED">
        <w:instrText>ADDIN CSL_CITATION {"citationItems":[{"id":"ITEM-1","itemData":{"DOI":"10.1016/j.trb.2004.08.003","ISSN":"01912615","abstract":"Several consumer demand choices are characterized by the choice of multiple alternatives simultaneously. An example of such a choice situation in activity-travel analysis is the type of discretionary (or leisure) activity to participate in and the duration of time investment of the participation. In this context, within a given temporal period (say a day or a week), an individual may decide to participate in multiple types of activities (for example, in-home social activities, out-of-home social activities, in-home recreational activities, out-of-home recreational activities, and out-of-home non-maintenance shopping activities). In this paper, we derive and formulate a utility theory-based model for discrete/continuous choice that assumes diminishing marginal utility as the level of consumption of any particular alternative increases (i.e., satiation). This assumption yields a multiple discreteness model (i.e., choice of multiple alternatives can occur simultaneously). This is in contrast to the standard discrete choice model that is based on assuming the absence of any diminishing marginal utility as the level of consumption of any alternative increases (i.e., no satiation), leading to the case of strictly single discreteness. The econometric model formulated here, which we refer to as the multiple discrete-continuous extreme value (MDCEV) model, has a surprisingly simple and elegant closed form expression for the discrete-continuous probability of not consuming certain alternatives and consuming given levels of the remaining alternatives. To our knowledge, we are the first to develop such a simple and powerful closed-form model for multiple discreteness in the literature. This formulation should constitute an important milestone in the area of multiple discreteness, just as the multinomial logit (MNL) represented an important milestone in the area of single discreteness. Further, the MDCEV model formulated here has the appealing property that it collapses to the familiar multinomial logit (MNL) choice model in the case of single discreteness. Finally, heteroscedasticity and/or correlation in unobserved characteristics affecting the demand of different alternatives can be easily incorporated within the MDCEV model framework using a mixing approach. The MDCEV model and its mixed variant are applied to analyze time-use allocation decisions among a variety of discretionary activities on weekends using data from the 2000 San Francisco Bay Area survey. © 20…","author":[{"dropping-particle":"","family":"Bhat","given":"Chandra R.","non-dropping-particle":"","parse-names":false,"suffix":""}],"container-title":"Transportation Research Part B: Methodological","id":"ITEM-1","issue":"8","issued":{"date-parts":[["2005"]]},"page":"679-707","title":"A multiple discrete-continuous extreme value model: Formulation and application to discretionary time-use decisions","type":"article-journal","volume":"39"},"uris":["http://www.mendeley.com/documents/?uuid=b1a0ffde-e0de-4627-bb22-7bc9da12bb1b"]},{"id":"ITEM-2","itemData":{"DOI":"10.1016/j.trb.2007.06.002","ISSN":"01912615","abstract":"Many consumer choice situations are characterized by the simultaneous demand for multiple alternatives that are imperfect substitutes for one another. A simple and parsimonious multiple discrete-continuous extreme value (MDCEV) econometric approach to handle such multiple discreteness was formulated by Bhat (2005) [Bhat, C.R., 2005. A multiple discrete-continuous extreme value model: formulation and application to discretionary time-use decisions. Transportation Research Part B 39(8), 679-707]. within the broader Kuhn-Tucker (KT) multiple discrete-continuous economic consumer demand model of Wales and Woodland (1983) [Wales, T.J., and Woodland, A.D., 1983. Estimation of consumer demand systems with binding non-negativity constraints. Journal of Econometrics 21(3), 263-85]. This paper examines several issues associated with the MDCEV model and other extant KT multiple discrete-continuous models. Specifically, the paper proposes a new utility function form that enables clarity in the role of each parameter in the utility specification, presents identification considerations associated with both the utility functional form as well as the stochastic nature of the utility specification, extends the MDCEV model to the case of price variation across goods and to general error covariance structures, discusses the relationship between earlier KT-based multiple discrete-continuous models, and illustrates the many technical nuances and identification considerations of the multiple discrete-continuous model structure through empirical examples. The paper also highlights the technical problems associated with the stochastic specification used in the KT-based multiple discrete-continuous models formulated in recent Environmental Economics papers. © 2007 Elsevier Ltd. All rights reserved.","author":[{"dropping-particle":"","family":"Bhat","given":"Chandra R.","non-dropping-particle":"","parse-names":false,"suffix":""}],"container-title":"Transportation Research Part B: Methodological","id":"ITEM-2","issue":"3","issued":{"date-parts":[["2008"]]},"page":"274-303","title":"The multiple discrete-continuous extreme value (MDCEV) model: Role of utility function parameters, identification considerations, and model extensions","type":"article-journal","volume":"42"},"uris":["http://www.mendeley.com/documents/?uuid=a2ccddb3-4dc1-4e8d-a1fa-83702fd5d95f"]}],"mendeley":{"formattedCitation":"(Bhat, 2005, 2008)","plainTextFormattedCitation":"(Bhat, 2005, 2008)","previouslyFormattedCitation":"(Bhat, 2005, 2008)"},"properties":{"noteIndex":0},"schema":"https://github.com/citation-style-language/schema/raw/master/csl-citation.json"}</w:instrText>
      </w:r>
      <w:r w:rsidR="00A72938" w:rsidRPr="001A04ED">
        <w:fldChar w:fldCharType="separate"/>
      </w:r>
      <w:r w:rsidR="008C37C1" w:rsidRPr="001A04ED">
        <w:rPr>
          <w:noProof/>
        </w:rPr>
        <w:t>(Bhat, 2005, 2008)</w:t>
      </w:r>
      <w:r w:rsidR="00A72938" w:rsidRPr="001A04ED">
        <w:fldChar w:fldCharType="end"/>
      </w:r>
      <w:r w:rsidR="00A72938" w:rsidRPr="001A04ED">
        <w:t xml:space="preserve"> </w:t>
      </w:r>
      <w:r w:rsidR="007527C8" w:rsidRPr="001A04ED">
        <w:t>for more details)</w:t>
      </w:r>
      <w:r w:rsidRPr="001A04ED">
        <w:t xml:space="preserve">. </w:t>
      </w:r>
    </w:p>
    <w:p w14:paraId="04EAE764" w14:textId="7A52E3CF" w:rsidR="00B94F43" w:rsidRPr="001A04ED" w:rsidRDefault="00B94F43" w:rsidP="00B94F43">
      <w:r w:rsidRPr="001A04ED">
        <w:t xml:space="preserve">Consider, there are </w:t>
      </w:r>
      <m:oMath>
        <m:r>
          <w:rPr>
            <w:rFonts w:ascii="Cambria Math" w:hAnsi="Cambria Math"/>
          </w:rPr>
          <m:t>n(=1,2,3,…,N)</m:t>
        </m:r>
      </m:oMath>
      <w:r w:rsidRPr="001A04ED">
        <w:rPr>
          <w:rFonts w:eastAsiaTheme="minorEastAsia"/>
        </w:rPr>
        <w:t xml:space="preserve"> households in the RECS dataset and </w:t>
      </w:r>
      <m:oMath>
        <m:r>
          <w:rPr>
            <w:rFonts w:ascii="Cambria Math" w:eastAsiaTheme="minorEastAsia" w:hAnsi="Cambria Math"/>
          </w:rPr>
          <m:t>s</m:t>
        </m:r>
      </m:oMath>
      <w:r w:rsidRPr="001A04ED">
        <w:rPr>
          <w:rFonts w:eastAsiaTheme="minorEastAsia"/>
        </w:rPr>
        <w:t xml:space="preserve"> possible matches from the NHTS dataset. </w:t>
      </w:r>
      <w:r w:rsidRPr="001A04ED">
        <w:t xml:space="preserve">Let </w:t>
      </w:r>
      <m:oMath>
        <m:sSub>
          <m:sSubPr>
            <m:ctrlPr>
              <w:rPr>
                <w:rFonts w:ascii="Cambria Math" w:hAnsi="Cambria Math"/>
                <w:i/>
              </w:rPr>
            </m:ctrlPr>
          </m:sSubPr>
          <m:e>
            <m:r>
              <w:rPr>
                <w:rFonts w:ascii="Cambria Math" w:hAnsi="Cambria Math"/>
              </w:rPr>
              <m:t>t</m:t>
            </m:r>
          </m:e>
          <m:sub>
            <m:r>
              <w:rPr>
                <w:rFonts w:ascii="Cambria Math" w:hAnsi="Cambria Math"/>
              </w:rPr>
              <m:t>n,k</m:t>
            </m:r>
          </m:sub>
        </m:sSub>
      </m:oMath>
      <w:r w:rsidRPr="001A04ED">
        <w:t xml:space="preserve"> be the total energy consumed by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rsidRPr="001A04ED">
        <w:t xml:space="preserve"> household for the end-use type </w:t>
      </w:r>
      <m:oMath>
        <m:r>
          <w:rPr>
            <w:rFonts w:ascii="Cambria Math" w:hAnsi="Cambria Math"/>
          </w:rPr>
          <m:t>k (k=1,2,…,K)</m:t>
        </m:r>
      </m:oMath>
      <w:r w:rsidRPr="001A04ED">
        <w:rPr>
          <w:rFonts w:eastAsiaTheme="minorEastAsia"/>
        </w:rPr>
        <w:t xml:space="preserve">. </w:t>
      </w:r>
      <w:r w:rsidRPr="001A04ED">
        <w:t xml:space="preserve">With these notations, the utility equation over the </w:t>
      </w:r>
      <m:oMath>
        <m:r>
          <w:rPr>
            <w:rFonts w:ascii="Cambria Math" w:hAnsi="Cambria Math"/>
          </w:rPr>
          <m:t>K(=9)</m:t>
        </m:r>
      </m:oMath>
      <w:r w:rsidRPr="001A04ED">
        <w:t xml:space="preserve"> end-use types will take the following form (see </w:t>
      </w:r>
      <w:r w:rsidRPr="001A04ED">
        <w:fldChar w:fldCharType="begin" w:fldLock="1"/>
      </w:r>
      <w:r w:rsidR="00273110" w:rsidRPr="001A04ED">
        <w:instrText>ADDIN CSL_CITATION {"citationItems":[{"id":"ITEM-1","itemData":{"DOI":"10.1016/j.trb.2004.08.003","ISSN":"01912615","abstract":"Several consumer demand choices are characterized by the choice of multiple alternatives simultaneously. An example of such a choice situation in activity-travel analysis is the type of discretionary (or leisure) activity to participate in and the duration of time investment of the participation. In this context, within a given temporal period (say a day or a week), an individual may decide to participate in multiple types of activities (for example, in-home social activities, out-of-home social activities, in-home recreational activities, out-of-home recreational activities, and out-of-home non-maintenance shopping activities). In this paper, we derive and formulate a utility theory-based model for discrete/continuous choice that assumes diminishing marginal utility as the level of consumption of any particular alternative increases (i.e., satiation). This assumption yields a multiple discreteness model (i.e., choice of multiple alternatives can occur simultaneously). This is in contrast to the standard discrete choice model that is based on assuming the absence of any diminishing marginal utility as the level of consumption of any alternative increases (i.e., no satiation), leading to the case of strictly single discreteness. The econometric model formulated here, which we refer to as the multiple discrete-continuous extreme value (MDCEV) model, has a surprisingly simple and elegant closed form expression for the discrete-continuous probability of not consuming certain alternatives and consuming given levels of the remaining alternatives. To our knowledge, we are the first to develop such a simple and powerful closed-form model for multiple discreteness in the literature. This formulation should constitute an important milestone in the area of multiple discreteness, just as the multinomial logit (MNL) represented an important milestone in the area of single discreteness. Further, the MDCEV model formulated here has the appealing property that it collapses to the familiar multinomial logit (MNL) choice model in the case of single discreteness. Finally, heteroscedasticity and/or correlation in unobserved characteristics affecting the demand of different alternatives can be easily incorporated within the MDCEV model framework using a mixing approach. The MDCEV model and its mixed variant are applied to analyze time-use allocation decisions among a variety of discretionary activities on weekends using data from the 2000 San Francisco Bay Area survey. © 20…","author":[{"dropping-particle":"","family":"Bhat","given":"Chandra R.","non-dropping-particle":"","parse-names":false,"suffix":""}],"container-title":"Transportation Research Part B: Methodological","id":"ITEM-1","issue":"8","issued":{"date-parts":[["2005"]]},"page":"679-707","title":"A multiple discrete-continuous extreme value model: Formulation and application to discretionary time-use decisions","type":"article-journal","volume":"39"},"uris":["http://www.mendeley.com/documents/?uuid=b1a0ffde-e0de-4627-bb22-7bc9da12bb1b"]},{"id":"ITEM-2","itemData":{"DOI":"10.1016/j.trb.2007.06.002","ISSN":"01912615","abstract":"Many consumer choice situations are characterized by the simultaneous demand for multiple alternatives that are imperfect substitutes for one another. A simple and parsimonious multiple discrete-continuous extreme value (MDCEV) econometric approach to handle such multiple discreteness was formulated by Bhat (2005) [Bhat, C.R., 2005. A multiple discrete-continuous extreme value model: formulation and application to discretionary time-use decisions. Transportation Research Part B 39(8), 679-707]. within the broader Kuhn-Tucker (KT) multiple discrete-continuous economic consumer demand model of Wales and Woodland (1983) [Wales, T.J., and Woodland, A.D., 1983. Estimation of consumer demand systems with binding non-negativity constraints. Journal of Econometrics 21(3), 263-85]. This paper examines several issues associated with the MDCEV model and other extant KT multiple discrete-continuous models. Specifically, the paper proposes a new utility function form that enables clarity in the role of each parameter in the utility specification, presents identification considerations associated with both the utility functional form as well as the stochastic nature of the utility specification, extends the MDCEV model to the case of price variation across goods and to general error covariance structures, discusses the relationship between earlier KT-based multiple discrete-continuous models, and illustrates the many technical nuances and identification considerations of the multiple discrete-continuous model structure through empirical examples. The paper also highlights the technical problems associated with the stochastic specification used in the KT-based multiple discrete-continuous models formulated in recent Environmental Economics papers. © 2007 Elsevier Ltd. All rights reserved.","author":[{"dropping-particle":"","family":"Bhat","given":"Chandra R.","non-dropping-particle":"","parse-names":false,"suffix":""}],"container-title":"Transportation Research Part B: Methodological","id":"ITEM-2","issue":"3","issued":{"date-parts":[["2008"]]},"page":"274-303","title":"The multiple discrete-continuous extreme value (MDCEV) model: Role of utility function parameters, identification considerations, and model extensions","type":"article-journal","volume":"42"},"uris":["http://www.mendeley.com/documents/?uuid=a2ccddb3-4dc1-4e8d-a1fa-83702fd5d95f"]}],"mendeley":{"formattedCitation":"(Bhat, 2005, 2008)","plainTextFormattedCitation":"(Bhat, 2005, 2008)","previouslyFormattedCitation":"(Bhat, 2005, 2008)"},"properties":{"noteIndex":0},"schema":"https://github.com/citation-style-language/schema/raw/master/csl-citation.json"}</w:instrText>
      </w:r>
      <w:r w:rsidRPr="001A04ED">
        <w:fldChar w:fldCharType="separate"/>
      </w:r>
      <w:r w:rsidR="008C37C1" w:rsidRPr="001A04ED">
        <w:rPr>
          <w:noProof/>
        </w:rPr>
        <w:t>(Bhat, 2005, 2008)</w:t>
      </w:r>
      <w:r w:rsidRPr="001A04ED">
        <w:fldChar w:fldCharType="end"/>
      </w:r>
      <w:r w:rsidRPr="001A04ED">
        <w:t xml:space="preserve"> for detailed explanation about MDCEV model):</w:t>
      </w:r>
    </w:p>
    <w:p w14:paraId="42BB9BEE" w14:textId="77777777" w:rsidR="00B94F43" w:rsidRPr="001A04ED" w:rsidRDefault="00B94F43" w:rsidP="00B94F43">
      <w:pPr>
        <w:ind w:firstLine="0"/>
      </w:pPr>
    </w:p>
    <w:p w14:paraId="3259C092" w14:textId="19ECCC52" w:rsidR="00B94F43" w:rsidRPr="001A04ED" w:rsidRDefault="00000000" w:rsidP="00B94F43">
      <w:pPr>
        <w:pStyle w:val="1stParagraph"/>
        <w:rPr>
          <w:rFonts w:eastAsiaTheme="minorEastAsia" w:cs="Times New Roman"/>
        </w:rPr>
      </w:pPr>
      <m:oMathPara>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ns</m:t>
              </m:r>
            </m:sub>
          </m:sSub>
          <m:r>
            <m:rPr>
              <m:sty m:val="p"/>
            </m:rPr>
            <w:rPr>
              <w:rFonts w:ascii="Cambria Math" w:hAnsi="Cambria Math" w:cs="Times New Roman"/>
            </w:rPr>
            <m:t>=</m:t>
          </m:r>
          <m:nary>
            <m:naryPr>
              <m:chr m:val="∑"/>
              <m:limLoc m:val="undOvr"/>
              <m:ctrlPr>
                <w:rPr>
                  <w:rFonts w:ascii="Cambria Math" w:hAnsi="Cambria Math" w:cs="Times New Roman"/>
                </w:rPr>
              </m:ctrlPr>
            </m:naryPr>
            <m:sub>
              <m:r>
                <w:rPr>
                  <w:rFonts w:ascii="Cambria Math" w:hAnsi="Cambria Math" w:cs="Times New Roman"/>
                </w:rPr>
                <m:t>k</m:t>
              </m:r>
              <m:r>
                <m:rPr>
                  <m:sty m:val="p"/>
                </m:rPr>
                <w:rPr>
                  <w:rFonts w:ascii="Cambria Math" w:hAnsi="Cambria Math" w:cs="Times New Roman"/>
                </w:rPr>
                <m:t>=1</m:t>
              </m:r>
            </m:sub>
            <m:sup>
              <m:r>
                <w:rPr>
                  <w:rFonts w:ascii="Cambria Math" w:hAnsi="Cambria Math" w:cs="Times New Roman"/>
                </w:rPr>
                <m:t>K</m:t>
              </m:r>
            </m:sup>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γ</m:t>
                      </m:r>
                    </m:e>
                    <m:sub>
                      <m:r>
                        <w:rPr>
                          <w:rFonts w:ascii="Cambria Math" w:hAnsi="Cambria Math" w:cs="Times New Roman"/>
                        </w:rPr>
                        <m:t>k</m:t>
                      </m:r>
                    </m:sub>
                  </m:sSub>
                </m:num>
                <m:den>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k</m:t>
                      </m:r>
                    </m:sub>
                  </m:sSub>
                </m:den>
              </m:f>
              <m:d>
                <m:dPr>
                  <m:begChr m:val="["/>
                  <m:endChr m:val="]"/>
                  <m:ctrlPr>
                    <w:rPr>
                      <w:rFonts w:ascii="Cambria Math" w:hAnsi="Cambria Math" w:cs="Times New Roman"/>
                    </w:rPr>
                  </m:ctrlPr>
                </m:dPr>
                <m:e>
                  <m:func>
                    <m:funcPr>
                      <m:ctrlPr>
                        <w:rPr>
                          <w:rFonts w:ascii="Cambria Math" w:hAnsi="Cambria Math" w:cs="Times New Roman"/>
                        </w:rPr>
                      </m:ctrlPr>
                    </m:funcPr>
                    <m:fName>
                      <m:r>
                        <w:rPr>
                          <w:rFonts w:ascii="Cambria Math" w:hAnsi="Cambria Math" w:cs="Times New Roman"/>
                        </w:rPr>
                        <m:t>exp</m:t>
                      </m:r>
                    </m:fName>
                    <m:e>
                      <m:d>
                        <m:dPr>
                          <m:ctrlPr>
                            <w:rPr>
                              <w:rFonts w:ascii="Cambria Math" w:hAnsi="Cambria Math" w:cs="Times New Roman"/>
                            </w:rPr>
                          </m:ctrlPr>
                        </m:dPr>
                        <m:e>
                          <m:sSup>
                            <m:sSupPr>
                              <m:ctrlPr>
                                <w:rPr>
                                  <w:rFonts w:ascii="Cambria Math" w:hAnsi="Cambria Math" w:cs="Times New Roman"/>
                                </w:rPr>
                              </m:ctrlPr>
                            </m:sSupPr>
                            <m:e>
                              <m:r>
                                <w:rPr>
                                  <w:rFonts w:ascii="Cambria Math" w:hAnsi="Cambria Math" w:cs="Times New Roman"/>
                                </w:rPr>
                                <m:t>β</m:t>
                              </m:r>
                            </m:e>
                            <m:sup>
                              <m:r>
                                <m:rPr>
                                  <m:sty m:val="p"/>
                                </m:rPr>
                                <w:rPr>
                                  <w:rFonts w:ascii="Cambria Math" w:hAnsi="Cambria Math" w:cs="Times New Roman"/>
                                </w:rPr>
                                <m:t>'</m:t>
                              </m:r>
                            </m:sup>
                          </m:sSup>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n</m:t>
                              </m:r>
                              <m:r>
                                <m:rPr>
                                  <m:sty m:val="p"/>
                                </m:rPr>
                                <w:rPr>
                                  <w:rFonts w:ascii="Cambria Math" w:hAnsi="Cambria Math" w:cs="Times New Roman"/>
                                </w:rPr>
                                <m:t>,</m:t>
                              </m:r>
                              <m:r>
                                <w:rPr>
                                  <w:rFonts w:ascii="Cambria Math" w:hAnsi="Cambria Math" w:cs="Times New Roman"/>
                                </w:rPr>
                                <m:t>k</m:t>
                              </m:r>
                            </m:sub>
                          </m:sSub>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φ</m:t>
                              </m:r>
                            </m:e>
                            <m:sup>
                              <m:r>
                                <m:rPr>
                                  <m:sty m:val="p"/>
                                </m:rPr>
                                <w:rPr>
                                  <w:rFonts w:ascii="Cambria Math" w:hAnsi="Cambria Math" w:cs="Times New Roman"/>
                                </w:rPr>
                                <m:t>'</m:t>
                              </m:r>
                            </m:sup>
                          </m:sSup>
                          <m:sSub>
                            <m:sSubPr>
                              <m:ctrlPr>
                                <w:rPr>
                                  <w:rFonts w:ascii="Cambria Math" w:hAnsi="Cambria Math" w:cs="Times New Roman"/>
                                </w:rPr>
                              </m:ctrlPr>
                            </m:sSubPr>
                            <m:e>
                              <m:r>
                                <w:rPr>
                                  <w:rFonts w:ascii="Cambria Math" w:hAnsi="Cambria Math" w:cs="Times New Roman"/>
                                </w:rPr>
                                <m:t>y</m:t>
                              </m:r>
                            </m:e>
                            <m:sub>
                              <m:r>
                                <w:rPr>
                                  <w:rFonts w:ascii="Cambria Math" w:hAnsi="Cambria Math" w:cs="Times New Roman"/>
                                </w:rPr>
                                <m:t>ns</m:t>
                              </m:r>
                              <m:r>
                                <m:rPr>
                                  <m:sty m:val="p"/>
                                </m:rPr>
                                <w:rPr>
                                  <w:rFonts w:ascii="Cambria Math" w:hAnsi="Cambria Math" w:cs="Times New Roman"/>
                                </w:rPr>
                                <m:t>,</m:t>
                              </m:r>
                              <m:r>
                                <w:rPr>
                                  <w:rFonts w:ascii="Cambria Math" w:hAnsi="Cambria Math" w:cs="Times New Roman"/>
                                </w:rPr>
                                <m:t>k</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ns</m:t>
                              </m:r>
                              <m:r>
                                <m:rPr>
                                  <m:sty m:val="p"/>
                                </m:rPr>
                                <w:rPr>
                                  <w:rFonts w:ascii="Cambria Math" w:hAnsi="Cambria Math" w:cs="Times New Roman"/>
                                </w:rPr>
                                <m:t>,</m:t>
                              </m:r>
                              <m:r>
                                <w:rPr>
                                  <w:rFonts w:ascii="Cambria Math" w:hAnsi="Cambria Math" w:cs="Times New Roman"/>
                                </w:rPr>
                                <m:t>k</m:t>
                              </m:r>
                            </m:sub>
                          </m:sSub>
                        </m:e>
                      </m:d>
                    </m:e>
                  </m:func>
                </m:e>
              </m:d>
              <m:r>
                <m:rPr>
                  <m:sty m:val="p"/>
                </m:rPr>
                <w:rPr>
                  <w:rFonts w:ascii="Cambria Math" w:hAnsi="Cambria Math" w:cs="Times New Roman"/>
                </w:rPr>
                <m:t>.</m:t>
              </m:r>
              <m:d>
                <m:dPr>
                  <m:begChr m:val="{"/>
                  <m:endChr m:val="}"/>
                  <m:ctrlPr>
                    <w:rPr>
                      <w:rFonts w:ascii="Cambria Math" w:hAnsi="Cambria Math" w:cs="Times New Roman"/>
                    </w:rPr>
                  </m:ctrlPr>
                </m:dPr>
                <m:e>
                  <m:sSup>
                    <m:sSupPr>
                      <m:ctrlPr>
                        <w:rPr>
                          <w:rFonts w:ascii="Cambria Math" w:hAnsi="Cambria Math" w:cs="Times New Roman"/>
                        </w:rPr>
                      </m:ctrlPr>
                    </m:sSupPr>
                    <m:e>
                      <m:d>
                        <m:dPr>
                          <m:ctrlPr>
                            <w:rPr>
                              <w:rFonts w:ascii="Cambria Math" w:hAnsi="Cambria Math" w:cs="Times New Roman"/>
                            </w:rPr>
                          </m:ctrlPr>
                        </m:dPr>
                        <m:e>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n</m:t>
                                  </m:r>
                                  <m:r>
                                    <m:rPr>
                                      <m:sty m:val="p"/>
                                    </m:rPr>
                                    <w:rPr>
                                      <w:rFonts w:ascii="Cambria Math" w:hAnsi="Cambria Math" w:cs="Times New Roman"/>
                                    </w:rPr>
                                    <m:t>,</m:t>
                                  </m:r>
                                  <m:r>
                                    <w:rPr>
                                      <w:rFonts w:ascii="Cambria Math" w:hAnsi="Cambria Math" w:cs="Times New Roman"/>
                                    </w:rPr>
                                    <m:t>k</m:t>
                                  </m:r>
                                </m:sub>
                              </m:sSub>
                            </m:num>
                            <m:den>
                              <m:sSub>
                                <m:sSubPr>
                                  <m:ctrlPr>
                                    <w:rPr>
                                      <w:rFonts w:ascii="Cambria Math" w:hAnsi="Cambria Math" w:cs="Times New Roman"/>
                                    </w:rPr>
                                  </m:ctrlPr>
                                </m:sSubPr>
                                <m:e>
                                  <m:r>
                                    <w:rPr>
                                      <w:rFonts w:ascii="Cambria Math" w:hAnsi="Cambria Math" w:cs="Times New Roman"/>
                                    </w:rPr>
                                    <m:t>γ</m:t>
                                  </m:r>
                                </m:e>
                                <m:sub>
                                  <m:r>
                                    <w:rPr>
                                      <w:rFonts w:ascii="Cambria Math" w:hAnsi="Cambria Math" w:cs="Times New Roman"/>
                                    </w:rPr>
                                    <m:t>k</m:t>
                                  </m:r>
                                </m:sub>
                              </m:sSub>
                            </m:den>
                          </m:f>
                          <m:r>
                            <m:rPr>
                              <m:sty m:val="p"/>
                            </m:rPr>
                            <w:rPr>
                              <w:rFonts w:ascii="Cambria Math" w:hAnsi="Cambria Math" w:cs="Times New Roman"/>
                            </w:rPr>
                            <m:t>+1</m:t>
                          </m:r>
                        </m:e>
                      </m:d>
                    </m:e>
                    <m:sup>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k</m:t>
                          </m:r>
                        </m:sub>
                      </m:sSub>
                    </m:sup>
                  </m:sSup>
                  <m:r>
                    <m:rPr>
                      <m:sty m:val="p"/>
                    </m:rPr>
                    <w:rPr>
                      <w:rFonts w:ascii="Cambria Math" w:hAnsi="Cambria Math" w:cs="Times New Roman"/>
                    </w:rPr>
                    <m:t>-1</m:t>
                  </m:r>
                </m:e>
              </m:d>
            </m:e>
          </m:nary>
          <m:r>
            <w:rPr>
              <w:rFonts w:ascii="Cambria Math" w:hAnsi="Cambria Math" w:cs="Times New Roman"/>
            </w:rPr>
            <m:t xml:space="preserve">                                                                (1)</m:t>
          </m:r>
        </m:oMath>
      </m:oMathPara>
    </w:p>
    <w:p w14:paraId="383D62FA" w14:textId="77777777" w:rsidR="00B94F43" w:rsidRPr="001A04ED" w:rsidRDefault="00B94F43" w:rsidP="00B94F43">
      <w:pPr>
        <w:pStyle w:val="1stParagraph"/>
      </w:pPr>
    </w:p>
    <w:p w14:paraId="260AE4AB" w14:textId="0A26A9BD" w:rsidR="00B94F43" w:rsidRPr="001A04ED" w:rsidRDefault="00B94F43" w:rsidP="00B94F43">
      <w:pPr>
        <w:pStyle w:val="1stParagraph"/>
      </w:pPr>
      <w:r w:rsidRPr="001A04ED">
        <w:t xml:space="preserve">where, </w:t>
      </w:r>
      <m:oMath>
        <m:sSub>
          <m:sSubPr>
            <m:ctrlPr>
              <w:rPr>
                <w:rFonts w:ascii="Cambria Math" w:eastAsia="Times New Roman" w:hAnsi="Cambria Math"/>
                <w:i/>
              </w:rPr>
            </m:ctrlPr>
          </m:sSubPr>
          <m:e>
            <m:r>
              <w:rPr>
                <w:rFonts w:ascii="Cambria Math" w:eastAsia="Times New Roman" w:hAnsi="Cambria Math"/>
              </w:rPr>
              <m:t>U</m:t>
            </m:r>
          </m:e>
          <m:sub>
            <m:r>
              <w:rPr>
                <w:rFonts w:ascii="Cambria Math" w:eastAsia="Times New Roman" w:hAnsi="Cambria Math"/>
              </w:rPr>
              <m:t>ns</m:t>
            </m:r>
          </m:sub>
        </m:sSub>
      </m:oMath>
      <w:r w:rsidRPr="001A04ED">
        <w:rPr>
          <w:rFonts w:eastAsiaTheme="minorEastAsia"/>
        </w:rPr>
        <w:t xml:space="preserve"> </w:t>
      </w:r>
      <w:r w:rsidRPr="001A04ED">
        <w:t xml:space="preserve">represents the utility of the household </w:t>
      </w:r>
      <m:oMath>
        <m:r>
          <w:rPr>
            <w:rFonts w:ascii="Cambria Math" w:hAnsi="Cambria Math"/>
          </w:rPr>
          <m:t>n</m:t>
        </m:r>
      </m:oMath>
      <w:r w:rsidRPr="001A04ED">
        <w:rPr>
          <w:rFonts w:eastAsiaTheme="minorEastAsia"/>
        </w:rPr>
        <w:t xml:space="preserve"> for the </w:t>
      </w:r>
      <m:oMath>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th</m:t>
            </m:r>
          </m:sup>
        </m:sSup>
      </m:oMath>
      <w:r w:rsidRPr="001A04ED">
        <w:rPr>
          <w:rFonts w:eastAsiaTheme="minorEastAsia"/>
        </w:rPr>
        <w:t xml:space="preserve"> fused record.  </w:t>
      </w:r>
      <m:oMath>
        <m:sSub>
          <m:sSubPr>
            <m:ctrlPr>
              <w:rPr>
                <w:rFonts w:ascii="Cambria Math" w:hAnsi="Cambria Math"/>
                <w:i/>
              </w:rPr>
            </m:ctrlPr>
          </m:sSubPr>
          <m:e>
            <m:r>
              <w:rPr>
                <w:rFonts w:ascii="Cambria Math" w:hAnsi="Cambria Math"/>
              </w:rPr>
              <m:t>x</m:t>
            </m:r>
          </m:e>
          <m:sub>
            <m:r>
              <w:rPr>
                <w:rFonts w:ascii="Cambria Math" w:hAnsi="Cambria Math"/>
              </w:rPr>
              <m:t>n,k</m:t>
            </m:r>
          </m:sub>
        </m:sSub>
      </m:oMath>
      <w:r w:rsidRPr="001A04ED">
        <w:t xml:space="preserve"> is a vector of attributes from the RECS dataset that characterize end-use alternative </w:t>
      </w:r>
      <m:oMath>
        <m:r>
          <w:rPr>
            <w:rFonts w:ascii="Cambria Math" w:hAnsi="Cambria Math"/>
          </w:rPr>
          <m:t>k</m:t>
        </m:r>
      </m:oMath>
      <w:r w:rsidRPr="001A04ED">
        <w:rPr>
          <w:rFonts w:eastAsiaTheme="minorEastAsia"/>
        </w:rPr>
        <w:t xml:space="preserve"> for the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th</m:t>
            </m:r>
          </m:sup>
        </m:sSup>
      </m:oMath>
      <w:r w:rsidRPr="001A04ED">
        <w:t xml:space="preserve"> household.  </w:t>
      </w:r>
      <m:oMath>
        <m:sSub>
          <m:sSubPr>
            <m:ctrlPr>
              <w:rPr>
                <w:rFonts w:ascii="Cambria Math" w:hAnsi="Cambria Math"/>
                <w:i/>
              </w:rPr>
            </m:ctrlPr>
          </m:sSubPr>
          <m:e>
            <m:r>
              <w:rPr>
                <w:rFonts w:ascii="Cambria Math" w:hAnsi="Cambria Math"/>
              </w:rPr>
              <m:t>y</m:t>
            </m:r>
          </m:e>
          <m:sub>
            <m:r>
              <w:rPr>
                <w:rFonts w:ascii="Cambria Math" w:hAnsi="Cambria Math"/>
              </w:rPr>
              <m:t>ns,k</m:t>
            </m:r>
          </m:sub>
        </m:sSub>
      </m:oMath>
      <w:r w:rsidRPr="001A04ED">
        <w:rPr>
          <w:rFonts w:eastAsiaTheme="minorEastAsia"/>
        </w:rPr>
        <w:t xml:space="preserve"> is a vector of attributes from the NHTS data that influence the energy demand</w:t>
      </w:r>
      <w:r w:rsidRPr="001A04ED">
        <w:t xml:space="preserve">. </w:t>
      </w:r>
      <m:oMath>
        <m:r>
          <w:rPr>
            <w:rFonts w:ascii="Cambria Math" w:hAnsi="Cambria Math"/>
          </w:rPr>
          <m:t>β</m:t>
        </m:r>
      </m:oMath>
      <w:r w:rsidRPr="001A04ED">
        <w:t xml:space="preserve"> and </w:t>
      </w:r>
      <m:oMath>
        <m:r>
          <w:rPr>
            <w:rFonts w:ascii="Cambria Math" w:hAnsi="Cambria Math"/>
          </w:rPr>
          <m:t xml:space="preserve"> φ</m:t>
        </m:r>
      </m:oMath>
      <w:r w:rsidRPr="001A04ED">
        <w:t xml:space="preserve"> represent vectors of the corresponding parameters to be estimated. </w:t>
      </w:r>
      <m:oMath>
        <m:sSub>
          <m:sSubPr>
            <m:ctrlPr>
              <w:rPr>
                <w:rFonts w:ascii="Cambria Math" w:hAnsi="Cambria Math"/>
                <w:i/>
              </w:rPr>
            </m:ctrlPr>
          </m:sSubPr>
          <m:e>
            <m:r>
              <w:rPr>
                <w:rFonts w:ascii="Cambria Math" w:hAnsi="Cambria Math"/>
              </w:rPr>
              <m:t>ε</m:t>
            </m:r>
          </m:e>
          <m:sub>
            <m:r>
              <w:rPr>
                <w:rFonts w:ascii="Cambria Math" w:hAnsi="Cambria Math"/>
              </w:rPr>
              <m:t>ns,k</m:t>
            </m:r>
          </m:sub>
        </m:sSub>
      </m:oMath>
      <w:r w:rsidRPr="001A04ED">
        <w:t xml:space="preserve"> captures idiosyncratic characteristics that impact the baseline utility for the corresponding alternative; and </w:t>
      </w:r>
      <m:oMath>
        <m:sSub>
          <m:sSubPr>
            <m:ctrlPr>
              <w:rPr>
                <w:rFonts w:ascii="Cambria Math" w:hAnsi="Cambria Math"/>
                <w:i/>
              </w:rPr>
            </m:ctrlPr>
          </m:sSubPr>
          <m:e>
            <m:r>
              <w:rPr>
                <w:rFonts w:ascii="Cambria Math" w:hAnsi="Cambria Math"/>
              </w:rPr>
              <m:t>γ</m:t>
            </m:r>
          </m:e>
          <m:sub>
            <m:r>
              <w:rPr>
                <w:rFonts w:ascii="Cambria Math" w:hAnsi="Cambria Math"/>
              </w:rPr>
              <m:t>k</m:t>
            </m:r>
          </m:sub>
        </m:sSub>
      </m:oMath>
      <w:r w:rsidRPr="001A04ED">
        <w:t xml:space="preserve"> and </w:t>
      </w:r>
      <m:oMath>
        <m:sSub>
          <m:sSubPr>
            <m:ctrlPr>
              <w:rPr>
                <w:rFonts w:ascii="Cambria Math" w:hAnsi="Cambria Math"/>
                <w:i/>
              </w:rPr>
            </m:ctrlPr>
          </m:sSubPr>
          <m:e>
            <m:r>
              <w:rPr>
                <w:rFonts w:ascii="Cambria Math" w:hAnsi="Cambria Math"/>
              </w:rPr>
              <m:t>α</m:t>
            </m:r>
          </m:e>
          <m:sub>
            <m:r>
              <w:rPr>
                <w:rFonts w:ascii="Cambria Math" w:hAnsi="Cambria Math"/>
              </w:rPr>
              <m:t>k</m:t>
            </m:r>
          </m:sub>
        </m:sSub>
      </m:oMath>
      <w:r w:rsidRPr="001A04ED">
        <w:t xml:space="preserve"> are satiation parameters associated with end-use type </w:t>
      </w:r>
      <m:oMath>
        <m:r>
          <w:rPr>
            <w:rFonts w:ascii="Cambria Math" w:hAnsi="Cambria Math"/>
          </w:rPr>
          <m:t>k</m:t>
        </m:r>
      </m:oMath>
      <w:r w:rsidRPr="001A04ED">
        <w:t xml:space="preserve">. Now in the presence of outside end-use </w:t>
      </w:r>
      <w:r w:rsidR="00C50131" w:rsidRPr="001A04ED">
        <w:t xml:space="preserve">types, </w:t>
      </w:r>
      <w:r w:rsidRPr="001A04ED">
        <w:t>the utility equation will take the following form:</w:t>
      </w:r>
    </w:p>
    <w:p w14:paraId="0AF3316A" w14:textId="77777777" w:rsidR="00B94F43" w:rsidRPr="001A04ED" w:rsidRDefault="00B94F43" w:rsidP="00B94F43">
      <w:pPr>
        <w:pStyle w:val="1stParagraph"/>
      </w:pPr>
    </w:p>
    <w:p w14:paraId="2EBB7950" w14:textId="55529C21" w:rsidR="00B94F43" w:rsidRPr="001A04ED" w:rsidRDefault="00000000" w:rsidP="00B94F43">
      <w:pPr>
        <w:pStyle w:val="1stParagraph"/>
        <w:rPr>
          <w:rFonts w:eastAsiaTheme="minorEastAsia"/>
        </w:rPr>
      </w:pPr>
      <m:oMathPara>
        <m:oMath>
          <m:sSub>
            <m:sSubPr>
              <m:ctrlPr>
                <w:rPr>
                  <w:rFonts w:ascii="Cambria Math" w:hAnsi="Cambria Math"/>
                </w:rPr>
              </m:ctrlPr>
            </m:sSubPr>
            <m:e>
              <m:r>
                <w:rPr>
                  <w:rFonts w:ascii="Cambria Math" w:hAnsi="Cambria Math"/>
                </w:rPr>
                <m:t>U</m:t>
              </m:r>
            </m:e>
            <m:sub>
              <m:r>
                <w:rPr>
                  <w:rFonts w:ascii="Cambria Math" w:hAnsi="Cambria Math"/>
                </w:rPr>
                <m:t>ns</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Q</m:t>
              </m:r>
            </m:sup>
            <m:e>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α</m:t>
                      </m:r>
                    </m:e>
                    <m:sub>
                      <m:r>
                        <w:rPr>
                          <w:rFonts w:ascii="Cambria Math" w:hAnsi="Cambria Math"/>
                        </w:rPr>
                        <m:t>k</m:t>
                      </m:r>
                    </m:sub>
                  </m:sSub>
                </m:den>
              </m:f>
              <m:func>
                <m:funcPr>
                  <m:ctrlPr>
                    <w:rPr>
                      <w:rFonts w:ascii="Cambria Math" w:hAnsi="Cambria Math"/>
                    </w:rPr>
                  </m:ctrlPr>
                </m:funcPr>
                <m:fName>
                  <m:r>
                    <w:rPr>
                      <w:rFonts w:ascii="Cambria Math" w:hAnsi="Cambria Math"/>
                    </w:rPr>
                    <m:t>exp</m:t>
                  </m:r>
                </m:fName>
                <m:e>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ns</m:t>
                          </m:r>
                          <m:r>
                            <m:rPr>
                              <m:sty m:val="p"/>
                            </m:rPr>
                            <w:rPr>
                              <w:rFonts w:ascii="Cambria Math" w:hAnsi="Cambria Math"/>
                            </w:rPr>
                            <m:t>,</m:t>
                          </m:r>
                          <m:r>
                            <w:rPr>
                              <w:rFonts w:ascii="Cambria Math" w:hAnsi="Cambria Math"/>
                            </w:rPr>
                            <m:t>k</m:t>
                          </m:r>
                        </m:sub>
                      </m:sSub>
                    </m:e>
                  </m:d>
                </m:e>
              </m:func>
              <m:sSup>
                <m:sSupPr>
                  <m:ctrlPr>
                    <w:rPr>
                      <w:rFonts w:ascii="Cambria Math" w:hAnsi="Cambria Math"/>
                    </w:rPr>
                  </m:ctrlPr>
                </m:sSupPr>
                <m:e>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m:t>
                      </m:r>
                      <m:r>
                        <w:rPr>
                          <w:rFonts w:ascii="Cambria Math" w:hAnsi="Cambria Math"/>
                        </w:rPr>
                        <m:t>k</m:t>
                      </m:r>
                    </m:sub>
                  </m:sSub>
                </m:e>
                <m:sup>
                  <m:sSub>
                    <m:sSubPr>
                      <m:ctrlPr>
                        <w:rPr>
                          <w:rFonts w:ascii="Cambria Math" w:hAnsi="Cambria Math"/>
                        </w:rPr>
                      </m:ctrlPr>
                    </m:sSubPr>
                    <m:e>
                      <m:r>
                        <w:rPr>
                          <w:rFonts w:ascii="Cambria Math" w:hAnsi="Cambria Math"/>
                        </w:rPr>
                        <m:t>α</m:t>
                      </m:r>
                    </m:e>
                    <m:sub>
                      <m:r>
                        <w:rPr>
                          <w:rFonts w:ascii="Cambria Math" w:hAnsi="Cambria Math"/>
                        </w:rPr>
                        <m:t>k</m:t>
                      </m:r>
                    </m:sub>
                  </m:sSub>
                </m:sup>
              </m:sSup>
              <m:r>
                <m:rPr>
                  <m:sty m:val="p"/>
                </m:rPr>
                <w:rPr>
                  <w:rFonts w:ascii="Cambria Math" w:hAnsi="Cambria Math"/>
                </w:rPr>
                <m:t>+</m:t>
              </m:r>
            </m:e>
          </m:nary>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r>
                <w:rPr>
                  <w:rFonts w:ascii="Cambria Math" w:hAnsi="Cambria Math"/>
                </w:rPr>
                <m:t>Q</m:t>
              </m:r>
              <m:r>
                <m:rPr>
                  <m:sty m:val="p"/>
                </m:rPr>
                <w:rPr>
                  <w:rFonts w:ascii="Cambria Math" w:hAnsi="Cambria Math"/>
                </w:rPr>
                <m:t>+1</m:t>
              </m:r>
            </m:sub>
            <m:sup>
              <m:r>
                <w:rPr>
                  <w:rFonts w:ascii="Cambria Math" w:hAnsi="Cambria Math"/>
                </w:rPr>
                <m:t>K</m:t>
              </m:r>
            </m:sup>
            <m:e>
              <m:f>
                <m:fPr>
                  <m:ctrlPr>
                    <w:rPr>
                      <w:rFonts w:ascii="Cambria Math" w:hAnsi="Cambria Math"/>
                    </w:rPr>
                  </m:ctrlPr>
                </m:fPr>
                <m:num>
                  <m:sSub>
                    <m:sSubPr>
                      <m:ctrlPr>
                        <w:rPr>
                          <w:rFonts w:ascii="Cambria Math" w:hAnsi="Cambria Math"/>
                        </w:rPr>
                      </m:ctrlPr>
                    </m:sSubPr>
                    <m:e>
                      <m:r>
                        <w:rPr>
                          <w:rFonts w:ascii="Cambria Math" w:hAnsi="Cambria Math"/>
                        </w:rPr>
                        <m:t>γ</m:t>
                      </m:r>
                    </m:e>
                    <m:sub>
                      <m:r>
                        <w:rPr>
                          <w:rFonts w:ascii="Cambria Math" w:hAnsi="Cambria Math"/>
                        </w:rPr>
                        <m:t>k</m:t>
                      </m:r>
                    </m:sub>
                  </m:sSub>
                </m:num>
                <m:den>
                  <m:sSub>
                    <m:sSubPr>
                      <m:ctrlPr>
                        <w:rPr>
                          <w:rFonts w:ascii="Cambria Math" w:hAnsi="Cambria Math"/>
                        </w:rPr>
                      </m:ctrlPr>
                    </m:sSubPr>
                    <m:e>
                      <m:r>
                        <w:rPr>
                          <w:rFonts w:ascii="Cambria Math" w:hAnsi="Cambria Math"/>
                        </w:rPr>
                        <m:t>α</m:t>
                      </m:r>
                    </m:e>
                    <m:sub>
                      <m:r>
                        <w:rPr>
                          <w:rFonts w:ascii="Cambria Math" w:hAnsi="Cambria Math"/>
                        </w:rPr>
                        <m:t>k</m:t>
                      </m:r>
                    </m:sub>
                  </m:sSub>
                </m:den>
              </m:f>
              <m:d>
                <m:dPr>
                  <m:begChr m:val="["/>
                  <m:endChr m:val="]"/>
                  <m:ctrlPr>
                    <w:rPr>
                      <w:rFonts w:ascii="Cambria Math" w:hAnsi="Cambria Math"/>
                    </w:rPr>
                  </m:ctrlPr>
                </m:dPr>
                <m:e>
                  <m:func>
                    <m:funcPr>
                      <m:ctrlPr>
                        <w:rPr>
                          <w:rFonts w:ascii="Cambria Math" w:hAnsi="Cambria Math"/>
                        </w:rPr>
                      </m:ctrlPr>
                    </m:funcPr>
                    <m:fName>
                      <m:r>
                        <w:rPr>
                          <w:rFonts w:ascii="Cambria Math" w:hAnsi="Cambria Math"/>
                        </w:rPr>
                        <m:t>exp</m:t>
                      </m:r>
                    </m:fName>
                    <m:e>
                      <m:d>
                        <m:dPr>
                          <m:ctrlPr>
                            <w:rPr>
                              <w:rFonts w:ascii="Cambria Math" w:hAnsi="Cambria Math"/>
                            </w:rPr>
                          </m:ctrlPr>
                        </m:dPr>
                        <m:e>
                          <m:sSup>
                            <m:sSupPr>
                              <m:ctrlPr>
                                <w:rPr>
                                  <w:rFonts w:ascii="Cambria Math" w:hAnsi="Cambria Math"/>
                                </w:rPr>
                              </m:ctrlPr>
                            </m:sSupPr>
                            <m:e>
                              <m:r>
                                <w:rPr>
                                  <w:rFonts w:ascii="Cambria Math" w:hAnsi="Cambria Math"/>
                                </w:rPr>
                                <m:t>β</m:t>
                              </m:r>
                            </m:e>
                            <m:sup>
                              <m:r>
                                <m:rPr>
                                  <m:sty m:val="p"/>
                                </m:rPr>
                                <w:rPr>
                                  <w:rFonts w:ascii="Cambria Math" w:hAnsi="Cambria Math"/>
                                </w:rPr>
                                <m:t>'</m:t>
                              </m:r>
                            </m:sup>
                          </m:sSup>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m:t>
                              </m:r>
                              <m:r>
                                <w:rPr>
                                  <w:rFonts w:ascii="Cambria Math" w:hAnsi="Cambria Math"/>
                                </w:rPr>
                                <m:t>k</m:t>
                              </m:r>
                            </m:sub>
                          </m:sSub>
                          <m:r>
                            <m:rPr>
                              <m:sty m:val="p"/>
                            </m:rPr>
                            <w:rPr>
                              <w:rFonts w:ascii="Cambria Math" w:hAnsi="Cambria Math"/>
                            </w:rPr>
                            <m:t>+</m:t>
                          </m:r>
                          <m:sSup>
                            <m:sSupPr>
                              <m:ctrlPr>
                                <w:rPr>
                                  <w:rFonts w:ascii="Cambria Math" w:hAnsi="Cambria Math"/>
                                </w:rPr>
                              </m:ctrlPr>
                            </m:sSupPr>
                            <m:e>
                              <m:r>
                                <w:rPr>
                                  <w:rFonts w:ascii="Cambria Math" w:hAnsi="Cambria Math"/>
                                </w:rPr>
                                <m:t>φ</m:t>
                              </m:r>
                            </m:e>
                            <m:sup>
                              <m:r>
                                <m:rPr>
                                  <m:sty m:val="p"/>
                                </m:rPr>
                                <w:rPr>
                                  <w:rFonts w:ascii="Cambria Math" w:hAnsi="Cambria Math"/>
                                </w:rPr>
                                <m:t>'</m:t>
                              </m:r>
                            </m:sup>
                          </m:sSup>
                          <m:sSub>
                            <m:sSubPr>
                              <m:ctrlPr>
                                <w:rPr>
                                  <w:rFonts w:ascii="Cambria Math" w:hAnsi="Cambria Math"/>
                                </w:rPr>
                              </m:ctrlPr>
                            </m:sSubPr>
                            <m:e>
                              <m:r>
                                <w:rPr>
                                  <w:rFonts w:ascii="Cambria Math" w:hAnsi="Cambria Math"/>
                                </w:rPr>
                                <m:t>y</m:t>
                              </m:r>
                            </m:e>
                            <m:sub>
                              <m:r>
                                <w:rPr>
                                  <w:rFonts w:ascii="Cambria Math" w:hAnsi="Cambria Math"/>
                                </w:rPr>
                                <m:t>ns</m:t>
                              </m:r>
                              <m:r>
                                <m:rPr>
                                  <m:sty m:val="p"/>
                                </m:rPr>
                                <w:rPr>
                                  <w:rFonts w:ascii="Cambria Math" w:hAnsi="Cambria Math"/>
                                </w:rPr>
                                <m:t>,</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ns</m:t>
                              </m:r>
                              <m:r>
                                <m:rPr>
                                  <m:sty m:val="p"/>
                                </m:rPr>
                                <w:rPr>
                                  <w:rFonts w:ascii="Cambria Math" w:hAnsi="Cambria Math"/>
                                </w:rPr>
                                <m:t>,</m:t>
                              </m:r>
                              <m:r>
                                <w:rPr>
                                  <w:rFonts w:ascii="Cambria Math" w:hAnsi="Cambria Math"/>
                                </w:rPr>
                                <m:t>k</m:t>
                              </m:r>
                            </m:sub>
                          </m:sSub>
                        </m:e>
                      </m:d>
                    </m:e>
                  </m:func>
                </m:e>
              </m:d>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m:t>
                                  </m:r>
                                  <m:r>
                                    <w:rPr>
                                      <w:rFonts w:ascii="Cambria Math" w:hAnsi="Cambria Math"/>
                                    </w:rPr>
                                    <m:t>k</m:t>
                                  </m:r>
                                </m:sub>
                              </m:sSub>
                            </m:num>
                            <m:den>
                              <m:sSub>
                                <m:sSubPr>
                                  <m:ctrlPr>
                                    <w:rPr>
                                      <w:rFonts w:ascii="Cambria Math" w:hAnsi="Cambria Math"/>
                                    </w:rPr>
                                  </m:ctrlPr>
                                </m:sSubPr>
                                <m:e>
                                  <m:r>
                                    <w:rPr>
                                      <w:rFonts w:ascii="Cambria Math" w:hAnsi="Cambria Math"/>
                                    </w:rPr>
                                    <m:t>γ</m:t>
                                  </m:r>
                                </m:e>
                                <m:sub>
                                  <m:r>
                                    <w:rPr>
                                      <w:rFonts w:ascii="Cambria Math" w:hAnsi="Cambria Math"/>
                                    </w:rPr>
                                    <m:t>k</m:t>
                                  </m:r>
                                </m:sub>
                              </m:sSub>
                            </m:den>
                          </m:f>
                          <m:r>
                            <m:rPr>
                              <m:sty m:val="p"/>
                            </m:rPr>
                            <w:rPr>
                              <w:rFonts w:ascii="Cambria Math" w:hAnsi="Cambria Math"/>
                            </w:rPr>
                            <m:t>+1</m:t>
                          </m:r>
                        </m:e>
                      </m:d>
                    </m:e>
                    <m:sup>
                      <m:sSub>
                        <m:sSubPr>
                          <m:ctrlPr>
                            <w:rPr>
                              <w:rFonts w:ascii="Cambria Math" w:hAnsi="Cambria Math"/>
                            </w:rPr>
                          </m:ctrlPr>
                        </m:sSubPr>
                        <m:e>
                          <m:r>
                            <w:rPr>
                              <w:rFonts w:ascii="Cambria Math" w:hAnsi="Cambria Math"/>
                            </w:rPr>
                            <m:t>α</m:t>
                          </m:r>
                        </m:e>
                        <m:sub>
                          <m:r>
                            <w:rPr>
                              <w:rFonts w:ascii="Cambria Math" w:hAnsi="Cambria Math"/>
                            </w:rPr>
                            <m:t>k</m:t>
                          </m:r>
                        </m:sub>
                      </m:sSub>
                    </m:sup>
                  </m:sSup>
                  <m:r>
                    <m:rPr>
                      <m:sty m:val="p"/>
                    </m:rPr>
                    <w:rPr>
                      <w:rFonts w:ascii="Cambria Math" w:hAnsi="Cambria Math"/>
                    </w:rPr>
                    <m:t>-1</m:t>
                  </m:r>
                </m:e>
              </m:d>
            </m:e>
          </m:nary>
          <m:r>
            <m:rPr>
              <m:sty m:val="p"/>
            </m:rPr>
            <w:rPr>
              <w:rFonts w:ascii="Cambria Math" w:hAnsi="Cambria Math"/>
            </w:rPr>
            <m:t xml:space="preserve">         (2)</m:t>
          </m:r>
        </m:oMath>
      </m:oMathPara>
    </w:p>
    <w:p w14:paraId="6929C8AD" w14:textId="77777777" w:rsidR="00B94F43" w:rsidRPr="001A04ED" w:rsidRDefault="00B94F43" w:rsidP="00B94F43">
      <w:pPr>
        <w:pStyle w:val="1stParagraph"/>
      </w:pPr>
    </w:p>
    <w:p w14:paraId="03049428" w14:textId="4F039AB9" w:rsidR="00B94F43" w:rsidRPr="001A04ED" w:rsidRDefault="00B94F43" w:rsidP="00B94F43">
      <w:pPr>
        <w:pStyle w:val="1stParagraph"/>
      </w:pPr>
      <w:r w:rsidRPr="001A04ED">
        <w:t xml:space="preserve">where, </w:t>
      </w:r>
      <m:oMath>
        <m:r>
          <w:rPr>
            <w:rFonts w:ascii="Cambria Math" w:hAnsi="Cambria Math"/>
          </w:rPr>
          <m:t>Q</m:t>
        </m:r>
      </m:oMath>
      <w:r w:rsidRPr="001A04ED">
        <w:t xml:space="preserve"> is the number of outside end-use types. The reader would note that, there is no translation parameters </w:t>
      </w:r>
      <m:oMath>
        <m:sSub>
          <m:sSubPr>
            <m:ctrlPr>
              <w:rPr>
                <w:rFonts w:ascii="Cambria Math" w:hAnsi="Cambria Math"/>
                <w:i/>
              </w:rPr>
            </m:ctrlPr>
          </m:sSubPr>
          <m:e>
            <m:r>
              <w:rPr>
                <w:rFonts w:ascii="Cambria Math" w:hAnsi="Cambria Math"/>
              </w:rPr>
              <m:t>γ</m:t>
            </m:r>
          </m:e>
          <m:sub>
            <m:r>
              <w:rPr>
                <w:rFonts w:ascii="Cambria Math" w:hAnsi="Cambria Math"/>
              </w:rPr>
              <m:t>k</m:t>
            </m:r>
          </m:sub>
        </m:sSub>
      </m:oMath>
      <w:r w:rsidRPr="001A04ED">
        <w:t xml:space="preserve"> for the outside end-use types, as energy is always consumed for them </w:t>
      </w:r>
      <w:r w:rsidRPr="001A04ED">
        <w:fldChar w:fldCharType="begin" w:fldLock="1"/>
      </w:r>
      <w:r w:rsidR="00273110" w:rsidRPr="001A04ED">
        <w:instrText>ADDIN CSL_CITATION {"citationItems":[{"id":"ITEM-1","itemData":{"DOI":"10.1016/j.trb.2007.06.002","ISSN":"01912615","abstract":"Many consumer choice situations are characterized by the simultaneous demand for multiple alternatives that are imperfect substitutes for one another. A simple and parsimonious multiple discrete-continuous extreme value (MDCEV) econometric approach to handle such multiple discreteness was formulated by Bhat (2005) [Bhat, C.R., 2005. A multiple discrete-continuous extreme value model: formulation and application to discretionary time-use decisions. Transportation Research Part B 39(8), 679-707]. within the broader Kuhn-Tucker (KT) multiple discrete-continuous economic consumer demand model of Wales and Woodland (1983) [Wales, T.J., and Woodland, A.D., 1983. Estimation of consumer demand systems with binding non-negativity constraints. Journal of Econometrics 21(3), 263-85]. This paper examines several issues associated with the MDCEV model and other extant KT multiple discrete-continuous models. Specifically, the paper proposes a new utility function form that enables clarity in the role of each parameter in the utility specification, presents identification considerations associated with both the utility functional form as well as the stochastic nature of the utility specification, extends the MDCEV model to the case of price variation across goods and to general error covariance structures, discusses the relationship between earlier KT-based multiple discrete-continuous models, and illustrates the many technical nuances and identification considerations of the multiple discrete-continuous model structure through empirical examples. The paper also highlights the technical problems associated with the stochastic specification used in the KT-based multiple discrete-continuous models formulated in recent Environmental Economics papers. © 2007 Elsevier Ltd. All rights reserved.","author":[{"dropping-particle":"","family":"Bhat","given":"Chandra R.","non-dropping-particle":"","parse-names":false,"suffix":""}],"container-title":"Transportation Research Part B: Methodological","id":"ITEM-1","issue":"3","issued":{"date-parts":[["2008"]]},"page":"274-303","title":"The multiple discrete-continuous extreme value (MDCEV) model: Role of utility function parameters, identification considerations, and model extensions","type":"article-journal","volume":"42"},"uris":["http://www.mendeley.com/documents/?uuid=a2ccddb3-4dc1-4e8d-a1fa-83702fd5d95f"]}],"mendeley":{"formattedCitation":"(Bhat, 2008)","plainTextFormattedCitation":"(Bhat, 2008)","previouslyFormattedCitation":"(Bhat, 2008)"},"properties":{"noteIndex":0},"schema":"https://github.com/citation-style-language/schema/raw/master/csl-citation.json"}</w:instrText>
      </w:r>
      <w:r w:rsidRPr="001A04ED">
        <w:fldChar w:fldCharType="separate"/>
      </w:r>
      <w:r w:rsidR="008C37C1" w:rsidRPr="001A04ED">
        <w:rPr>
          <w:noProof/>
        </w:rPr>
        <w:t>(Bhat, 2008)</w:t>
      </w:r>
      <w:r w:rsidRPr="001A04ED">
        <w:fldChar w:fldCharType="end"/>
      </w:r>
      <w:r w:rsidRPr="001A04ED">
        <w:t xml:space="preserve">. Now, due to the common role of </w:t>
      </w:r>
      <m:oMath>
        <m:r>
          <w:rPr>
            <w:rFonts w:ascii="Cambria Math" w:hAnsi="Cambria Math"/>
          </w:rPr>
          <m:t>α</m:t>
        </m:r>
      </m:oMath>
      <w:r w:rsidRPr="001A04ED">
        <w:t xml:space="preserve"> and </w:t>
      </w:r>
      <m:oMath>
        <m:r>
          <w:rPr>
            <w:rFonts w:ascii="Cambria Math" w:hAnsi="Cambria Math"/>
          </w:rPr>
          <m:t>γ</m:t>
        </m:r>
      </m:oMath>
      <w:r w:rsidRPr="001A04ED">
        <w:t xml:space="preserve">, estimating both in empirical application is challenging. Therefore by imposing selective restrictions on </w:t>
      </w:r>
      <m:oMath>
        <m:r>
          <w:rPr>
            <w:rFonts w:ascii="Cambria Math" w:hAnsi="Cambria Math"/>
          </w:rPr>
          <m:t>α</m:t>
        </m:r>
      </m:oMath>
      <w:r w:rsidRPr="001A04ED">
        <w:t xml:space="preserve"> and </w:t>
      </w:r>
      <m:oMath>
        <m:r>
          <w:rPr>
            <w:rFonts w:ascii="Cambria Math" w:hAnsi="Cambria Math"/>
          </w:rPr>
          <m:t>γ</m:t>
        </m:r>
      </m:oMath>
      <w:r w:rsidRPr="001A04ED">
        <w:t xml:space="preserve"> separately, several functional forms of the utility equation (see </w:t>
      </w:r>
      <w:r w:rsidRPr="001A04ED">
        <w:fldChar w:fldCharType="begin" w:fldLock="1"/>
      </w:r>
      <w:r w:rsidR="00273110" w:rsidRPr="001A04ED">
        <w:instrText>ADDIN CSL_CITATION {"citationItems":[{"id":"ITEM-1","itemData":{"DOI":"10.1016/j.trb.2007.06.002","ISSN":"01912615","abstract":"Many consumer choice situations are characterized by the simultaneous demand for multiple alternatives that are imperfect substitutes for one another. A simple and parsimonious multiple discrete-continuous extreme value (MDCEV) econometric approach to handle such multiple discreteness was formulated by Bhat (2005) [Bhat, C.R., 2005. A multiple discrete-continuous extreme value model: formulation and application to discretionary time-use decisions. Transportation Research Part B 39(8), 679-707]. within the broader Kuhn-Tucker (KT) multiple discrete-continuous economic consumer demand model of Wales and Woodland (1983) [Wales, T.J., and Woodland, A.D., 1983. Estimation of consumer demand systems with binding non-negativity constraints. Journal of Econometrics 21(3), 263-85]. This paper examines several issues associated with the MDCEV model and other extant KT multiple discrete-continuous models. Specifically, the paper proposes a new utility function form that enables clarity in the role of each parameter in the utility specification, presents identification considerations associated with both the utility functional form as well as the stochastic nature of the utility specification, extends the MDCEV model to the case of price variation across goods and to general error covariance structures, discusses the relationship between earlier KT-based multiple discrete-continuous models, and illustrates the many technical nuances and identification considerations of the multiple discrete-continuous model structure through empirical examples. The paper also highlights the technical problems associated with the stochastic specification used in the KT-based multiple discrete-continuous models formulated in recent Environmental Economics papers. © 2007 Elsevier Ltd. All rights reserved.","author":[{"dropping-particle":"","family":"Bhat","given":"Chandra R.","non-dropping-particle":"","parse-names":false,"suffix":""}],"container-title":"Transportation Research Part B: Methodological","id":"ITEM-1","issue":"3","issued":{"date-parts":[["2008"]]},"page":"274-303","title":"The multiple discrete-continuous extreme value (MDCEV) model: Role of utility function parameters, identification considerations, and model extensions","type":"article-journal","volume":"42"},"uris":["http://www.mendeley.com/documents/?uuid=a2ccddb3-4dc1-4e8d-a1fa-83702fd5d95f"]},{"id":"ITEM-2","itemData":{"DOI":"10.1108/9781849507738-004","ISBN":"9781849507721","abstract":"Many consumer choice situations are characterized by the simultaneous demand for multiple alternatives that are imperfect substitutes for one another. A simple and parsimonious multiple discrete-continuous extreme value (MDCEV) econometric approach to handle such multiple discreteness was formulated by Bhat (2005) within the broader Kuhn–Tucker (KT) multiple discrete-continuous economic consumer demand model of Wales and Woodland (1983). In this chapter, the focus is on presenting the basic MDCEV model structure, discussing its estimation and use in prediction, formulating extensions of the basic MDCEV structure, and presenting applications of the model. The paper examines several issues associated with the MDCEV model and other extant KT multiple discrete-continuous models. Specifically, the paper discusses the utility function form that enables clarity in the role of each parameter in the utility specification, presents identification considerations associated with both the utility functional form as well as the stochastic nature of the utility specification, extends the MDCEV model to the case of price variation across goods and to general error covariance structures, discusses the relationship between earlier KT-based multiple discrete-continuous models, and illustrates the many technical nuances and identification considerations of the multiple discrete-continuous model structure. Finally, we discuss the many applications of MDCEV model and its extensions in various fields.","author":[{"dropping-particle":"","family":"Bhat","given":"Chandra R.","non-dropping-particle":"","parse-names":false,"suffix":""},{"dropping-particle":"","family":"Eluru","given":"Naveen","non-dropping-particle":"","parse-names":false,"suffix":""}],"chapter-number":"Chapter 4","container-title":"Choice Modelling: The State-of-the-art and The State-of-practice","id":"ITEM-2","issued":{"date-parts":[["2010"]]},"page":"71-99","publisher":"Emerald Group Publishing Limited","title":"The Multiple Discrete-Continuous Extreme Value (MDCEV) Model: Formulation and Applications","type":"chapter"},"uris":["http://www.mendeley.com/documents/?uuid=80d88001-7897-40fc-bd3c-7117e06b518c"]}],"mendeley":{"formattedCitation":"(Bhat, 2008; Bhat &amp; Eluru, 2010)","plainTextFormattedCitation":"(Bhat, 2008; Bhat &amp; Eluru, 2010)","previouslyFormattedCitation":"(Bhat, 2008; Bhat &amp; Eluru, 2010)"},"properties":{"noteIndex":0},"schema":"https://github.com/citation-style-language/schema/raw/master/csl-citation.json"}</w:instrText>
      </w:r>
      <w:r w:rsidRPr="001A04ED">
        <w:fldChar w:fldCharType="separate"/>
      </w:r>
      <w:r w:rsidR="008C37C1" w:rsidRPr="001A04ED">
        <w:rPr>
          <w:noProof/>
        </w:rPr>
        <w:t>(Bhat, 2008; Bhat &amp; Eluru, 2010)</w:t>
      </w:r>
      <w:r w:rsidRPr="001A04ED">
        <w:fldChar w:fldCharType="end"/>
      </w:r>
      <w:r w:rsidRPr="001A04ED">
        <w:t xml:space="preserve"> for the different functional forms) are examined in this study and the </w:t>
      </w:r>
      <m:oMath>
        <m:r>
          <w:rPr>
            <w:rFonts w:ascii="Cambria Math" w:hAnsi="Cambria Math"/>
          </w:rPr>
          <m:t>γ-</m:t>
        </m:r>
      </m:oMath>
      <w:r w:rsidRPr="001A04ED">
        <w:t>profile of Equation 3 is found to provide the best data fit.</w:t>
      </w:r>
    </w:p>
    <w:p w14:paraId="61B466F2" w14:textId="77777777" w:rsidR="00B94F43" w:rsidRPr="001A04ED" w:rsidRDefault="00B94F43" w:rsidP="00B94F43">
      <w:pPr>
        <w:pStyle w:val="1stParagraph"/>
      </w:pPr>
    </w:p>
    <w:p w14:paraId="60DE3665" w14:textId="5F426A40" w:rsidR="00B94F43" w:rsidRPr="001A04ED" w:rsidRDefault="00000000" w:rsidP="00B94F43">
      <w:pPr>
        <w:pStyle w:val="1stParagraph"/>
        <w:rPr>
          <w:rFonts w:eastAsiaTheme="minorEastAsia"/>
        </w:rPr>
      </w:pPr>
      <m:oMathPara>
        <m:oMath>
          <m:sSub>
            <m:sSubPr>
              <m:ctrlPr>
                <w:rPr>
                  <w:rFonts w:ascii="Cambria Math" w:hAnsi="Cambria Math"/>
                </w:rPr>
              </m:ctrlPr>
            </m:sSubPr>
            <m:e>
              <m:r>
                <w:rPr>
                  <w:rFonts w:ascii="Cambria Math" w:hAnsi="Cambria Math"/>
                </w:rPr>
                <m:t>U</m:t>
              </m:r>
            </m:e>
            <m:sub>
              <m:r>
                <w:rPr>
                  <w:rFonts w:ascii="Cambria Math" w:hAnsi="Cambria Math"/>
                </w:rPr>
                <m:t>ns</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Q</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sSub>
                        <m:sSubPr>
                          <m:ctrlPr>
                            <w:rPr>
                              <w:rFonts w:ascii="Cambria Math" w:hAnsi="Cambria Math"/>
                            </w:rPr>
                          </m:ctrlPr>
                        </m:sSubPr>
                        <m:e>
                          <m:r>
                            <w:rPr>
                              <w:rFonts w:ascii="Cambria Math" w:hAnsi="Cambria Math"/>
                            </w:rPr>
                            <m:t>ε</m:t>
                          </m:r>
                        </m:e>
                        <m:sub>
                          <m:r>
                            <w:rPr>
                              <w:rFonts w:ascii="Cambria Math" w:hAnsi="Cambria Math"/>
                            </w:rPr>
                            <m:t>ns</m:t>
                          </m:r>
                          <m:r>
                            <m:rPr>
                              <m:sty m:val="p"/>
                            </m:rPr>
                            <w:rPr>
                              <w:rFonts w:ascii="Cambria Math" w:hAnsi="Cambria Math"/>
                            </w:rPr>
                            <m:t>,</m:t>
                          </m:r>
                          <m:r>
                            <w:rPr>
                              <w:rFonts w:ascii="Cambria Math" w:hAnsi="Cambria Math"/>
                            </w:rPr>
                            <m:t>k</m:t>
                          </m:r>
                        </m:sub>
                      </m:sSub>
                    </m:e>
                  </m:d>
                </m:e>
              </m:func>
              <m:r>
                <w:rPr>
                  <w:rFonts w:ascii="Cambria Math" w:hAnsi="Cambria Math"/>
                </w:rPr>
                <m:t>ln</m:t>
              </m:r>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m:t>
                  </m:r>
                  <m:r>
                    <w:rPr>
                      <w:rFonts w:ascii="Cambria Math" w:hAnsi="Cambria Math"/>
                    </w:rPr>
                    <m:t>k</m:t>
                  </m:r>
                </m:sub>
              </m:sSub>
              <m:r>
                <m:rPr>
                  <m:sty m:val="p"/>
                </m:rPr>
                <w:rPr>
                  <w:rFonts w:ascii="Cambria Math" w:hAnsi="Cambria Math"/>
                </w:rPr>
                <m:t>)+</m:t>
              </m:r>
            </m:e>
          </m:nary>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r>
                <w:rPr>
                  <w:rFonts w:ascii="Cambria Math" w:hAnsi="Cambria Math"/>
                </w:rPr>
                <m:t>Q</m:t>
              </m:r>
              <m:r>
                <m:rPr>
                  <m:sty m:val="p"/>
                </m:rPr>
                <w:rPr>
                  <w:rFonts w:ascii="Cambria Math" w:hAnsi="Cambria Math"/>
                </w:rPr>
                <m:t>+1</m:t>
              </m:r>
            </m:sub>
            <m:sup>
              <m:r>
                <w:rPr>
                  <w:rFonts w:ascii="Cambria Math" w:hAnsi="Cambria Math"/>
                </w:rPr>
                <m:t>K</m:t>
              </m:r>
            </m:sup>
            <m:e>
              <m:sSub>
                <m:sSubPr>
                  <m:ctrlPr>
                    <w:rPr>
                      <w:rFonts w:ascii="Cambria Math" w:hAnsi="Cambria Math"/>
                    </w:rPr>
                  </m:ctrlPr>
                </m:sSubPr>
                <m:e>
                  <m:r>
                    <w:rPr>
                      <w:rFonts w:ascii="Cambria Math" w:hAnsi="Cambria Math"/>
                    </w:rPr>
                    <m:t>γ</m:t>
                  </m:r>
                </m:e>
                <m:sub>
                  <m:r>
                    <w:rPr>
                      <w:rFonts w:ascii="Cambria Math" w:hAnsi="Cambria Math"/>
                    </w:rPr>
                    <m:t>k</m:t>
                  </m:r>
                </m:sub>
              </m:sSub>
              <m:d>
                <m:dPr>
                  <m:begChr m:val="["/>
                  <m:endChr m:val="]"/>
                  <m:ctrlPr>
                    <w:rPr>
                      <w:rFonts w:ascii="Cambria Math" w:hAnsi="Cambria Math"/>
                    </w:rPr>
                  </m:ctrlPr>
                </m:dPr>
                <m:e>
                  <m:func>
                    <m:funcPr>
                      <m:ctrlPr>
                        <w:rPr>
                          <w:rFonts w:ascii="Cambria Math" w:hAnsi="Cambria Math"/>
                        </w:rPr>
                      </m:ctrlPr>
                    </m:funcPr>
                    <m:fName>
                      <m:r>
                        <w:rPr>
                          <w:rFonts w:ascii="Cambria Math" w:hAnsi="Cambria Math"/>
                        </w:rPr>
                        <m:t>exp</m:t>
                      </m:r>
                    </m:fName>
                    <m:e>
                      <m:d>
                        <m:dPr>
                          <m:ctrlPr>
                            <w:rPr>
                              <w:rFonts w:ascii="Cambria Math" w:hAnsi="Cambria Math"/>
                            </w:rPr>
                          </m:ctrlPr>
                        </m:dPr>
                        <m:e>
                          <m:sSup>
                            <m:sSupPr>
                              <m:ctrlPr>
                                <w:rPr>
                                  <w:rFonts w:ascii="Cambria Math" w:hAnsi="Cambria Math"/>
                                </w:rPr>
                              </m:ctrlPr>
                            </m:sSupPr>
                            <m:e>
                              <m:r>
                                <w:rPr>
                                  <w:rFonts w:ascii="Cambria Math" w:hAnsi="Cambria Math"/>
                                </w:rPr>
                                <m:t>β</m:t>
                              </m:r>
                            </m:e>
                            <m:sup>
                              <m:r>
                                <m:rPr>
                                  <m:sty m:val="p"/>
                                </m:rPr>
                                <w:rPr>
                                  <w:rFonts w:ascii="Cambria Math" w:hAnsi="Cambria Math"/>
                                </w:rPr>
                                <m:t>'</m:t>
                              </m:r>
                            </m:sup>
                          </m:sSup>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m:t>
                              </m:r>
                              <m:r>
                                <w:rPr>
                                  <w:rFonts w:ascii="Cambria Math" w:hAnsi="Cambria Math"/>
                                </w:rPr>
                                <m:t>k</m:t>
                              </m:r>
                            </m:sub>
                          </m:sSub>
                          <m:r>
                            <m:rPr>
                              <m:sty m:val="p"/>
                            </m:rPr>
                            <w:rPr>
                              <w:rFonts w:ascii="Cambria Math" w:hAnsi="Cambria Math"/>
                            </w:rPr>
                            <m:t>+</m:t>
                          </m:r>
                          <m:sSup>
                            <m:sSupPr>
                              <m:ctrlPr>
                                <w:rPr>
                                  <w:rFonts w:ascii="Cambria Math" w:hAnsi="Cambria Math"/>
                                </w:rPr>
                              </m:ctrlPr>
                            </m:sSupPr>
                            <m:e>
                              <m:r>
                                <w:rPr>
                                  <w:rFonts w:ascii="Cambria Math" w:hAnsi="Cambria Math"/>
                                </w:rPr>
                                <m:t>φ</m:t>
                              </m:r>
                            </m:e>
                            <m:sup>
                              <m:r>
                                <m:rPr>
                                  <m:sty m:val="p"/>
                                </m:rPr>
                                <w:rPr>
                                  <w:rFonts w:ascii="Cambria Math" w:hAnsi="Cambria Math"/>
                                </w:rPr>
                                <m:t>'</m:t>
                              </m:r>
                            </m:sup>
                          </m:sSup>
                          <m:sSub>
                            <m:sSubPr>
                              <m:ctrlPr>
                                <w:rPr>
                                  <w:rFonts w:ascii="Cambria Math" w:hAnsi="Cambria Math"/>
                                </w:rPr>
                              </m:ctrlPr>
                            </m:sSubPr>
                            <m:e>
                              <m:r>
                                <w:rPr>
                                  <w:rFonts w:ascii="Cambria Math" w:hAnsi="Cambria Math"/>
                                </w:rPr>
                                <m:t>y</m:t>
                              </m:r>
                            </m:e>
                            <m:sub>
                              <m:r>
                                <w:rPr>
                                  <w:rFonts w:ascii="Cambria Math" w:hAnsi="Cambria Math"/>
                                </w:rPr>
                                <m:t>ns</m:t>
                              </m:r>
                              <m:r>
                                <m:rPr>
                                  <m:sty m:val="p"/>
                                </m:rPr>
                                <w:rPr>
                                  <w:rFonts w:ascii="Cambria Math" w:hAnsi="Cambria Math"/>
                                </w:rPr>
                                <m:t>,</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ns</m:t>
                              </m:r>
                              <m:r>
                                <m:rPr>
                                  <m:sty m:val="p"/>
                                </m:rPr>
                                <w:rPr>
                                  <w:rFonts w:ascii="Cambria Math" w:hAnsi="Cambria Math"/>
                                </w:rPr>
                                <m:t>,</m:t>
                              </m:r>
                              <m:r>
                                <w:rPr>
                                  <w:rFonts w:ascii="Cambria Math" w:hAnsi="Cambria Math"/>
                                </w:rPr>
                                <m:t>k</m:t>
                              </m:r>
                            </m:sub>
                          </m:sSub>
                        </m:e>
                      </m:d>
                    </m:e>
                  </m:func>
                </m:e>
              </m:d>
              <m:r>
                <m:rPr>
                  <m:sty m:val="p"/>
                </m:rPr>
                <w:rPr>
                  <w:rFonts w:ascii="Cambria Math" w:hAnsi="Cambria Math"/>
                </w:rPr>
                <m:t>.</m:t>
              </m:r>
              <m:func>
                <m:funcPr>
                  <m:ctrlPr>
                    <w:rPr>
                      <w:rFonts w:ascii="Cambria Math" w:hAnsi="Cambria Math"/>
                    </w:rPr>
                  </m:ctrlPr>
                </m:funcPr>
                <m:fName>
                  <m:r>
                    <w:rPr>
                      <w:rFonts w:ascii="Cambria Math" w:hAnsi="Cambria Math"/>
                    </w:rPr>
                    <m:t>ln</m:t>
                  </m:r>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m:t>
                              </m:r>
                              <m:r>
                                <w:rPr>
                                  <w:rFonts w:ascii="Cambria Math" w:hAnsi="Cambria Math"/>
                                </w:rPr>
                                <m:t>k</m:t>
                              </m:r>
                            </m:sub>
                          </m:sSub>
                        </m:num>
                        <m:den>
                          <m:sSub>
                            <m:sSubPr>
                              <m:ctrlPr>
                                <w:rPr>
                                  <w:rFonts w:ascii="Cambria Math" w:hAnsi="Cambria Math"/>
                                </w:rPr>
                              </m:ctrlPr>
                            </m:sSubPr>
                            <m:e>
                              <m:r>
                                <w:rPr>
                                  <w:rFonts w:ascii="Cambria Math" w:hAnsi="Cambria Math"/>
                                </w:rPr>
                                <m:t>γ</m:t>
                              </m:r>
                            </m:e>
                            <m:sub>
                              <m:r>
                                <w:rPr>
                                  <w:rFonts w:ascii="Cambria Math" w:hAnsi="Cambria Math"/>
                                </w:rPr>
                                <m:t>k</m:t>
                              </m:r>
                            </m:sub>
                          </m:sSub>
                        </m:den>
                      </m:f>
                      <m:r>
                        <m:rPr>
                          <m:sty m:val="p"/>
                        </m:rPr>
                        <w:rPr>
                          <w:rFonts w:ascii="Cambria Math" w:hAnsi="Cambria Math"/>
                        </w:rPr>
                        <m:t>+1</m:t>
                      </m:r>
                    </m:e>
                  </m:d>
                </m:e>
              </m:func>
            </m:e>
          </m:nary>
          <m:r>
            <m:rPr>
              <m:sty m:val="p"/>
            </m:rPr>
            <w:rPr>
              <w:rFonts w:ascii="Cambria Math" w:hAnsi="Cambria Math"/>
            </w:rPr>
            <m:t xml:space="preserve">                      (3)</m:t>
          </m:r>
        </m:oMath>
      </m:oMathPara>
    </w:p>
    <w:p w14:paraId="47D9A16C" w14:textId="77777777" w:rsidR="00B94F43" w:rsidRPr="001A04ED" w:rsidRDefault="00B94F43" w:rsidP="00B94F43">
      <w:pPr>
        <w:pStyle w:val="1stParagraph"/>
      </w:pPr>
    </w:p>
    <w:p w14:paraId="0312992F" w14:textId="67DC1027" w:rsidR="00B94F43" w:rsidRPr="001A04ED" w:rsidRDefault="00B94F43" w:rsidP="00B94F43">
      <w:pPr>
        <w:pStyle w:val="1stParagraph"/>
        <w:ind w:firstLine="720"/>
      </w:pPr>
      <w:r w:rsidRPr="001A04ED">
        <w:t xml:space="preserve">In the MDCEV model framework the utility </w:t>
      </w:r>
      <m:oMath>
        <m:sSub>
          <m:sSubPr>
            <m:ctrlPr>
              <w:rPr>
                <w:rFonts w:ascii="Cambria Math" w:hAnsi="Cambria Math"/>
                <w:i/>
              </w:rPr>
            </m:ctrlPr>
          </m:sSubPr>
          <m:e>
            <m:r>
              <w:rPr>
                <w:rFonts w:ascii="Cambria Math" w:hAnsi="Cambria Math"/>
              </w:rPr>
              <m:t>U</m:t>
            </m:r>
          </m:e>
          <m:sub>
            <m:r>
              <w:rPr>
                <w:rFonts w:ascii="Cambria Math" w:hAnsi="Cambria Math"/>
              </w:rPr>
              <m:t>ns</m:t>
            </m:r>
          </m:sub>
        </m:sSub>
      </m:oMath>
      <w:r w:rsidRPr="001A04ED">
        <w:t xml:space="preserve"> is derived by allocating the total energy among different end-uses. The optimization problem can be solved by forming Lagrangian function for the usage constraint and subsequently applying Kuhn-Tucker first order conditions </w:t>
      </w:r>
      <w:r w:rsidRPr="001A04ED">
        <w:fldChar w:fldCharType="begin" w:fldLock="1"/>
      </w:r>
      <w:r w:rsidR="00273110" w:rsidRPr="001A04ED">
        <w:instrText>ADDIN CSL_CITATION {"citationItems":[{"id":"ITEM-1","itemData":{"author":[{"dropping-particle":"","family":"Wales","given":"T.J.","non-dropping-particle":"","parse-names":false,"suffix":""},{"dropping-particle":"","family":"Woodland","given":"A.D.","non-dropping-particle":"","parse-names":false,"suffix":""}],"container-title":"Journal of Econometrics","id":"ITEM-1","issued":{"date-parts":[["1983"]]},"page":"263-285","title":"ESTIMATION OF CONSUMER DEMAND SYSTEMS WITH BINDING NON-NEGATIVITY CONSTRAINTS","type":"article-journal","volume":"21"},"uris":["http://www.mendeley.com/documents/?uuid=3c294082-0a64-407e-86b5-c79e347a808d"]},{"id":"ITEM-2","itemData":{"DOI":"10.1016/j.enbuild.2021.110934","ISSN":"03787788","abstract":"Residential energy use has become an important source of global energy demand growth and carbon emissions growth. Residential building energy usage accounts for about 22% of the total energy use in the United States. In the current study, we address residential energy usage by addressing two decisions: (1) source of energy (such as electric and natural gas) and (2) consumption by energy source for various purposes. A Multiple Discrete Continuous Extreme Value model that allows us to analyze the source and consumption decisions in an integrated framework is developed. The model is estimated using data drawn from the 2015 Residential Energy Consumption Survey that provides energy use details for electricity, natural gas, fuel oil and Liquefied Petroleum Gas for residential units across United States. An exhaustive set of independent variables including location characteristics, household characteristics, housing characteristics, appliance use and climatic characteristics were employed in the model estimation. The model estimation results are augmented with a comprehensive policy analysis to illustrate how various independent variables affect energy use by source. A comparison of energy use between urban and rural regions, by varying household size and housing unit size are examined.","author":[{"dropping-particle":"","family":"Iraganaboina","given":"Naveen Chandra","non-dropping-particle":"","parse-names":false,"suffix":""},{"dropping-particle":"","family":"Eluru","given":"Naveen","non-dropping-particle":"","parse-names":false,"suffix":""}],"container-title":"Energy and Buildings","id":"ITEM-2","issued":{"date-parts":[["2021"]]},"page":"110934","publisher":"Elsevier B.V.","title":"An examination of factors affecting residential energy consumption using a multiple discrete continuous approach","type":"article-journal","volume":"240"},"uris":["http://www.mendeley.com/documents/?uuid=1a2aff66-8503-405f-b73a-853c17c0feb4"]}],"mendeley":{"formattedCitation":"(Iraganaboina &amp; Eluru, 2021; Wales &amp; Woodland, 1983)","plainTextFormattedCitation":"(Iraganaboina &amp; Eluru, 2021; Wales &amp; Woodland, 1983)","previouslyFormattedCitation":"(Iraganaboina &amp; Eluru, 2021; Wales &amp; Woodland, 1983)"},"properties":{"noteIndex":0},"schema":"https://github.com/citation-style-language/schema/raw/master/csl-citation.json"}</w:instrText>
      </w:r>
      <w:r w:rsidRPr="001A04ED">
        <w:fldChar w:fldCharType="separate"/>
      </w:r>
      <w:r w:rsidR="008C37C1" w:rsidRPr="001A04ED">
        <w:rPr>
          <w:noProof/>
        </w:rPr>
        <w:t>(Iraganaboina &amp; Eluru, 2021; Wales &amp; Woodland, 1983)</w:t>
      </w:r>
      <w:r w:rsidRPr="001A04ED">
        <w:fldChar w:fldCharType="end"/>
      </w:r>
      <w:r w:rsidRPr="001A04ED">
        <w:t xml:space="preserve">. Therefore, the probability that a household allocates total energy consumption across the first </w:t>
      </w:r>
      <m:oMath>
        <m:r>
          <w:rPr>
            <w:rFonts w:ascii="Cambria Math" w:hAnsi="Cambria Math"/>
          </w:rPr>
          <m:t>M</m:t>
        </m:r>
      </m:oMath>
      <w:r w:rsidRPr="001A04ED">
        <w:t xml:space="preserve"> of the </w:t>
      </w:r>
      <m:oMath>
        <m:r>
          <w:rPr>
            <w:rFonts w:ascii="Cambria Math" w:hAnsi="Cambria Math"/>
          </w:rPr>
          <m:t>K</m:t>
        </m:r>
      </m:oMath>
      <w:r w:rsidRPr="001A04ED">
        <w:t xml:space="preserve"> end-use types can be expressed as follows:</w:t>
      </w:r>
    </w:p>
    <w:p w14:paraId="7B8B5798" w14:textId="77777777" w:rsidR="00B94F43" w:rsidRPr="001A04ED" w:rsidRDefault="00B94F43" w:rsidP="00B94F43">
      <w:pPr>
        <w:pStyle w:val="1stParagraph"/>
        <w:ind w:firstLine="720"/>
      </w:pPr>
    </w:p>
    <w:p w14:paraId="2BAC52EA" w14:textId="15F3DB9F" w:rsidR="00B94F43" w:rsidRPr="001A04ED" w:rsidRDefault="00000000" w:rsidP="00B94F43">
      <w:pPr>
        <w:pStyle w:val="1stParagraph"/>
      </w:pPr>
      <m:oMathPara>
        <m:oMath>
          <m:sSub>
            <m:sSubPr>
              <m:ctrlPr>
                <w:rPr>
                  <w:rFonts w:ascii="Cambria Math" w:hAnsi="Cambria Math"/>
                </w:rPr>
              </m:ctrlPr>
            </m:sSubPr>
            <m:e>
              <m:r>
                <w:rPr>
                  <w:rFonts w:ascii="Cambria Math" w:hAnsi="Cambria Math"/>
                </w:rPr>
                <m:t>P</m:t>
              </m:r>
            </m:e>
            <m:sub>
              <m:r>
                <w:rPr>
                  <w:rFonts w:ascii="Cambria Math" w:hAnsi="Cambria Math"/>
                </w:rPr>
                <m:t>ns</m:t>
              </m:r>
            </m:sub>
          </m:sSub>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w:rPr>
                          <w:rFonts w:ascii="Cambria Math" w:hAnsi="Cambria Math"/>
                        </w:rPr>
                        <m:t>t</m:t>
                      </m:r>
                    </m:e>
                    <m:sub>
                      <m:r>
                        <m:rPr>
                          <m:sty m:val="p"/>
                        </m:rPr>
                        <w:rPr>
                          <w:rFonts w:ascii="Cambria Math" w:hAnsi="Cambria Math"/>
                        </w:rPr>
                        <m:t>1</m:t>
                      </m:r>
                    </m:sub>
                  </m:sSub>
                </m:e>
                <m:sup>
                  <m:r>
                    <m:rPr>
                      <m:sty m:val="p"/>
                    </m:rPr>
                    <w:rPr>
                      <w:rFonts w:ascii="Cambria Math" w:hAnsi="Cambria Math"/>
                    </w:rPr>
                    <m:t>*</m:t>
                  </m:r>
                </m:sup>
              </m:sSup>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t</m:t>
                      </m:r>
                    </m:e>
                    <m:sub>
                      <m:r>
                        <m:rPr>
                          <m:sty m:val="p"/>
                        </m:rPr>
                        <w:rPr>
                          <w:rFonts w:ascii="Cambria Math" w:hAnsi="Cambria Math"/>
                        </w:rPr>
                        <m:t>2</m:t>
                      </m:r>
                    </m:sub>
                  </m:sSub>
                </m:e>
                <m:sup>
                  <m:r>
                    <m:rPr>
                      <m:sty m:val="p"/>
                    </m:rPr>
                    <w:rPr>
                      <w:rFonts w:ascii="Cambria Math" w:hAnsi="Cambria Math"/>
                    </w:rPr>
                    <m:t>*</m:t>
                  </m:r>
                </m:sup>
              </m:sSup>
              <m:r>
                <m:rPr>
                  <m:sty m:val="p"/>
                </m:rPr>
                <w:rPr>
                  <w:rFonts w:ascii="Cambria Math" w:hAnsi="Cambria Math"/>
                </w:rPr>
                <m:t xml:space="preserve">,…, </m:t>
              </m:r>
              <m:sSup>
                <m:sSupPr>
                  <m:ctrlPr>
                    <w:rPr>
                      <w:rFonts w:ascii="Cambria Math" w:hAnsi="Cambria Math"/>
                    </w:rPr>
                  </m:ctrlPr>
                </m:sSupPr>
                <m:e>
                  <m:sSub>
                    <m:sSubPr>
                      <m:ctrlPr>
                        <w:rPr>
                          <w:rFonts w:ascii="Cambria Math" w:hAnsi="Cambria Math"/>
                        </w:rPr>
                      </m:ctrlPr>
                    </m:sSubPr>
                    <m:e>
                      <m:r>
                        <w:rPr>
                          <w:rFonts w:ascii="Cambria Math" w:hAnsi="Cambria Math"/>
                        </w:rPr>
                        <m:t>t</m:t>
                      </m:r>
                    </m:e>
                    <m:sub>
                      <m:r>
                        <w:rPr>
                          <w:rFonts w:ascii="Cambria Math" w:hAnsi="Cambria Math"/>
                        </w:rPr>
                        <m:t>M</m:t>
                      </m:r>
                    </m:sub>
                  </m:sSub>
                </m:e>
                <m:sup>
                  <m:r>
                    <m:rPr>
                      <m:sty m:val="p"/>
                    </m:rPr>
                    <w:rPr>
                      <w:rFonts w:ascii="Cambria Math" w:hAnsi="Cambria Math"/>
                    </w:rPr>
                    <m:t>*</m:t>
                  </m:r>
                </m:sup>
              </m:sSup>
              <m:r>
                <m:rPr>
                  <m:sty m:val="p"/>
                </m:rPr>
                <w:rPr>
                  <w:rFonts w:ascii="Cambria Math" w:hAnsi="Cambria Math"/>
                </w:rPr>
                <m:t>,0,0,…,0</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σ</m:t>
                  </m:r>
                </m:e>
                <m:sup>
                  <m:r>
                    <w:rPr>
                      <w:rFonts w:ascii="Cambria Math" w:hAnsi="Cambria Math"/>
                    </w:rPr>
                    <m:t>M</m:t>
                  </m:r>
                  <m:r>
                    <m:rPr>
                      <m:sty m:val="p"/>
                    </m:rPr>
                    <w:rPr>
                      <w:rFonts w:ascii="Cambria Math" w:hAnsi="Cambria Math"/>
                    </w:rPr>
                    <m:t>-1</m:t>
                  </m:r>
                </m:sup>
              </m:sSup>
            </m:den>
          </m:f>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=1</m:t>
                  </m:r>
                </m:sub>
                <m:sup>
                  <m:r>
                    <w:rPr>
                      <w:rFonts w:ascii="Cambria Math" w:hAnsi="Cambria Math"/>
                    </w:rPr>
                    <m:t>M</m:t>
                  </m:r>
                </m:sup>
                <m:e>
                  <m:sSub>
                    <m:sSubPr>
                      <m:ctrlPr>
                        <w:rPr>
                          <w:rFonts w:ascii="Cambria Math" w:hAnsi="Cambria Math"/>
                        </w:rPr>
                      </m:ctrlPr>
                    </m:sSubPr>
                    <m:e>
                      <m:r>
                        <w:rPr>
                          <w:rFonts w:ascii="Cambria Math" w:hAnsi="Cambria Math"/>
                        </w:rPr>
                        <m:t>f</m:t>
                      </m:r>
                    </m:e>
                    <m:sub>
                      <m:r>
                        <w:rPr>
                          <w:rFonts w:ascii="Cambria Math" w:hAnsi="Cambria Math"/>
                        </w:rPr>
                        <m:t>n</m:t>
                      </m:r>
                      <m:r>
                        <m:rPr>
                          <m:sty m:val="p"/>
                        </m:rPr>
                        <w:rPr>
                          <w:rFonts w:ascii="Cambria Math" w:hAnsi="Cambria Math"/>
                        </w:rPr>
                        <m:t>,</m:t>
                      </m:r>
                      <m:r>
                        <w:rPr>
                          <w:rFonts w:ascii="Cambria Math" w:hAnsi="Cambria Math"/>
                        </w:rPr>
                        <m:t>m</m:t>
                      </m:r>
                    </m:sub>
                  </m:sSub>
                </m:e>
              </m:nary>
            </m:e>
          </m:d>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=1</m:t>
                  </m:r>
                </m:sub>
                <m:sup>
                  <m:r>
                    <w:rPr>
                      <w:rFonts w:ascii="Cambria Math" w:hAnsi="Cambria Math"/>
                    </w:rPr>
                    <m:t>M</m:t>
                  </m:r>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n</m:t>
                          </m:r>
                          <m:r>
                            <m:rPr>
                              <m:sty m:val="p"/>
                            </m:rPr>
                            <w:rPr>
                              <w:rFonts w:ascii="Cambria Math" w:hAnsi="Cambria Math"/>
                            </w:rPr>
                            <m:t>,</m:t>
                          </m:r>
                          <m:r>
                            <w:rPr>
                              <w:rFonts w:ascii="Cambria Math" w:hAnsi="Cambria Math"/>
                            </w:rPr>
                            <m:t>m</m:t>
                          </m:r>
                        </m:sub>
                      </m:sSub>
                    </m:num>
                    <m:den>
                      <m:sSub>
                        <m:sSubPr>
                          <m:ctrlPr>
                            <w:rPr>
                              <w:rFonts w:ascii="Cambria Math" w:hAnsi="Cambria Math"/>
                            </w:rPr>
                          </m:ctrlPr>
                        </m:sSubPr>
                        <m:e>
                          <m:r>
                            <w:rPr>
                              <w:rFonts w:ascii="Cambria Math" w:hAnsi="Cambria Math"/>
                            </w:rPr>
                            <m:t>f</m:t>
                          </m:r>
                        </m:e>
                        <m:sub>
                          <m:r>
                            <w:rPr>
                              <w:rFonts w:ascii="Cambria Math" w:hAnsi="Cambria Math"/>
                            </w:rPr>
                            <m:t>n</m:t>
                          </m:r>
                          <m:r>
                            <m:rPr>
                              <m:sty m:val="p"/>
                            </m:rPr>
                            <w:rPr>
                              <w:rFonts w:ascii="Cambria Math" w:hAnsi="Cambria Math"/>
                            </w:rPr>
                            <m:t>,</m:t>
                          </m:r>
                          <m:r>
                            <w:rPr>
                              <w:rFonts w:ascii="Cambria Math" w:hAnsi="Cambria Math"/>
                            </w:rPr>
                            <m:t>m</m:t>
                          </m:r>
                        </m:sub>
                      </m:sSub>
                    </m:den>
                  </m:f>
                </m:e>
              </m:nary>
            </m:e>
          </m:d>
          <m:d>
            <m:dPr>
              <m:begChr m:val="["/>
              <m:endChr m:val="]"/>
              <m:ctrlPr>
                <w:rPr>
                  <w:rFonts w:ascii="Cambria Math" w:hAnsi="Cambria Math"/>
                </w:rPr>
              </m:ctrlPr>
            </m:dPr>
            <m:e>
              <m:f>
                <m:fPr>
                  <m:ctrlPr>
                    <w:rPr>
                      <w:rFonts w:ascii="Cambria Math" w:hAnsi="Cambria Math"/>
                    </w:rPr>
                  </m:ctrlPr>
                </m:fPr>
                <m:num>
                  <m:nary>
                    <m:naryPr>
                      <m:chr m:val="∏"/>
                      <m:limLoc m:val="subSup"/>
                      <m:ctrlPr>
                        <w:rPr>
                          <w:rFonts w:ascii="Cambria Math" w:hAnsi="Cambria Math"/>
                        </w:rPr>
                      </m:ctrlPr>
                    </m:naryPr>
                    <m:sub>
                      <m:r>
                        <w:rPr>
                          <w:rFonts w:ascii="Cambria Math" w:hAnsi="Cambria Math"/>
                        </w:rPr>
                        <m:t>m</m:t>
                      </m:r>
                      <m:r>
                        <m:rPr>
                          <m:sty m:val="p"/>
                        </m:rPr>
                        <w:rPr>
                          <w:rFonts w:ascii="Cambria Math" w:hAnsi="Cambria Math"/>
                        </w:rPr>
                        <m:t>=1</m:t>
                      </m:r>
                    </m:sub>
                    <m:sup>
                      <m:r>
                        <w:rPr>
                          <w:rFonts w:ascii="Cambria Math" w:hAnsi="Cambria Math"/>
                        </w:rPr>
                        <m:t>M</m:t>
                      </m:r>
                    </m:sup>
                    <m:e>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V</m:t>
                              </m:r>
                            </m:e>
                            <m:sub>
                              <m:r>
                                <w:rPr>
                                  <w:rFonts w:ascii="Cambria Math" w:hAnsi="Cambria Math"/>
                                </w:rPr>
                                <m:t>ns</m:t>
                              </m:r>
                              <m:r>
                                <m:rPr>
                                  <m:sty m:val="p"/>
                                </m:rPr>
                                <w:rPr>
                                  <w:rFonts w:ascii="Cambria Math" w:hAnsi="Cambria Math"/>
                                </w:rPr>
                                <m:t>,</m:t>
                              </m:r>
                              <m:r>
                                <w:rPr>
                                  <w:rFonts w:ascii="Cambria Math" w:hAnsi="Cambria Math"/>
                                </w:rPr>
                                <m:t>m</m:t>
                              </m:r>
                            </m:sub>
                          </m:sSub>
                        </m:sup>
                      </m:sSup>
                    </m:e>
                  </m:nary>
                </m:num>
                <m:den>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r>
                                <w:rPr>
                                  <w:rFonts w:ascii="Cambria Math" w:hAnsi="Cambria Math"/>
                                </w:rPr>
                                <m:t>K</m:t>
                              </m:r>
                            </m:sup>
                            <m:e>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V</m:t>
                                      </m:r>
                                    </m:e>
                                    <m:sub>
                                      <m:r>
                                        <w:rPr>
                                          <w:rFonts w:ascii="Cambria Math" w:hAnsi="Cambria Math"/>
                                        </w:rPr>
                                        <m:t>ns</m:t>
                                      </m:r>
                                      <m:r>
                                        <m:rPr>
                                          <m:sty m:val="p"/>
                                        </m:rPr>
                                        <w:rPr>
                                          <w:rFonts w:ascii="Cambria Math" w:hAnsi="Cambria Math"/>
                                        </w:rPr>
                                        <m:t>,</m:t>
                                      </m:r>
                                      <m:r>
                                        <w:rPr>
                                          <w:rFonts w:ascii="Cambria Math" w:hAnsi="Cambria Math"/>
                                        </w:rPr>
                                        <m:t>k</m:t>
                                      </m:r>
                                    </m:sub>
                                  </m:sSub>
                                </m:sup>
                              </m:sSup>
                            </m:e>
                          </m:nary>
                        </m:e>
                      </m:d>
                    </m:e>
                    <m:sup>
                      <m:r>
                        <w:rPr>
                          <w:rFonts w:ascii="Cambria Math" w:hAnsi="Cambria Math"/>
                        </w:rPr>
                        <m:t>M</m:t>
                      </m:r>
                    </m:sup>
                  </m:sSup>
                </m:den>
              </m:f>
            </m:e>
          </m:d>
          <m:d>
            <m:dPr>
              <m:ctrlPr>
                <w:rPr>
                  <w:rFonts w:ascii="Cambria Math" w:hAnsi="Cambria Math"/>
                </w:rPr>
              </m:ctrlPr>
            </m:dPr>
            <m:e>
              <m:r>
                <w:rPr>
                  <w:rFonts w:ascii="Cambria Math" w:hAnsi="Cambria Math"/>
                </w:rPr>
                <m:t>M</m:t>
              </m:r>
              <m:r>
                <m:rPr>
                  <m:sty m:val="p"/>
                </m:rPr>
                <w:rPr>
                  <w:rFonts w:ascii="Cambria Math" w:hAnsi="Cambria Math"/>
                </w:rPr>
                <m:t>-1</m:t>
              </m:r>
            </m:e>
          </m:d>
          <m:r>
            <m:rPr>
              <m:sty m:val="p"/>
            </m:rPr>
            <w:rPr>
              <w:rFonts w:ascii="Cambria Math" w:hAnsi="Cambria Math"/>
            </w:rPr>
            <m:t>!                       (4)</m:t>
          </m:r>
        </m:oMath>
      </m:oMathPara>
    </w:p>
    <w:p w14:paraId="0CF5ACC2" w14:textId="77777777" w:rsidR="00B94F43" w:rsidRPr="001A04ED" w:rsidRDefault="00B94F43" w:rsidP="00B94F43">
      <w:pPr>
        <w:pStyle w:val="1stParagraph"/>
        <w:rPr>
          <w:rFonts w:eastAsia="Times New Roman"/>
        </w:rPr>
      </w:pPr>
      <w:r w:rsidRPr="001A04ED">
        <w:rPr>
          <w:rFonts w:eastAsia="Times New Roman"/>
        </w:rPr>
        <w:t>where,</w:t>
      </w:r>
    </w:p>
    <w:p w14:paraId="47F14879" w14:textId="6E69B1E0" w:rsidR="00B94F43" w:rsidRPr="001A04ED" w:rsidRDefault="00B94F43" w:rsidP="00B94F43">
      <w:pPr>
        <w:pStyle w:val="1stParagraph"/>
      </w:pPr>
      <w:r w:rsidRPr="001A04ED">
        <w:t xml:space="preserve"> </w:t>
      </w:r>
      <m:oMath>
        <m:sSub>
          <m:sSubPr>
            <m:ctrlPr>
              <w:rPr>
                <w:rFonts w:ascii="Cambria Math" w:hAnsi="Cambria Math"/>
              </w:rPr>
            </m:ctrlPr>
          </m:sSubPr>
          <m:e>
            <m:r>
              <w:rPr>
                <w:rFonts w:ascii="Cambria Math" w:hAnsi="Cambria Math"/>
              </w:rPr>
              <m:t>f</m:t>
            </m:r>
          </m:e>
          <m:sub>
            <m:r>
              <w:rPr>
                <w:rFonts w:ascii="Cambria Math" w:hAnsi="Cambria Math"/>
              </w:rPr>
              <m:t>n</m:t>
            </m:r>
            <m:r>
              <m:rPr>
                <m:sty m:val="p"/>
              </m:rPr>
              <w:rPr>
                <w:rFonts w:ascii="Cambria Math" w:hAnsi="Cambria Math"/>
              </w:rPr>
              <m:t>,</m:t>
            </m:r>
            <m:r>
              <w:rPr>
                <w:rFonts w:ascii="Cambria Math" w:hAnsi="Cambria Math"/>
              </w:rPr>
              <m:t>m</m:t>
            </m:r>
          </m:sub>
        </m:sSub>
        <m:r>
          <m:rPr>
            <m:sty m:val="p"/>
          </m:rPr>
          <w:rPr>
            <w:rFonts w:ascii="Cambria Math" w:hAnsi="Cambria Math"/>
          </w:rPr>
          <m:t>=</m:t>
        </m:r>
        <m:f>
          <m:fPr>
            <m:type m:val="lin"/>
            <m:ctrlPr>
              <w:rPr>
                <w:rFonts w:ascii="Cambria Math" w:hAnsi="Cambria Math"/>
              </w:rPr>
            </m:ctrlPr>
          </m:fPr>
          <m:num>
            <m:r>
              <m:rPr>
                <m:sty m:val="p"/>
              </m:rPr>
              <w:rPr>
                <w:rFonts w:ascii="Cambria Math" w:hAnsi="Cambria Math"/>
              </w:rPr>
              <m:t>(1-</m:t>
            </m:r>
            <m:sSub>
              <m:sSubPr>
                <m:ctrlPr>
                  <w:rPr>
                    <w:rFonts w:ascii="Cambria Math" w:hAnsi="Cambria Math"/>
                  </w:rPr>
                </m:ctrlPr>
              </m:sSubPr>
              <m:e>
                <m:r>
                  <w:rPr>
                    <w:rFonts w:ascii="Cambria Math" w:hAnsi="Cambria Math"/>
                  </w:rPr>
                  <m:t>α</m:t>
                </m:r>
              </m:e>
              <m:sub>
                <m:r>
                  <w:rPr>
                    <w:rFonts w:ascii="Cambria Math" w:hAnsi="Cambria Math"/>
                  </w:rPr>
                  <m:t>m</m:t>
                </m:r>
              </m:sub>
            </m:sSub>
            <m:r>
              <m:rPr>
                <m:sty m:val="p"/>
              </m:rPr>
              <w:rPr>
                <w:rFonts w:ascii="Cambria Math" w:hAnsi="Cambria Math"/>
              </w:rPr>
              <m:t>)</m:t>
            </m:r>
          </m:num>
          <m:den>
            <m:r>
              <m:rPr>
                <m:sty m:val="p"/>
              </m:rP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m:t>
                    </m:r>
                    <m:r>
                      <w:rPr>
                        <w:rFonts w:ascii="Cambria Math" w:hAnsi="Cambria Math"/>
                      </w:rPr>
                      <m:t>m</m:t>
                    </m:r>
                  </m:sub>
                </m:sSub>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m</m:t>
                </m:r>
              </m:sub>
            </m:sSub>
            <m:r>
              <m:rPr>
                <m:sty m:val="p"/>
              </m:rPr>
              <w:rPr>
                <w:rFonts w:ascii="Cambria Math" w:hAnsi="Cambria Math"/>
              </w:rPr>
              <m:t>)</m:t>
            </m:r>
          </m:den>
        </m:f>
        <m:r>
          <m:rPr>
            <m:sty m:val="p"/>
          </m:rPr>
          <w:rPr>
            <w:rFonts w:ascii="Cambria Math" w:hAnsi="Cambria Math"/>
          </w:rPr>
          <m:t xml:space="preserve">                                                                                                                              (5)</m:t>
        </m:r>
      </m:oMath>
    </w:p>
    <w:p w14:paraId="0E761411" w14:textId="3B6C4B35" w:rsidR="00B94F43" w:rsidRPr="001A04ED" w:rsidRDefault="00B94F43" w:rsidP="00B94F43">
      <w:pPr>
        <w:pStyle w:val="1stParagraph"/>
        <w:rPr>
          <w:rFonts w:eastAsiaTheme="minorEastAsia"/>
        </w:rPr>
      </w:pPr>
      <w:r w:rsidRPr="001A04ED">
        <w:t xml:space="preserve"> </w:t>
      </w:r>
      <m:oMath>
        <m:sSub>
          <m:sSubPr>
            <m:ctrlPr>
              <w:rPr>
                <w:rFonts w:ascii="Cambria Math" w:hAnsi="Cambria Math"/>
              </w:rPr>
            </m:ctrlPr>
          </m:sSubPr>
          <m:e>
            <m:r>
              <w:rPr>
                <w:rFonts w:ascii="Cambria Math" w:hAnsi="Cambria Math"/>
              </w:rPr>
              <m:t>V</m:t>
            </m:r>
          </m:e>
          <m:sub>
            <m:r>
              <w:rPr>
                <w:rFonts w:ascii="Cambria Math" w:hAnsi="Cambria Math"/>
              </w:rPr>
              <m:t>ns</m:t>
            </m:r>
            <m:r>
              <m:rPr>
                <m:sty m:val="p"/>
              </m:rPr>
              <w:rPr>
                <w:rFonts w:ascii="Cambria Math" w:hAnsi="Cambria Math"/>
              </w:rPr>
              <m:t>,</m:t>
            </m:r>
            <m:r>
              <w:rPr>
                <w:rFonts w:ascii="Cambria Math" w:hAnsi="Cambria Math"/>
              </w:rPr>
              <m:t>k</m:t>
            </m:r>
          </m:sub>
        </m:sSub>
        <m:r>
          <m:rPr>
            <m:sty m:val="p"/>
          </m:rPr>
          <w:rPr>
            <w:rFonts w:ascii="Cambria Math" w:hAnsi="Cambria Math"/>
          </w:rPr>
          <m:t>=</m:t>
        </m:r>
        <m:sSup>
          <m:sSupPr>
            <m:ctrlPr>
              <w:rPr>
                <w:rFonts w:ascii="Cambria Math" w:hAnsi="Cambria Math"/>
              </w:rPr>
            </m:ctrlPr>
          </m:sSupPr>
          <m:e>
            <m:r>
              <w:rPr>
                <w:rFonts w:ascii="Cambria Math" w:hAnsi="Cambria Math"/>
              </w:rPr>
              <m:t>β</m:t>
            </m:r>
          </m:e>
          <m:sup>
            <m:r>
              <m:rPr>
                <m:sty m:val="p"/>
              </m:rPr>
              <w:rPr>
                <w:rFonts w:ascii="Cambria Math" w:hAnsi="Cambria Math"/>
              </w:rPr>
              <m:t>'</m:t>
            </m:r>
          </m:sup>
        </m:sSup>
        <m:sSub>
          <m:sSubPr>
            <m:ctrlPr>
              <w:rPr>
                <w:rFonts w:ascii="Cambria Math" w:hAnsi="Cambria Math"/>
              </w:rPr>
            </m:ctrlPr>
          </m:sSubPr>
          <m:e>
            <m:r>
              <w:rPr>
                <w:rFonts w:ascii="Cambria Math" w:hAnsi="Cambria Math"/>
              </w:rPr>
              <m:t>x</m:t>
            </m:r>
          </m:e>
          <m:sub>
            <m:r>
              <w:rPr>
                <w:rFonts w:ascii="Cambria Math" w:hAnsi="Cambria Math"/>
              </w:rPr>
              <m:t>n</m:t>
            </m:r>
            <m:r>
              <m:rPr>
                <m:sty m:val="p"/>
              </m:rPr>
              <w:rPr>
                <w:rFonts w:ascii="Cambria Math" w:hAnsi="Cambria Math"/>
              </w:rPr>
              <m:t>,</m:t>
            </m:r>
            <m:r>
              <w:rPr>
                <w:rFonts w:ascii="Cambria Math" w:hAnsi="Cambria Math"/>
              </w:rPr>
              <m:t>k</m:t>
            </m:r>
          </m:sub>
        </m:sSub>
        <m:r>
          <m:rPr>
            <m:sty m:val="p"/>
          </m:rPr>
          <w:rPr>
            <w:rFonts w:ascii="Cambria Math" w:hAnsi="Cambria Math"/>
          </w:rPr>
          <m:t>+</m:t>
        </m:r>
        <m:sSup>
          <m:sSupPr>
            <m:ctrlPr>
              <w:rPr>
                <w:rFonts w:ascii="Cambria Math" w:hAnsi="Cambria Math"/>
              </w:rPr>
            </m:ctrlPr>
          </m:sSupPr>
          <m:e>
            <m:r>
              <w:rPr>
                <w:rFonts w:ascii="Cambria Math" w:hAnsi="Cambria Math"/>
              </w:rPr>
              <m:t>φ</m:t>
            </m:r>
          </m:e>
          <m:sup>
            <m:r>
              <m:rPr>
                <m:sty m:val="p"/>
              </m:rPr>
              <w:rPr>
                <w:rFonts w:ascii="Cambria Math" w:hAnsi="Cambria Math"/>
              </w:rPr>
              <m:t>'</m:t>
            </m:r>
          </m:sup>
        </m:sSup>
        <m:sSub>
          <m:sSubPr>
            <m:ctrlPr>
              <w:rPr>
                <w:rFonts w:ascii="Cambria Math" w:hAnsi="Cambria Math"/>
              </w:rPr>
            </m:ctrlPr>
          </m:sSubPr>
          <m:e>
            <m:r>
              <w:rPr>
                <w:rFonts w:ascii="Cambria Math" w:hAnsi="Cambria Math"/>
              </w:rPr>
              <m:t>y</m:t>
            </m:r>
          </m:e>
          <m:sub>
            <m:r>
              <w:rPr>
                <w:rFonts w:ascii="Cambria Math" w:hAnsi="Cambria Math"/>
              </w:rPr>
              <m:t>ns</m:t>
            </m:r>
            <m:r>
              <m:rPr>
                <m:sty m:val="p"/>
              </m:rPr>
              <w:rPr>
                <w:rFonts w:ascii="Cambria Math" w:hAnsi="Cambria Math"/>
              </w:rPr>
              <m:t>,</m:t>
            </m:r>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ns</m:t>
            </m:r>
            <m:r>
              <m:rPr>
                <m:sty m:val="p"/>
              </m:rPr>
              <w:rPr>
                <w:rFonts w:ascii="Cambria Math" w:hAnsi="Cambria Math"/>
              </w:rPr>
              <m:t>,</m:t>
            </m:r>
            <m:r>
              <w:rPr>
                <w:rFonts w:ascii="Cambria Math" w:hAnsi="Cambria Math"/>
              </w:rPr>
              <m:t>k</m:t>
            </m:r>
          </m:sub>
        </m:sSub>
        <m:r>
          <m:rPr>
            <m:sty m:val="p"/>
          </m:rPr>
          <w:rPr>
            <w:rFonts w:ascii="Cambria Math" w:hAnsi="Cambria Math"/>
          </w:rPr>
          <m:t>-</m:t>
        </m:r>
        <m:func>
          <m:funcPr>
            <m:ctrlPr>
              <w:rPr>
                <w:rFonts w:ascii="Cambria Math" w:hAnsi="Cambria Math"/>
              </w:rPr>
            </m:ctrlPr>
          </m:funcPr>
          <m:fName>
            <m:r>
              <w:rPr>
                <w:rFonts w:ascii="Cambria Math" w:hAnsi="Cambria Math"/>
              </w:rPr>
              <m:t>ln</m:t>
            </m:r>
          </m:fName>
          <m:e>
            <m:d>
              <m:dPr>
                <m:ctrlPr>
                  <w:rPr>
                    <w:rFonts w:ascii="Cambria Math" w:hAnsi="Cambria Math"/>
                  </w:rPr>
                </m:ctrlPr>
              </m:dPr>
              <m:e>
                <m:f>
                  <m:fPr>
                    <m:type m:val="skw"/>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t</m:t>
                            </m:r>
                          </m:e>
                          <m:sub>
                            <m:r>
                              <w:rPr>
                                <w:rFonts w:ascii="Cambria Math" w:hAnsi="Cambria Math"/>
                              </w:rPr>
                              <m:t>n</m:t>
                            </m:r>
                            <m:r>
                              <m:rPr>
                                <m:sty m:val="p"/>
                              </m:rPr>
                              <w:rPr>
                                <w:rFonts w:ascii="Cambria Math" w:hAnsi="Cambria Math"/>
                              </w:rPr>
                              <m:t>,</m:t>
                            </m:r>
                            <m:r>
                              <w:rPr>
                                <w:rFonts w:ascii="Cambria Math" w:hAnsi="Cambria Math"/>
                              </w:rPr>
                              <m:t>k</m:t>
                            </m:r>
                          </m:sub>
                        </m:sSub>
                      </m:e>
                      <m:sup>
                        <m:r>
                          <m:rPr>
                            <m:sty m:val="p"/>
                          </m:rPr>
                          <w:rPr>
                            <w:rFonts w:ascii="Cambria Math" w:hAnsi="Cambria Math"/>
                          </w:rPr>
                          <m:t>*</m:t>
                        </m:r>
                      </m:sup>
                    </m:sSup>
                  </m:num>
                  <m:den>
                    <m:sSub>
                      <m:sSubPr>
                        <m:ctrlPr>
                          <w:rPr>
                            <w:rFonts w:ascii="Cambria Math" w:hAnsi="Cambria Math"/>
                          </w:rPr>
                        </m:ctrlPr>
                      </m:sSubPr>
                      <m:e>
                        <m:r>
                          <w:rPr>
                            <w:rFonts w:ascii="Cambria Math" w:hAnsi="Cambria Math"/>
                          </w:rPr>
                          <m:t>γ</m:t>
                        </m:r>
                      </m:e>
                      <m:sub>
                        <m:r>
                          <w:rPr>
                            <w:rFonts w:ascii="Cambria Math" w:hAnsi="Cambria Math"/>
                          </w:rPr>
                          <m:t>k</m:t>
                        </m:r>
                      </m:sub>
                    </m:sSub>
                  </m:den>
                </m:f>
                <m:r>
                  <m:rPr>
                    <m:sty m:val="p"/>
                  </m:rPr>
                  <w:rPr>
                    <w:rFonts w:ascii="Cambria Math" w:hAnsi="Cambria Math"/>
                  </w:rPr>
                  <m:t>+1</m:t>
                </m:r>
              </m:e>
            </m:d>
          </m:e>
        </m:func>
        <m:r>
          <m:rPr>
            <m:sty m:val="p"/>
          </m:rPr>
          <w:rPr>
            <w:rFonts w:ascii="Cambria Math" w:hAnsi="Cambria Math"/>
          </w:rPr>
          <m:t>-</m:t>
        </m:r>
        <m:r>
          <w:rPr>
            <w:rFonts w:ascii="Cambria Math" w:hAnsi="Cambria Math"/>
          </w:rPr>
          <m:t>l</m:t>
        </m:r>
        <m:func>
          <m:funcPr>
            <m:ctrlPr>
              <w:rPr>
                <w:rFonts w:ascii="Cambria Math" w:hAnsi="Cambria Math"/>
              </w:rPr>
            </m:ctrlPr>
          </m:funcPr>
          <m:fName>
            <m:r>
              <w:rPr>
                <w:rFonts w:ascii="Cambria Math" w:hAnsi="Cambria Math"/>
              </w:rPr>
              <m:t>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n</m:t>
                    </m:r>
                    <m:r>
                      <m:rPr>
                        <m:sty m:val="p"/>
                      </m:rPr>
                      <w:rPr>
                        <w:rFonts w:ascii="Cambria Math" w:hAnsi="Cambria Math"/>
                      </w:rPr>
                      <m:t>,</m:t>
                    </m:r>
                    <m:r>
                      <w:rPr>
                        <w:rFonts w:ascii="Cambria Math" w:hAnsi="Cambria Math"/>
                      </w:rPr>
                      <m:t>k</m:t>
                    </m:r>
                  </m:sub>
                </m:sSub>
              </m:e>
            </m:d>
          </m:e>
        </m:func>
        <m:r>
          <m:rPr>
            <m:sty m:val="p"/>
          </m:rPr>
          <w:rPr>
            <w:rFonts w:ascii="Cambria Math" w:hAnsi="Cambria Math"/>
          </w:rPr>
          <m:t xml:space="preserve">                                                                 (6)</m:t>
        </m:r>
      </m:oMath>
    </w:p>
    <w:p w14:paraId="62EC75F0" w14:textId="77777777" w:rsidR="00B94F43" w:rsidRPr="001A04ED" w:rsidRDefault="00B94F43" w:rsidP="00B94F43">
      <w:pPr>
        <w:pStyle w:val="1stParagraph"/>
      </w:pPr>
      <w:r w:rsidRPr="001A04ED">
        <w:t xml:space="preserve"> </w:t>
      </w:r>
    </w:p>
    <w:p w14:paraId="24756702" w14:textId="77777777" w:rsidR="00B94F43" w:rsidRPr="001A04ED" w:rsidRDefault="00000000" w:rsidP="00AD7B81">
      <w:pPr>
        <w:pStyle w:val="1stParagraph"/>
      </w:pPr>
      <m:oMath>
        <m:sSub>
          <m:sSubPr>
            <m:ctrlPr>
              <w:rPr>
                <w:rFonts w:ascii="Cambria Math" w:hAnsi="Cambria Math"/>
                <w:i/>
              </w:rPr>
            </m:ctrlPr>
          </m:sSubPr>
          <m:e>
            <m:r>
              <w:rPr>
                <w:rFonts w:ascii="Cambria Math" w:hAnsi="Cambria Math"/>
              </w:rPr>
              <m:t>p</m:t>
            </m:r>
          </m:e>
          <m:sub>
            <m:r>
              <w:rPr>
                <w:rFonts w:ascii="Cambria Math" w:hAnsi="Cambria Math"/>
              </w:rPr>
              <m:t>n,k</m:t>
            </m:r>
          </m:sub>
        </m:sSub>
      </m:oMath>
      <w:r w:rsidR="00B94F43" w:rsidRPr="001A04ED">
        <w:t xml:space="preserve"> is the total expenditure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B94F43" w:rsidRPr="001A04ED">
        <w:t xml:space="preserve"> end-use alternative by the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rsidR="00B94F43" w:rsidRPr="001A04ED">
        <w:rPr>
          <w:rFonts w:eastAsiaTheme="minorEastAsia"/>
        </w:rPr>
        <w:t>household</w:t>
      </w:r>
      <w:r w:rsidR="00B94F43" w:rsidRPr="001A04ED">
        <w:t xml:space="preserve">. </w:t>
      </w:r>
    </w:p>
    <w:p w14:paraId="46FD8401" w14:textId="77777777" w:rsidR="00B94F43" w:rsidRPr="001A04ED" w:rsidRDefault="00B94F43" w:rsidP="00B94F43">
      <w:pPr>
        <w:pStyle w:val="1stParagraph"/>
      </w:pPr>
    </w:p>
    <w:p w14:paraId="06BDF0C2" w14:textId="77777777" w:rsidR="00B94F43" w:rsidRPr="001A04ED" w:rsidRDefault="00B94F43" w:rsidP="000F095C">
      <w:pPr>
        <w:pStyle w:val="Heading2"/>
        <w:rPr>
          <w:szCs w:val="22"/>
        </w:rPr>
      </w:pPr>
      <w:r w:rsidRPr="001A04ED">
        <w:rPr>
          <w:szCs w:val="22"/>
        </w:rPr>
        <w:t>Weight Component</w:t>
      </w:r>
    </w:p>
    <w:p w14:paraId="3FCA0683" w14:textId="77777777" w:rsidR="00B94F43" w:rsidRPr="001A04ED" w:rsidRDefault="00B94F43" w:rsidP="00B94F43">
      <w:pPr>
        <w:pStyle w:val="1stParagraph"/>
      </w:pPr>
      <w:r w:rsidRPr="001A04ED">
        <w:t>The weight component takes the form of a latent multinomial logit structure allocating the probability for each NHTS household being paired with the RECS household. The matched weightage propensity is determined based on a latent probability value estimated using a multinomial logit model as follows:</w:t>
      </w:r>
    </w:p>
    <w:p w14:paraId="4468A6BB" w14:textId="77777777" w:rsidR="00B94F43" w:rsidRPr="001A04ED" w:rsidRDefault="00B94F43" w:rsidP="00B94F43">
      <w:pPr>
        <w:pStyle w:val="1stParagraph"/>
      </w:pPr>
    </w:p>
    <w:p w14:paraId="7DD13749" w14:textId="063D5EF4" w:rsidR="00B94F43" w:rsidRPr="001A04ED" w:rsidRDefault="00000000" w:rsidP="00B94F43">
      <w:pPr>
        <w:pStyle w:val="1stParagraph"/>
        <w:rPr>
          <w:rFonts w:eastAsiaTheme="minorEastAsia"/>
        </w:rPr>
      </w:pPr>
      <m:oMathPara>
        <m:oMath>
          <m:sSub>
            <m:sSubPr>
              <m:ctrlPr>
                <w:rPr>
                  <w:rFonts w:ascii="Cambria Math" w:hAnsi="Cambria Math"/>
                </w:rPr>
              </m:ctrlPr>
            </m:sSubPr>
            <m:e>
              <m:r>
                <w:rPr>
                  <w:rFonts w:ascii="Cambria Math" w:hAnsi="Cambria Math"/>
                </w:rPr>
                <m:t>w</m:t>
              </m:r>
            </m:e>
            <m:sub>
              <m:r>
                <w:rPr>
                  <w:rFonts w:ascii="Cambria Math" w:hAnsi="Cambria Math"/>
                </w:rPr>
                <m:t>ns</m:t>
              </m:r>
            </m:sub>
          </m:sSub>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ζ</m:t>
                      </m:r>
                      <m:sSub>
                        <m:sSubPr>
                          <m:ctrlPr>
                            <w:rPr>
                              <w:rFonts w:ascii="Cambria Math" w:hAnsi="Cambria Math"/>
                            </w:rPr>
                          </m:ctrlPr>
                        </m:sSubPr>
                        <m:e>
                          <m:r>
                            <w:rPr>
                              <w:rFonts w:ascii="Cambria Math" w:hAnsi="Cambria Math"/>
                            </w:rPr>
                            <m:t>z</m:t>
                          </m:r>
                        </m:e>
                        <m:sub>
                          <m:r>
                            <w:rPr>
                              <w:rFonts w:ascii="Cambria Math" w:hAnsi="Cambria Math"/>
                            </w:rPr>
                            <m:t>ns</m:t>
                          </m:r>
                        </m:sub>
                      </m:sSub>
                    </m:e>
                  </m:d>
                </m:e>
              </m:func>
            </m:num>
            <m:den>
              <m:nary>
                <m:naryPr>
                  <m:chr m:val="∑"/>
                  <m:limLoc m:val="undOvr"/>
                  <m:ctrlPr>
                    <w:rPr>
                      <w:rFonts w:ascii="Cambria Math" w:hAnsi="Cambria Math"/>
                    </w:rPr>
                  </m:ctrlPr>
                </m:naryPr>
                <m:sub>
                  <m:r>
                    <w:rPr>
                      <w:rFonts w:ascii="Cambria Math" w:hAnsi="Cambria Math"/>
                    </w:rPr>
                    <m:t>s</m:t>
                  </m:r>
                  <m:r>
                    <m:rPr>
                      <m:sty m:val="p"/>
                    </m:rPr>
                    <w:rPr>
                      <w:rFonts w:ascii="Cambria Math" w:hAnsi="Cambria Math"/>
                    </w:rPr>
                    <m:t>=1</m:t>
                  </m:r>
                </m:sub>
                <m:sup>
                  <m:r>
                    <w:rPr>
                      <w:rFonts w:ascii="Cambria Math" w:hAnsi="Cambria Math"/>
                    </w:rPr>
                    <m:t>S</m:t>
                  </m:r>
                </m:sup>
                <m:e>
                  <m:func>
                    <m:funcPr>
                      <m:ctrlPr>
                        <w:rPr>
                          <w:rFonts w:ascii="Cambria Math" w:hAnsi="Cambria Math"/>
                        </w:rPr>
                      </m:ctrlPr>
                    </m:funcPr>
                    <m:fName>
                      <m:r>
                        <w:rPr>
                          <w:rFonts w:ascii="Cambria Math" w:hAnsi="Cambria Math"/>
                        </w:rPr>
                        <m:t>exp</m:t>
                      </m:r>
                    </m:fName>
                    <m:e>
                      <m:d>
                        <m:dPr>
                          <m:ctrlPr>
                            <w:rPr>
                              <w:rFonts w:ascii="Cambria Math" w:hAnsi="Cambria Math"/>
                            </w:rPr>
                          </m:ctrlPr>
                        </m:dPr>
                        <m:e>
                          <m:r>
                            <w:rPr>
                              <w:rFonts w:ascii="Cambria Math" w:hAnsi="Cambria Math"/>
                            </w:rPr>
                            <m:t>ζ</m:t>
                          </m:r>
                          <m:sSub>
                            <m:sSubPr>
                              <m:ctrlPr>
                                <w:rPr>
                                  <w:rFonts w:ascii="Cambria Math" w:hAnsi="Cambria Math"/>
                                </w:rPr>
                              </m:ctrlPr>
                            </m:sSubPr>
                            <m:e>
                              <m:r>
                                <w:rPr>
                                  <w:rFonts w:ascii="Cambria Math" w:hAnsi="Cambria Math"/>
                                </w:rPr>
                                <m:t>z</m:t>
                              </m:r>
                            </m:e>
                            <m:sub>
                              <m:r>
                                <w:rPr>
                                  <w:rFonts w:ascii="Cambria Math" w:hAnsi="Cambria Math"/>
                                </w:rPr>
                                <m:t>ns</m:t>
                              </m:r>
                            </m:sub>
                          </m:sSub>
                        </m:e>
                      </m:d>
                    </m:e>
                  </m:func>
                </m:e>
              </m:nary>
            </m:den>
          </m:f>
          <m:r>
            <m:rPr>
              <m:sty m:val="p"/>
            </m:rPr>
            <w:rPr>
              <w:rFonts w:ascii="Cambria Math" w:hAnsi="Cambria Math"/>
            </w:rPr>
            <m:t xml:space="preserve">                                                                                                                                               (7)</m:t>
          </m:r>
        </m:oMath>
      </m:oMathPara>
    </w:p>
    <w:p w14:paraId="5E42E62D" w14:textId="77777777" w:rsidR="00B94F43" w:rsidRPr="001A04ED" w:rsidRDefault="00B94F43" w:rsidP="00B94F43">
      <w:pPr>
        <w:pStyle w:val="1stParagraph"/>
        <w:rPr>
          <w:rFonts w:eastAsiaTheme="minorEastAsia"/>
        </w:rPr>
      </w:pPr>
    </w:p>
    <w:p w14:paraId="47853386" w14:textId="77777777" w:rsidR="00B94F43" w:rsidRPr="001A04ED" w:rsidRDefault="00B94F43" w:rsidP="00B94F43">
      <w:pPr>
        <w:pStyle w:val="1stParagraph"/>
      </w:pPr>
      <w:r w:rsidRPr="001A04ED">
        <w:t xml:space="preserve">where </w:t>
      </w:r>
      <m:oMath>
        <m:sSub>
          <m:sSubPr>
            <m:ctrlPr>
              <w:rPr>
                <w:rFonts w:ascii="Cambria Math" w:hAnsi="Cambria Math"/>
                <w:i/>
              </w:rPr>
            </m:ctrlPr>
          </m:sSubPr>
          <m:e>
            <m:r>
              <w:rPr>
                <w:rFonts w:ascii="Cambria Math" w:hAnsi="Cambria Math"/>
              </w:rPr>
              <m:t>z</m:t>
            </m:r>
          </m:e>
          <m:sub>
            <m:r>
              <w:rPr>
                <w:rFonts w:ascii="Cambria Math" w:hAnsi="Cambria Math"/>
              </w:rPr>
              <m:t>ns</m:t>
            </m:r>
          </m:sub>
        </m:sSub>
      </m:oMath>
      <w:r w:rsidRPr="001A04ED">
        <w:t xml:space="preserve"> is a vector of attributes for RECS household </w:t>
      </w:r>
      <m:oMath>
        <m:r>
          <w:rPr>
            <w:rFonts w:ascii="Cambria Math" w:hAnsi="Cambria Math"/>
          </w:rPr>
          <m:t>n</m:t>
        </m:r>
      </m:oMath>
      <w:r w:rsidRPr="001A04ED">
        <w:t xml:space="preserve"> and fused record </w:t>
      </w:r>
      <m:oMath>
        <m:r>
          <w:rPr>
            <w:rFonts w:ascii="Cambria Math" w:hAnsi="Cambria Math"/>
          </w:rPr>
          <m:t>s</m:t>
        </m:r>
      </m:oMath>
      <w:r w:rsidRPr="001A04ED">
        <w:t xml:space="preserve"> that influences the propensity of matching the NHTS dataset with the RECS dataset. </w:t>
      </w:r>
      <m:oMath>
        <m:sSub>
          <m:sSubPr>
            <m:ctrlPr>
              <w:rPr>
                <w:rFonts w:ascii="Cambria Math" w:hAnsi="Cambria Math"/>
                <w:i/>
              </w:rPr>
            </m:ctrlPr>
          </m:sSubPr>
          <m:e>
            <m:r>
              <w:rPr>
                <w:rFonts w:ascii="Cambria Math" w:hAnsi="Cambria Math"/>
              </w:rPr>
              <m:t>z</m:t>
            </m:r>
          </m:e>
          <m:sub>
            <m:r>
              <w:rPr>
                <w:rFonts w:ascii="Cambria Math" w:hAnsi="Cambria Math"/>
              </w:rPr>
              <m:t>ns</m:t>
            </m:r>
          </m:sub>
        </m:sSub>
      </m:oMath>
      <w:r w:rsidRPr="001A04ED">
        <w:rPr>
          <w:rFonts w:eastAsiaTheme="minorEastAsia"/>
        </w:rPr>
        <w:t xml:space="preserve"> represents the variables that are present in both datasets but not used for fusion. </w:t>
      </w:r>
      <m:oMath>
        <m:r>
          <w:rPr>
            <w:rFonts w:ascii="Cambria Math" w:eastAsiaTheme="minorEastAsia" w:hAnsi="Cambria Math"/>
          </w:rPr>
          <m:t>ζ</m:t>
        </m:r>
      </m:oMath>
      <w:r w:rsidRPr="001A04ED">
        <w:rPr>
          <w:rFonts w:eastAsiaTheme="minorEastAsia"/>
        </w:rPr>
        <w:t xml:space="preserve"> is the corresponding coefficient vector to be estimated</w:t>
      </w:r>
      <w:r w:rsidRPr="001A04ED">
        <w:t xml:space="preserve">. </w:t>
      </w:r>
    </w:p>
    <w:p w14:paraId="5C167A17" w14:textId="77777777" w:rsidR="00B94F43" w:rsidRPr="001A04ED" w:rsidRDefault="00B94F43" w:rsidP="00B94F43">
      <w:pPr>
        <w:pStyle w:val="1stParagraph"/>
      </w:pPr>
    </w:p>
    <w:p w14:paraId="65569919" w14:textId="77777777" w:rsidR="00B94F43" w:rsidRPr="001A04ED" w:rsidRDefault="00B94F43" w:rsidP="00B94F43">
      <w:pPr>
        <w:pStyle w:val="Heading2"/>
        <w:rPr>
          <w:szCs w:val="22"/>
        </w:rPr>
      </w:pPr>
      <w:r w:rsidRPr="001A04ED">
        <w:rPr>
          <w:szCs w:val="22"/>
        </w:rPr>
        <w:t>Model Estimation</w:t>
      </w:r>
    </w:p>
    <w:p w14:paraId="463C3EA1" w14:textId="38D6545F" w:rsidR="00B94F43" w:rsidRPr="001A04ED" w:rsidRDefault="00B94F43" w:rsidP="00B94F43">
      <w:pPr>
        <w:pStyle w:val="1stParagraph"/>
      </w:pPr>
      <w:r w:rsidRPr="001A04ED">
        <w:t>Based on above notation, the overall weighted probability for each household in the RECS data can be computed as follows:</w:t>
      </w:r>
    </w:p>
    <w:p w14:paraId="103B8B92" w14:textId="77777777" w:rsidR="00B94F43" w:rsidRPr="001A04ED" w:rsidRDefault="00B94F43" w:rsidP="00B94F43">
      <w:pPr>
        <w:pStyle w:val="1stParagraph"/>
      </w:pPr>
    </w:p>
    <w:p w14:paraId="576614CA" w14:textId="21F44CEB" w:rsidR="00B94F43" w:rsidRPr="001A04ED" w:rsidRDefault="00000000" w:rsidP="00B94F43">
      <w:pPr>
        <w:pStyle w:val="1stParagraph"/>
        <w:rPr>
          <w:rFonts w:eastAsiaTheme="minorEastAsia"/>
        </w:rPr>
      </w:pPr>
      <m:oMathPara>
        <m:oMath>
          <m:sSub>
            <m:sSubPr>
              <m:ctrlPr>
                <w:rPr>
                  <w:rFonts w:ascii="Cambria Math" w:hAnsi="Cambria Math"/>
                </w:rPr>
              </m:ctrlPr>
            </m:sSubPr>
            <m:e>
              <m:r>
                <w:rPr>
                  <w:rFonts w:ascii="Cambria Math" w:hAnsi="Cambria Math"/>
                </w:rPr>
                <m:t>L</m:t>
              </m:r>
            </m:e>
            <m:sub>
              <m:r>
                <w:rPr>
                  <w:rFonts w:ascii="Cambria Math" w:hAnsi="Cambria Math"/>
                </w:rPr>
                <m:t>n</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s</m:t>
              </m:r>
              <m:r>
                <m:rPr>
                  <m:sty m:val="p"/>
                </m:rPr>
                <w:rPr>
                  <w:rFonts w:ascii="Cambria Math" w:hAnsi="Cambria Math"/>
                </w:rPr>
                <m:t>=1</m:t>
              </m:r>
            </m:sub>
            <m:sup>
              <m:r>
                <w:rPr>
                  <w:rFonts w:ascii="Cambria Math" w:hAnsi="Cambria Math"/>
                </w:rPr>
                <m:t>S</m:t>
              </m:r>
            </m:sup>
            <m:e>
              <m:sSub>
                <m:sSubPr>
                  <m:ctrlPr>
                    <w:rPr>
                      <w:rFonts w:ascii="Cambria Math" w:hAnsi="Cambria Math"/>
                    </w:rPr>
                  </m:ctrlPr>
                </m:sSubPr>
                <m:e>
                  <m:r>
                    <w:rPr>
                      <w:rFonts w:ascii="Cambria Math" w:hAnsi="Cambria Math"/>
                    </w:rPr>
                    <m:t>w</m:t>
                  </m:r>
                </m:e>
                <m:sub>
                  <m:r>
                    <w:rPr>
                      <w:rFonts w:ascii="Cambria Math" w:hAnsi="Cambria Math"/>
                    </w:rPr>
                    <m:t>ns</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ns</m:t>
                  </m:r>
                </m:sub>
              </m:sSub>
              <m:r>
                <m:rPr>
                  <m:sty m:val="p"/>
                </m:rPr>
                <w:rPr>
                  <w:rFonts w:ascii="Cambria Math" w:hAnsi="Cambria Math"/>
                </w:rPr>
                <m:t xml:space="preserve"> </m:t>
              </m:r>
            </m:e>
          </m:nary>
          <m:r>
            <m:rPr>
              <m:sty m:val="p"/>
            </m:rPr>
            <w:rPr>
              <w:rFonts w:ascii="Cambria Math" w:hAnsi="Cambria Math"/>
            </w:rPr>
            <m:t xml:space="preserve">                                                                                                                                                      (8)</m:t>
          </m:r>
        </m:oMath>
      </m:oMathPara>
    </w:p>
    <w:p w14:paraId="02385E6E" w14:textId="77777777" w:rsidR="00B94F43" w:rsidRPr="001A04ED" w:rsidRDefault="00B94F43" w:rsidP="00B94F43">
      <w:pPr>
        <w:pStyle w:val="1stParagraph"/>
      </w:pPr>
    </w:p>
    <w:p w14:paraId="478B5BA8" w14:textId="77777777" w:rsidR="00B94F43" w:rsidRPr="001A04ED" w:rsidRDefault="00B94F43" w:rsidP="00B94F43">
      <w:pPr>
        <w:pStyle w:val="1stParagraph"/>
      </w:pPr>
      <w:r w:rsidRPr="001A04ED">
        <w:t xml:space="preserve">where </w:t>
      </w:r>
      <m:oMath>
        <m:sSub>
          <m:sSubPr>
            <m:ctrlPr>
              <w:rPr>
                <w:rFonts w:ascii="Cambria Math" w:hAnsi="Cambria Math"/>
                <w:i/>
              </w:rPr>
            </m:ctrlPr>
          </m:sSubPr>
          <m:e>
            <m:r>
              <w:rPr>
                <w:rFonts w:ascii="Cambria Math" w:hAnsi="Cambria Math"/>
              </w:rPr>
              <m:t>L</m:t>
            </m:r>
          </m:e>
          <m:sub>
            <m:r>
              <w:rPr>
                <w:rFonts w:ascii="Cambria Math" w:hAnsi="Cambria Math"/>
              </w:rPr>
              <m:t>n</m:t>
            </m:r>
          </m:sub>
        </m:sSub>
      </m:oMath>
      <w:r w:rsidRPr="001A04ED">
        <w:rPr>
          <w:rFonts w:eastAsiaTheme="minorEastAsia"/>
        </w:rPr>
        <w:t xml:space="preserve"> is the weighted probability of the household </w:t>
      </w:r>
      <m:oMath>
        <m:r>
          <w:rPr>
            <w:rFonts w:ascii="Cambria Math" w:hAnsi="Cambria Math"/>
          </w:rPr>
          <m:t>n</m:t>
        </m:r>
      </m:oMath>
      <w:r w:rsidRPr="001A04ED">
        <w:t xml:space="preserve">  in the RECS dataset</w:t>
      </w:r>
      <w:r w:rsidRPr="001A04ED">
        <w:rPr>
          <w:rFonts w:eastAsiaTheme="minorEastAsia"/>
        </w:rPr>
        <w:t>.</w:t>
      </w:r>
      <w:r w:rsidRPr="001A04ED">
        <w:t xml:space="preserve"> The parameters to be estimated in the proposed MDCEV fusion model of Equation 8 include the </w:t>
      </w:r>
      <m:oMath>
        <m:r>
          <w:rPr>
            <w:rFonts w:ascii="Cambria Math" w:hAnsi="Cambria Math"/>
          </w:rPr>
          <m:t>β</m:t>
        </m:r>
      </m:oMath>
      <w:r w:rsidRPr="001A04ED">
        <w:rPr>
          <w:i/>
          <w:iCs/>
        </w:rPr>
        <w:t xml:space="preserve"> </w:t>
      </w:r>
      <w:r w:rsidRPr="001A04ED">
        <w:t xml:space="preserve">vector, the </w:t>
      </w:r>
      <m:oMath>
        <m:r>
          <w:rPr>
            <w:rFonts w:ascii="Cambria Math" w:hAnsi="Cambria Math"/>
          </w:rPr>
          <m:t>φ</m:t>
        </m:r>
      </m:oMath>
      <w:r w:rsidRPr="001A04ED">
        <w:t xml:space="preserve"> vector, the </w:t>
      </w:r>
      <m:oMath>
        <m:r>
          <w:rPr>
            <w:rFonts w:ascii="Cambria Math" w:hAnsi="Cambria Math"/>
          </w:rPr>
          <m:t>γ</m:t>
        </m:r>
      </m:oMath>
      <w:r w:rsidRPr="001A04ED">
        <w:t xml:space="preserve"> vector and the </w:t>
      </w:r>
      <m:oMath>
        <m:r>
          <w:rPr>
            <w:rFonts w:ascii="Cambria Math" w:hAnsi="Cambria Math"/>
          </w:rPr>
          <m:t>ζ</m:t>
        </m:r>
      </m:oMath>
      <w:r w:rsidRPr="001A04ED">
        <w:t xml:space="preserve"> vector. The maximum likelihood inference approach is used to estimate the parameters. The log-likelihood function for the model estimation is defined as:</w:t>
      </w:r>
    </w:p>
    <w:p w14:paraId="484810A1" w14:textId="77777777" w:rsidR="00B94F43" w:rsidRPr="001A04ED" w:rsidRDefault="00B94F43" w:rsidP="00B94F43">
      <w:pPr>
        <w:pStyle w:val="1stParagraph"/>
      </w:pPr>
    </w:p>
    <w:p w14:paraId="5725DFEA" w14:textId="06248ABB" w:rsidR="00B94F43" w:rsidRPr="001A04ED" w:rsidRDefault="00B94F43" w:rsidP="00B94F43">
      <w:pPr>
        <w:pStyle w:val="1stParagraph"/>
        <w:rPr>
          <w:rFonts w:eastAsiaTheme="minorEastAsia"/>
        </w:rPr>
      </w:pPr>
      <m:oMathPara>
        <m:oMath>
          <m:r>
            <w:rPr>
              <w:rFonts w:ascii="Cambria Math" w:hAnsi="Cambria Math"/>
            </w:rPr>
            <m:t>LL=</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n</m:t>
                          </m:r>
                        </m:sub>
                      </m:sSub>
                    </m:e>
                  </m:d>
                </m:e>
              </m:func>
              <m:r>
                <w:rPr>
                  <w:rFonts w:ascii="Cambria Math" w:hAnsi="Cambria Math"/>
                </w:rPr>
                <m:t xml:space="preserve"> </m:t>
              </m:r>
            </m:e>
          </m:nary>
          <m:r>
            <w:rPr>
              <w:rFonts w:ascii="Cambria Math" w:hAnsi="Cambria Math" w:cs="Times New Roman"/>
            </w:rPr>
            <m:t xml:space="preserve">                                                                                                                                                        (9)</m:t>
          </m:r>
        </m:oMath>
      </m:oMathPara>
    </w:p>
    <w:p w14:paraId="40D2204D" w14:textId="77777777" w:rsidR="003D2A43" w:rsidRPr="001A04ED" w:rsidRDefault="003D2A43" w:rsidP="00B94F43">
      <w:pPr>
        <w:pStyle w:val="1stParagraph"/>
        <w:rPr>
          <w:rFonts w:eastAsiaTheme="minorEastAsia"/>
        </w:rPr>
      </w:pPr>
    </w:p>
    <w:p w14:paraId="630BEF32" w14:textId="470E4380" w:rsidR="00B94F43" w:rsidRPr="001A04ED" w:rsidRDefault="00B94F43" w:rsidP="00B94F43">
      <w:r w:rsidRPr="001A04ED">
        <w:t xml:space="preserve">The analysis is conducted using Gauss Matrix Programming software (see </w:t>
      </w:r>
      <w:r w:rsidRPr="001A04ED">
        <w:fldChar w:fldCharType="begin" w:fldLock="1"/>
      </w:r>
      <w:r w:rsidR="00273110" w:rsidRPr="001A04ED">
        <w:instrText>ADDIN CSL_CITATION {"citationItems":[{"id":"ITEM-1","itemData":{"DOI":"10.1016/j.trb.2007.06.002","ISSN":"01912615","abstract":"Many consumer choice situations are characterized by the simultaneous demand for multiple alternatives that are imperfect substitutes for one another. A simple and parsimonious multiple discrete-continuous extreme value (MDCEV) econometric approach to handle such multiple discreteness was formulated by Bhat (2005) [Bhat, C.R., 2005. A multiple discrete-continuous extreme value model: formulation and application to discretionary time-use decisions. Transportation Research Part B 39(8), 679-707]. within the broader Kuhn-Tucker (KT) multiple discrete-continuous economic consumer demand model of Wales and Woodland (1983) [Wales, T.J., and Woodland, A.D., 1983. Estimation of consumer demand systems with binding non-negativity constraints. Journal of Econometrics 21(3), 263-85]. This paper examines several issues associated with the MDCEV model and other extant KT multiple discrete-continuous models. Specifically, the paper proposes a new utility function form that enables clarity in the role of each parameter in the utility specification, presents identification considerations associated with both the utility functional form as well as the stochastic nature of the utility specification, extends the MDCEV model to the case of price variation across goods and to general error covariance structures, discusses the relationship between earlier KT-based multiple discrete-continuous models, and illustrates the many technical nuances and identification considerations of the multiple discrete-continuous model structure through empirical examples. The paper also highlights the technical problems associated with the stochastic specification used in the KT-based multiple discrete-continuous models formulated in recent Environmental Economics papers. © 2007 Elsevier Ltd. All rights reserved.","author":[{"dropping-particle":"","family":"Bhat","given":"Chandra R.","non-dropping-particle":"","parse-names":false,"suffix":""}],"container-title":"Transportation Research Part B: Methodological","id":"ITEM-1","issue":"3","issued":{"date-parts":[["2008"]]},"page":"274-303","title":"The multiple discrete-continuous extreme value (MDCEV) model: Role of utility function parameters, identification considerations, and model extensions","type":"article-journal","volume":"42"},"uris":["http://www.mendeley.com/documents/?uuid=a2ccddb3-4dc1-4e8d-a1fa-83702fd5d95f"]}],"mendeley":{"formattedCitation":"(Bhat, 2008)","plainTextFormattedCitation":"(Bhat, 2008)","previouslyFormattedCitation":"(Bhat, 2008)"},"properties":{"noteIndex":0},"schema":"https://github.com/citation-style-language/schema/raw/master/csl-citation.json"}</w:instrText>
      </w:r>
      <w:r w:rsidRPr="001A04ED">
        <w:fldChar w:fldCharType="separate"/>
      </w:r>
      <w:r w:rsidR="008C37C1" w:rsidRPr="001A04ED">
        <w:rPr>
          <w:noProof/>
        </w:rPr>
        <w:t>(Bhat, 2008)</w:t>
      </w:r>
      <w:r w:rsidRPr="001A04ED">
        <w:fldChar w:fldCharType="end"/>
      </w:r>
      <w:r w:rsidRPr="001A04ED">
        <w:t xml:space="preserve"> for a brief explanation of the model estimation approach). </w:t>
      </w:r>
    </w:p>
    <w:p w14:paraId="50660E2B" w14:textId="77777777" w:rsidR="00B94F43" w:rsidRPr="001A04ED" w:rsidRDefault="00B94F43" w:rsidP="000C1817"/>
    <w:p w14:paraId="1E49197D" w14:textId="477E3DB9" w:rsidR="00E161FB" w:rsidRPr="001A04ED" w:rsidRDefault="004B1C01" w:rsidP="004B1C01">
      <w:pPr>
        <w:pStyle w:val="Heading1"/>
        <w:rPr>
          <w:szCs w:val="22"/>
        </w:rPr>
      </w:pPr>
      <w:r w:rsidRPr="001A04ED">
        <w:rPr>
          <w:szCs w:val="22"/>
        </w:rPr>
        <w:t>Data Description</w:t>
      </w:r>
    </w:p>
    <w:p w14:paraId="4B22AEE4" w14:textId="56ACEC51" w:rsidR="000249BE" w:rsidRPr="001A04ED" w:rsidRDefault="00A447CA" w:rsidP="00CD326E">
      <w:pPr>
        <w:ind w:firstLine="0"/>
        <w:rPr>
          <w:rFonts w:cs="Times New Roman"/>
        </w:rPr>
      </w:pPr>
      <w:r w:rsidRPr="001A04ED">
        <w:t>T</w:t>
      </w:r>
      <w:r w:rsidR="00B9280A" w:rsidRPr="001A04ED">
        <w:t>he 2020 Residential Energy Consumption Survey</w:t>
      </w:r>
      <w:r w:rsidR="00273110" w:rsidRPr="001A04ED">
        <w:t xml:space="preserve"> </w:t>
      </w:r>
      <w:r w:rsidR="00273110" w:rsidRPr="001A04ED">
        <w:fldChar w:fldCharType="begin" w:fldLock="1"/>
      </w:r>
      <w:r w:rsidR="00B518A7" w:rsidRPr="001A04ED">
        <w:instrText>ADDIN CSL_CITATION {"citationItems":[{"id":"ITEM-1","itemData":{"DOI":"https://www.eia.gov/consumption/residential/","URL":"https://www.eia.gov/consumption/residential/","author":[{"dropping-particle":"","family":"RECS","given":"","non-dropping-particle":"","parse-names":false,"suffix":""}],"container-title":"U.S. Energy Information Administration","id":"ITEM-1","issued":{"date-parts":[["2020"]]},"title":"Residential Energy Consumption Survey","type":"webpage"},"uris":["http://www.mendeley.com/documents/?uuid=728ef323-02cb-4b26-a86e-d6b94c60c1e1"]}],"mendeley":{"formattedCitation":"(RECS, 2020)","plainTextFormattedCitation":"(RECS, 2020)","previouslyFormattedCitation":"(RECS, 2020)"},"properties":{"noteIndex":0},"schema":"https://github.com/citation-style-language/schema/raw/master/csl-citation.json"}</w:instrText>
      </w:r>
      <w:r w:rsidR="00273110" w:rsidRPr="001A04ED">
        <w:fldChar w:fldCharType="separate"/>
      </w:r>
      <w:r w:rsidR="00273110" w:rsidRPr="001A04ED">
        <w:rPr>
          <w:noProof/>
        </w:rPr>
        <w:t>(RECS, 2020)</w:t>
      </w:r>
      <w:r w:rsidR="00273110" w:rsidRPr="001A04ED">
        <w:fldChar w:fldCharType="end"/>
      </w:r>
      <w:r w:rsidR="00B9280A" w:rsidRPr="001A04ED">
        <w:t xml:space="preserve"> data </w:t>
      </w:r>
      <w:r w:rsidRPr="001A04ED">
        <w:t>and the 2022 National Household Travel Survey</w:t>
      </w:r>
      <w:r w:rsidR="00B518A7" w:rsidRPr="001A04ED">
        <w:t xml:space="preserve"> </w:t>
      </w:r>
      <w:r w:rsidR="00B518A7" w:rsidRPr="001A04ED">
        <w:fldChar w:fldCharType="begin" w:fldLock="1"/>
      </w:r>
      <w:r w:rsidR="00293CDA" w:rsidRPr="001A04ED">
        <w:instrText>ADDIN CSL_CITATION {"citationItems":[{"id":"ITEM-1","itemData":{"DOI":"https://nhts.ornl.gov/","URL":"https://nhts.ornl.gov/","author":[{"dropping-particle":"","family":"NHTS","given":"","non-dropping-particle":"","parse-names":false,"suffix":""}],"container-title":"Federal Highway Administration","id":"ITEM-1","issued":{"date-parts":[["2022"]]},"title":"National Household Travel Survey","type":"webpage"},"uris":["http://www.mendeley.com/documents/?uuid=462450fc-ec4b-47c7-8ba1-c8c3cdefe483"]}],"mendeley":{"formattedCitation":"(NHTS, 2022)","plainTextFormattedCitation":"(NHTS, 2022)","previouslyFormattedCitation":"(NHTS, 2022)"},"properties":{"noteIndex":0},"schema":"https://github.com/citation-style-language/schema/raw/master/csl-citation.json"}</w:instrText>
      </w:r>
      <w:r w:rsidR="00B518A7" w:rsidRPr="001A04ED">
        <w:fldChar w:fldCharType="separate"/>
      </w:r>
      <w:r w:rsidR="00B518A7" w:rsidRPr="001A04ED">
        <w:rPr>
          <w:noProof/>
        </w:rPr>
        <w:t>(NHTS, 2022)</w:t>
      </w:r>
      <w:r w:rsidR="00B518A7" w:rsidRPr="001A04ED">
        <w:fldChar w:fldCharType="end"/>
      </w:r>
      <w:r w:rsidRPr="001A04ED">
        <w:t xml:space="preserve"> </w:t>
      </w:r>
      <w:r w:rsidR="00FB3A66" w:rsidRPr="001A04ED">
        <w:t>data were utilized in our analysis.</w:t>
      </w:r>
      <w:r w:rsidR="00886A37" w:rsidRPr="001A04ED">
        <w:t xml:space="preserve"> </w:t>
      </w:r>
      <w:r w:rsidR="002F36A9" w:rsidRPr="001A04ED">
        <w:rPr>
          <w:rFonts w:cs="Times New Roman"/>
        </w:rPr>
        <w:t xml:space="preserve">The fusion of datasets from two different years might ignore the impact of changing socioeconomic characteristics, household energy demand and the impact of major events like Covid-19 pandemic. However, as presented in Figure 3, the socioeconomic indicators, such as household size, household income, home ownership, household location and housing types remain relatively stable across the two years. Further, the main objective of this study is to develop an energy demand framework that can estimate the impact of travel infrastructure and usage related attributes on household end-use energy demand and remedy the over-estimation of the impact of socioeconomic attributes. Considering the documented contribution of the fusion approach (as measured objectively in terms of model improvement), the slight temporal mismatch between the two datasets does not affect the value of the fused dataset for model development. </w:t>
      </w:r>
      <w:r w:rsidR="00B9280A" w:rsidRPr="001A04ED">
        <w:t xml:space="preserve">The </w:t>
      </w:r>
      <w:r w:rsidR="00FB3A66" w:rsidRPr="001A04ED">
        <w:t xml:space="preserve">RECS </w:t>
      </w:r>
      <w:r w:rsidR="00B9280A" w:rsidRPr="001A04ED">
        <w:t xml:space="preserve">dataset </w:t>
      </w:r>
      <w:r w:rsidR="00613859" w:rsidRPr="001A04ED">
        <w:t xml:space="preserve">is comprised of </w:t>
      </w:r>
      <w:r w:rsidR="00FB3A66" w:rsidRPr="001A04ED">
        <w:t>household</w:t>
      </w:r>
      <w:r w:rsidR="0084607B" w:rsidRPr="001A04ED">
        <w:t xml:space="preserve"> energy consumption </w:t>
      </w:r>
      <w:r w:rsidR="00B9280A" w:rsidRPr="001A04ED">
        <w:t xml:space="preserve">records of 18,496 households from the entire USA. </w:t>
      </w:r>
      <w:r w:rsidR="0023323E" w:rsidRPr="001A04ED">
        <w:t xml:space="preserve">The data provides </w:t>
      </w:r>
      <w:r w:rsidR="00CD7495" w:rsidRPr="001A04ED">
        <w:t xml:space="preserve">information about household </w:t>
      </w:r>
      <w:r w:rsidR="00BE4117" w:rsidRPr="001A04ED">
        <w:t>socioeconomic attributes</w:t>
      </w:r>
      <w:r w:rsidR="00B6590A" w:rsidRPr="001A04ED">
        <w:t xml:space="preserve"> and total energy consumption by different end-uses</w:t>
      </w:r>
      <w:r w:rsidR="00B33659" w:rsidRPr="001A04ED">
        <w:t xml:space="preserve">. </w:t>
      </w:r>
      <w:r w:rsidR="00AF435C" w:rsidRPr="001A04ED">
        <w:t xml:space="preserve">Among the 18,496 household records, 5,000 households are randomly selected for model estimation to avoid model overfitting and </w:t>
      </w:r>
      <w:r w:rsidR="0023323E" w:rsidRPr="001A04ED">
        <w:t>manage computation</w:t>
      </w:r>
      <w:r w:rsidR="00CC6C74" w:rsidRPr="001A04ED">
        <w:t>al resources</w:t>
      </w:r>
      <w:r w:rsidR="00AF435C" w:rsidRPr="001A04ED">
        <w:t xml:space="preserve">. The </w:t>
      </w:r>
      <w:r w:rsidR="0023323E" w:rsidRPr="001A04ED">
        <w:t xml:space="preserve">remaining </w:t>
      </w:r>
      <w:r w:rsidR="00AF435C" w:rsidRPr="001A04ED">
        <w:t xml:space="preserve">13,496 household records are employed for assessing parameter stability. </w:t>
      </w:r>
      <w:r w:rsidR="0023323E" w:rsidRPr="001A04ED">
        <w:t>The</w:t>
      </w:r>
      <w:r w:rsidR="006C1242" w:rsidRPr="001A04ED">
        <w:t xml:space="preserve"> 2022 </w:t>
      </w:r>
      <w:r w:rsidR="00CB6A8F" w:rsidRPr="001A04ED">
        <w:t xml:space="preserve">NHTS data is used for detailed travel </w:t>
      </w:r>
      <w:r w:rsidR="00CC6C74" w:rsidRPr="001A04ED">
        <w:t xml:space="preserve">infrastructure and usage </w:t>
      </w:r>
      <w:r w:rsidR="00CB6A8F" w:rsidRPr="001A04ED">
        <w:t>related information</w:t>
      </w:r>
      <w:r w:rsidR="002E1C54" w:rsidRPr="001A04ED">
        <w:t xml:space="preserve">. The dataset comprises </w:t>
      </w:r>
      <w:r w:rsidR="006A45A7" w:rsidRPr="001A04ED">
        <w:t>records of 7,893 households from the entire USA.</w:t>
      </w:r>
      <w:r w:rsidR="00AF435C" w:rsidRPr="001A04ED">
        <w:t xml:space="preserve"> Among these household records, 7,417 households are considered for model estimation after removing the </w:t>
      </w:r>
      <w:r w:rsidR="00C472CC" w:rsidRPr="001A04ED">
        <w:t xml:space="preserve">data with </w:t>
      </w:r>
      <w:r w:rsidR="00AF435C" w:rsidRPr="001A04ED">
        <w:t>missing values.</w:t>
      </w:r>
    </w:p>
    <w:p w14:paraId="1A99DFDF" w14:textId="44E18EFA" w:rsidR="00121265" w:rsidRPr="001A04ED" w:rsidRDefault="006A45A7" w:rsidP="00857F3B">
      <w:pPr>
        <w:pStyle w:val="1stParagraph"/>
      </w:pPr>
      <w:r w:rsidRPr="001A04ED">
        <w:t xml:space="preserve"> </w:t>
      </w:r>
    </w:p>
    <w:p w14:paraId="5FCBA741" w14:textId="77777777" w:rsidR="00121265" w:rsidRPr="001A04ED" w:rsidRDefault="00121265" w:rsidP="00121265">
      <w:pPr>
        <w:pStyle w:val="Heading2"/>
        <w:rPr>
          <w:szCs w:val="22"/>
        </w:rPr>
      </w:pPr>
      <w:r w:rsidRPr="001A04ED">
        <w:rPr>
          <w:szCs w:val="22"/>
        </w:rPr>
        <w:t>Dependent Variable</w:t>
      </w:r>
    </w:p>
    <w:p w14:paraId="22DC5B68" w14:textId="6E08389D" w:rsidR="00121265" w:rsidRPr="001A04ED" w:rsidRDefault="00E11B39" w:rsidP="00121265">
      <w:pPr>
        <w:pStyle w:val="1stParagraph"/>
      </w:pPr>
      <w:r w:rsidRPr="001A04ED">
        <w:t>Energy demand of household</w:t>
      </w:r>
      <w:r w:rsidR="00121265" w:rsidRPr="001A04ED">
        <w:t xml:space="preserve"> end-uses is considered as the variable of interest in this study. The dependent variable is obtained from the 2020 RECS data.</w:t>
      </w:r>
      <w:r w:rsidRPr="001A04ED">
        <w:t xml:space="preserve"> </w:t>
      </w:r>
      <w:r w:rsidR="00C957D1" w:rsidRPr="001A04ED">
        <w:t xml:space="preserve">In our study, the household energy </w:t>
      </w:r>
      <w:r w:rsidR="00121265" w:rsidRPr="001A04ED">
        <w:t xml:space="preserve">end-uses are classified into 9 categories such as – </w:t>
      </w:r>
      <w:r w:rsidR="00C957D1" w:rsidRPr="001A04ED">
        <w:t xml:space="preserve">(1) </w:t>
      </w:r>
      <w:r w:rsidR="00121265" w:rsidRPr="001A04ED">
        <w:t>space heating</w:t>
      </w:r>
      <w:r w:rsidR="00FC4009" w:rsidRPr="001A04ED">
        <w:t xml:space="preserve"> (including space</w:t>
      </w:r>
      <w:r w:rsidR="0002005D" w:rsidRPr="001A04ED">
        <w:t xml:space="preserve"> heater)</w:t>
      </w:r>
      <w:r w:rsidR="00121265" w:rsidRPr="001A04ED">
        <w:t xml:space="preserve">, </w:t>
      </w:r>
      <w:r w:rsidR="00C957D1" w:rsidRPr="001A04ED">
        <w:t xml:space="preserve">(2) </w:t>
      </w:r>
      <w:r w:rsidR="00121265" w:rsidRPr="001A04ED">
        <w:t>water heating</w:t>
      </w:r>
      <w:r w:rsidR="00492007" w:rsidRPr="001A04ED">
        <w:t xml:space="preserve"> (including water heater, boiler pump and hot tub heater)</w:t>
      </w:r>
      <w:r w:rsidR="00121265" w:rsidRPr="001A04ED">
        <w:t xml:space="preserve">, </w:t>
      </w:r>
      <w:r w:rsidR="00C957D1" w:rsidRPr="001A04ED">
        <w:t xml:space="preserve">(3) </w:t>
      </w:r>
      <w:r w:rsidR="00121265" w:rsidRPr="001A04ED">
        <w:t>refrigeration</w:t>
      </w:r>
      <w:r w:rsidR="00492007" w:rsidRPr="001A04ED">
        <w:t xml:space="preserve"> (includi</w:t>
      </w:r>
      <w:r w:rsidR="0073483F" w:rsidRPr="001A04ED">
        <w:t>ng refrigerator and freezer)</w:t>
      </w:r>
      <w:r w:rsidR="00121265" w:rsidRPr="001A04ED">
        <w:t xml:space="preserve">, </w:t>
      </w:r>
      <w:r w:rsidR="00C957D1" w:rsidRPr="001A04ED">
        <w:t xml:space="preserve">(4) </w:t>
      </w:r>
      <w:r w:rsidR="00121265" w:rsidRPr="001A04ED">
        <w:t xml:space="preserve">cooling </w:t>
      </w:r>
      <w:r w:rsidR="00121265" w:rsidRPr="001A04ED">
        <w:lastRenderedPageBreak/>
        <w:t>and ventilation</w:t>
      </w:r>
      <w:r w:rsidR="0073483F" w:rsidRPr="001A04ED">
        <w:t xml:space="preserve"> (including </w:t>
      </w:r>
      <w:r w:rsidR="00380951" w:rsidRPr="001A04ED">
        <w:t>air conditioner, evaporative cooler, ceiling fan, humidifier, and dehumidifier)</w:t>
      </w:r>
      <w:r w:rsidR="00121265" w:rsidRPr="001A04ED">
        <w:t xml:space="preserve">, </w:t>
      </w:r>
      <w:r w:rsidR="000B4778" w:rsidRPr="001A04ED">
        <w:t xml:space="preserve">(5) </w:t>
      </w:r>
      <w:r w:rsidR="00121265" w:rsidRPr="001A04ED">
        <w:t>cooking</w:t>
      </w:r>
      <w:r w:rsidR="0053372D" w:rsidRPr="001A04ED">
        <w:t xml:space="preserve"> (including stove, cooktop, and oven)</w:t>
      </w:r>
      <w:r w:rsidR="00121265" w:rsidRPr="001A04ED">
        <w:t xml:space="preserve">, </w:t>
      </w:r>
      <w:r w:rsidR="000B4778" w:rsidRPr="001A04ED">
        <w:t xml:space="preserve">(6) </w:t>
      </w:r>
      <w:r w:rsidR="00121265" w:rsidRPr="001A04ED">
        <w:t>washing and drying</w:t>
      </w:r>
      <w:r w:rsidR="00910FDC" w:rsidRPr="001A04ED">
        <w:t xml:space="preserve"> (including washing machine, dryer, and dishwasher)</w:t>
      </w:r>
      <w:r w:rsidR="00121265" w:rsidRPr="001A04ED">
        <w:t xml:space="preserve">, </w:t>
      </w:r>
      <w:r w:rsidR="000B4778" w:rsidRPr="001A04ED">
        <w:t>(7)</w:t>
      </w:r>
      <w:r w:rsidR="00402784" w:rsidRPr="001A04ED">
        <w:t xml:space="preserve"> EV charging, (8) </w:t>
      </w:r>
      <w:r w:rsidR="00121265" w:rsidRPr="001A04ED">
        <w:t>lighting</w:t>
      </w:r>
      <w:r w:rsidR="00D37DDE" w:rsidRPr="001A04ED">
        <w:t xml:space="preserve"> (including indoor and outdoor lights)</w:t>
      </w:r>
      <w:r w:rsidR="00402784" w:rsidRPr="001A04ED">
        <w:t xml:space="preserve"> </w:t>
      </w:r>
      <w:r w:rsidR="00121265" w:rsidRPr="001A04ED">
        <w:t xml:space="preserve">and </w:t>
      </w:r>
      <w:r w:rsidR="00402784" w:rsidRPr="001A04ED">
        <w:t xml:space="preserve">(9) </w:t>
      </w:r>
      <w:r w:rsidR="00121265" w:rsidRPr="001A04ED">
        <w:t>miscellaneous activities</w:t>
      </w:r>
      <w:r w:rsidR="005B2C1A" w:rsidRPr="001A04ED">
        <w:t xml:space="preserve"> (including </w:t>
      </w:r>
      <w:r w:rsidR="00D37DDE" w:rsidRPr="001A04ED">
        <w:t xml:space="preserve">television, water pump, desktop, computer, laptop, cell phone, smart phone, printer, scanner, and other </w:t>
      </w:r>
      <w:r w:rsidR="00C472CC" w:rsidRPr="001A04ED">
        <w:t>undefined categories</w:t>
      </w:r>
      <w:r w:rsidR="00D37DDE" w:rsidRPr="001A04ED">
        <w:t>)</w:t>
      </w:r>
      <w:r w:rsidR="00230CFE" w:rsidRPr="001A04ED">
        <w:t xml:space="preserve">. </w:t>
      </w:r>
      <w:r w:rsidR="00121265" w:rsidRPr="001A04ED">
        <w:t xml:space="preserve">The distribution of the dependent variable categories is shown in Table 1. </w:t>
      </w:r>
      <w:r w:rsidR="00BF0C98" w:rsidRPr="001A04ED">
        <w:t xml:space="preserve">Based on the average energy consumption, the table represents that space heating is the highest energy consuming end-use category, which is followed by water heating and EV charging (only for the households that own EV). </w:t>
      </w:r>
      <w:r w:rsidR="00121265" w:rsidRPr="001A04ED">
        <w:t xml:space="preserve">Two end-use categories – lighting and miscellaneous activities – are found to be consumed by all the households, </w:t>
      </w:r>
      <w:r w:rsidR="0090108B" w:rsidRPr="001A04ED">
        <w:t xml:space="preserve">as shown in </w:t>
      </w:r>
      <w:r w:rsidR="00121265" w:rsidRPr="001A04ED">
        <w:t>Table 1. Therefore, these two categories are used as the outside categories in our MDCEV model</w:t>
      </w:r>
      <w:r w:rsidR="00402784" w:rsidRPr="001A04ED">
        <w:t xml:space="preserve"> (see </w:t>
      </w:r>
      <w:r w:rsidR="00402784" w:rsidRPr="001A04ED">
        <w:fldChar w:fldCharType="begin" w:fldLock="1"/>
      </w:r>
      <w:r w:rsidR="00273110" w:rsidRPr="001A04ED">
        <w:instrText>ADDIN CSL_CITATION {"citationItems":[{"id":"ITEM-1","itemData":{"DOI":"10.1016/j.trb.2004.08.003","ISSN":"01912615","abstract":"Several consumer demand choices are characterized by the choice of multiple alternatives simultaneously. An example of such a choice situation in activity-travel analysis is the type of discretionary (or leisure) activity to participate in and the duration of time investment of the participation. In this context, within a given temporal period (say a day or a week), an individual may decide to participate in multiple types of activities (for example, in-home social activities, out-of-home social activities, in-home recreational activities, out-of-home recreational activities, and out-of-home non-maintenance shopping activities). In this paper, we derive and formulate a utility theory-based model for discrete/continuous choice that assumes diminishing marginal utility as the level of consumption of any particular alternative increases (i.e., satiation). This assumption yields a multiple discreteness model (i.e., choice of multiple alternatives can occur simultaneously). This is in contrast to the standard discrete choice model that is based on assuming the absence of any diminishing marginal utility as the level of consumption of any alternative increases (i.e., no satiation), leading to the case of strictly single discreteness. The econometric model formulated here, which we refer to as the multiple discrete-continuous extreme value (MDCEV) model, has a surprisingly simple and elegant closed form expression for the discrete-continuous probability of not consuming certain alternatives and consuming given levels of the remaining alternatives. To our knowledge, we are the first to develop such a simple and powerful closed-form model for multiple discreteness in the literature. This formulation should constitute an important milestone in the area of multiple discreteness, just as the multinomial logit (MNL) represented an important milestone in the area of single discreteness. Further, the MDCEV model formulated here has the appealing property that it collapses to the familiar multinomial logit (MNL) choice model in the case of single discreteness. Finally, heteroscedasticity and/or correlation in unobserved characteristics affecting the demand of different alternatives can be easily incorporated within the MDCEV model framework using a mixing approach. The MDCEV model and its mixed variant are applied to analyze time-use allocation decisions among a variety of discretionary activities on weekends using data from the 2000 San Francisco Bay Area survey. © 20…","author":[{"dropping-particle":"","family":"Bhat","given":"Chandra R.","non-dropping-particle":"","parse-names":false,"suffix":""}],"container-title":"Transportation Research Part B: Methodological","id":"ITEM-1","issue":"8","issued":{"date-parts":[["2005"]]},"page":"679-707","title":"A multiple discrete-continuous extreme value model: Formulation and application to discretionary time-use decisions","type":"article-journal","volume":"39"},"uris":["http://www.mendeley.com/documents/?uuid=b1a0ffde-e0de-4627-bb22-7bc9da12bb1b"]}],"mendeley":{"formattedCitation":"(Bhat, 2005)","plainTextFormattedCitation":"(Bhat, 2005)","previouslyFormattedCitation":"(Bhat, 2005)"},"properties":{"noteIndex":0},"schema":"https://github.com/citation-style-language/schema/raw/master/csl-citation.json"}</w:instrText>
      </w:r>
      <w:r w:rsidR="00402784" w:rsidRPr="001A04ED">
        <w:fldChar w:fldCharType="separate"/>
      </w:r>
      <w:r w:rsidR="008C37C1" w:rsidRPr="001A04ED">
        <w:rPr>
          <w:noProof/>
        </w:rPr>
        <w:t>(Bhat, 2005)</w:t>
      </w:r>
      <w:r w:rsidR="00402784" w:rsidRPr="001A04ED">
        <w:fldChar w:fldCharType="end"/>
      </w:r>
      <w:r w:rsidR="005E0483" w:rsidRPr="001A04ED">
        <w:t xml:space="preserve"> for the explanation of outside category)</w:t>
      </w:r>
      <w:r w:rsidR="00121265" w:rsidRPr="001A04ED">
        <w:t>.</w:t>
      </w:r>
    </w:p>
    <w:p w14:paraId="7538BD40" w14:textId="77777777" w:rsidR="00E47BBB" w:rsidRPr="001A04ED" w:rsidRDefault="00E47BBB" w:rsidP="00121265">
      <w:pPr>
        <w:pStyle w:val="1stParagraph"/>
      </w:pPr>
    </w:p>
    <w:p w14:paraId="64124219" w14:textId="1689D35D" w:rsidR="00E47BBB" w:rsidRPr="001A04ED" w:rsidRDefault="00E47BBB" w:rsidP="00E47BBB">
      <w:pPr>
        <w:pStyle w:val="1stParagraph"/>
        <w:rPr>
          <w:b/>
          <w:bCs/>
        </w:rPr>
      </w:pPr>
      <w:r w:rsidRPr="001A04ED">
        <w:rPr>
          <w:b/>
          <w:bCs/>
        </w:rPr>
        <w:t xml:space="preserve">Table 1: Distribution of </w:t>
      </w:r>
      <w:r w:rsidR="00A51E01" w:rsidRPr="001A04ED">
        <w:rPr>
          <w:b/>
          <w:bCs/>
        </w:rPr>
        <w:t>different household energy end use categories</w:t>
      </w:r>
    </w:p>
    <w:tbl>
      <w:tblPr>
        <w:tblStyle w:val="TableGrid"/>
        <w:tblW w:w="0" w:type="auto"/>
        <w:tblLook w:val="04A0" w:firstRow="1" w:lastRow="0" w:firstColumn="1" w:lastColumn="0" w:noHBand="0" w:noVBand="1"/>
      </w:tblPr>
      <w:tblGrid>
        <w:gridCol w:w="2425"/>
        <w:gridCol w:w="1530"/>
        <w:gridCol w:w="1260"/>
        <w:gridCol w:w="1350"/>
        <w:gridCol w:w="1350"/>
        <w:gridCol w:w="1435"/>
      </w:tblGrid>
      <w:tr w:rsidR="001A04ED" w:rsidRPr="001A04ED" w14:paraId="4D0AC3AD" w14:textId="77777777" w:rsidTr="00BD271B">
        <w:trPr>
          <w:trHeight w:val="144"/>
        </w:trPr>
        <w:tc>
          <w:tcPr>
            <w:tcW w:w="2425" w:type="dxa"/>
            <w:noWrap/>
            <w:vAlign w:val="center"/>
            <w:hideMark/>
          </w:tcPr>
          <w:p w14:paraId="2B7E92C6" w14:textId="77777777" w:rsidR="00A51E01" w:rsidRPr="001A04ED" w:rsidRDefault="00A51E01" w:rsidP="00486654">
            <w:pPr>
              <w:pStyle w:val="1stParagraph"/>
              <w:contextualSpacing/>
              <w:jc w:val="left"/>
              <w:rPr>
                <w:b/>
                <w:bCs/>
              </w:rPr>
            </w:pPr>
            <w:r w:rsidRPr="001A04ED">
              <w:rPr>
                <w:b/>
                <w:bCs/>
              </w:rPr>
              <w:t>Variable</w:t>
            </w:r>
          </w:p>
        </w:tc>
        <w:tc>
          <w:tcPr>
            <w:tcW w:w="1530" w:type="dxa"/>
            <w:vAlign w:val="center"/>
          </w:tcPr>
          <w:p w14:paraId="50E77163" w14:textId="30670647" w:rsidR="00A51E01" w:rsidRPr="001A04ED" w:rsidRDefault="00BC40B2" w:rsidP="00303F3C">
            <w:pPr>
              <w:pStyle w:val="1stParagraph"/>
              <w:contextualSpacing/>
              <w:jc w:val="center"/>
              <w:rPr>
                <w:b/>
                <w:bCs/>
              </w:rPr>
            </w:pPr>
            <w:r w:rsidRPr="001A04ED">
              <w:rPr>
                <w:b/>
                <w:bCs/>
              </w:rPr>
              <w:t>Participation</w:t>
            </w:r>
            <w:r w:rsidR="009B4657" w:rsidRPr="001A04ED">
              <w:rPr>
                <w:b/>
                <w:bCs/>
              </w:rPr>
              <w:t xml:space="preserve"> Rate</w:t>
            </w:r>
            <w:r w:rsidRPr="001A04ED">
              <w:rPr>
                <w:b/>
                <w:bCs/>
              </w:rPr>
              <w:t xml:space="preserve"> (%)</w:t>
            </w:r>
          </w:p>
        </w:tc>
        <w:tc>
          <w:tcPr>
            <w:tcW w:w="1260" w:type="dxa"/>
            <w:noWrap/>
            <w:vAlign w:val="center"/>
            <w:hideMark/>
          </w:tcPr>
          <w:p w14:paraId="31D179AB" w14:textId="41082C88" w:rsidR="00A51E01" w:rsidRPr="001A04ED" w:rsidRDefault="00A51E01" w:rsidP="00303F3C">
            <w:pPr>
              <w:pStyle w:val="1stParagraph"/>
              <w:contextualSpacing/>
              <w:jc w:val="center"/>
              <w:rPr>
                <w:b/>
                <w:bCs/>
              </w:rPr>
            </w:pPr>
            <w:r w:rsidRPr="001A04ED">
              <w:rPr>
                <w:b/>
                <w:bCs/>
              </w:rPr>
              <w:t>Min</w:t>
            </w:r>
            <w:r w:rsidR="00303F3C" w:rsidRPr="001A04ED">
              <w:rPr>
                <w:b/>
                <w:bCs/>
              </w:rPr>
              <w:t>imum</w:t>
            </w:r>
          </w:p>
        </w:tc>
        <w:tc>
          <w:tcPr>
            <w:tcW w:w="1350" w:type="dxa"/>
            <w:noWrap/>
            <w:vAlign w:val="center"/>
            <w:hideMark/>
          </w:tcPr>
          <w:p w14:paraId="4C355064" w14:textId="4D345ABF" w:rsidR="00A51E01" w:rsidRPr="001A04ED" w:rsidRDefault="00A51E01" w:rsidP="00303F3C">
            <w:pPr>
              <w:pStyle w:val="1stParagraph"/>
              <w:contextualSpacing/>
              <w:jc w:val="center"/>
              <w:rPr>
                <w:b/>
                <w:bCs/>
              </w:rPr>
            </w:pPr>
            <w:r w:rsidRPr="001A04ED">
              <w:rPr>
                <w:b/>
                <w:bCs/>
              </w:rPr>
              <w:t>Max</w:t>
            </w:r>
            <w:r w:rsidR="00303F3C" w:rsidRPr="001A04ED">
              <w:rPr>
                <w:b/>
                <w:bCs/>
              </w:rPr>
              <w:t>imum</w:t>
            </w:r>
          </w:p>
        </w:tc>
        <w:tc>
          <w:tcPr>
            <w:tcW w:w="1350" w:type="dxa"/>
            <w:noWrap/>
            <w:vAlign w:val="center"/>
            <w:hideMark/>
          </w:tcPr>
          <w:p w14:paraId="3459D9CE" w14:textId="77777777" w:rsidR="00A51E01" w:rsidRPr="001A04ED" w:rsidRDefault="00A51E01" w:rsidP="00303F3C">
            <w:pPr>
              <w:pStyle w:val="1stParagraph"/>
              <w:contextualSpacing/>
              <w:jc w:val="center"/>
              <w:rPr>
                <w:b/>
                <w:bCs/>
              </w:rPr>
            </w:pPr>
            <w:r w:rsidRPr="001A04ED">
              <w:rPr>
                <w:b/>
                <w:bCs/>
              </w:rPr>
              <w:t>Mean</w:t>
            </w:r>
          </w:p>
        </w:tc>
        <w:tc>
          <w:tcPr>
            <w:tcW w:w="1435" w:type="dxa"/>
            <w:noWrap/>
            <w:vAlign w:val="center"/>
            <w:hideMark/>
          </w:tcPr>
          <w:p w14:paraId="760586A1" w14:textId="53BCE25A" w:rsidR="00A51E01" w:rsidRPr="001A04ED" w:rsidRDefault="00145B88" w:rsidP="00303F3C">
            <w:pPr>
              <w:pStyle w:val="1stParagraph"/>
              <w:contextualSpacing/>
              <w:jc w:val="center"/>
              <w:rPr>
                <w:b/>
                <w:bCs/>
              </w:rPr>
            </w:pPr>
            <w:r w:rsidRPr="001A04ED">
              <w:rPr>
                <w:b/>
                <w:bCs/>
              </w:rPr>
              <w:t>S</w:t>
            </w:r>
            <w:r w:rsidR="00303F3C" w:rsidRPr="001A04ED">
              <w:rPr>
                <w:b/>
                <w:bCs/>
              </w:rPr>
              <w:t>tandard deviation</w:t>
            </w:r>
          </w:p>
        </w:tc>
      </w:tr>
      <w:tr w:rsidR="001A04ED" w:rsidRPr="001A04ED" w14:paraId="4D72E533" w14:textId="77777777" w:rsidTr="00BD271B">
        <w:trPr>
          <w:trHeight w:val="144"/>
        </w:trPr>
        <w:tc>
          <w:tcPr>
            <w:tcW w:w="2425" w:type="dxa"/>
            <w:noWrap/>
            <w:vAlign w:val="center"/>
            <w:hideMark/>
          </w:tcPr>
          <w:p w14:paraId="0BEE7F41" w14:textId="5429D373" w:rsidR="00EA11A2" w:rsidRPr="001A04ED" w:rsidRDefault="00EA11A2" w:rsidP="00486654">
            <w:pPr>
              <w:pStyle w:val="1stParagraph"/>
              <w:contextualSpacing/>
              <w:jc w:val="left"/>
            </w:pPr>
            <w:r w:rsidRPr="001A04ED">
              <w:t xml:space="preserve">Space heating </w:t>
            </w:r>
          </w:p>
        </w:tc>
        <w:tc>
          <w:tcPr>
            <w:tcW w:w="1530" w:type="dxa"/>
            <w:vAlign w:val="center"/>
          </w:tcPr>
          <w:p w14:paraId="7A14C4FC" w14:textId="01A087B7" w:rsidR="00EA11A2" w:rsidRPr="001A04ED" w:rsidRDefault="00EA11A2" w:rsidP="00303F3C">
            <w:pPr>
              <w:pStyle w:val="1stParagraph"/>
              <w:contextualSpacing/>
              <w:jc w:val="center"/>
            </w:pPr>
            <w:r w:rsidRPr="001A04ED">
              <w:t>95.4</w:t>
            </w:r>
          </w:p>
        </w:tc>
        <w:tc>
          <w:tcPr>
            <w:tcW w:w="1260" w:type="dxa"/>
            <w:noWrap/>
            <w:vAlign w:val="center"/>
            <w:hideMark/>
          </w:tcPr>
          <w:p w14:paraId="5F429B1D" w14:textId="77777777" w:rsidR="00EA11A2" w:rsidRPr="001A04ED" w:rsidRDefault="00EA11A2" w:rsidP="00303F3C">
            <w:pPr>
              <w:pStyle w:val="1stParagraph"/>
              <w:contextualSpacing/>
              <w:jc w:val="center"/>
            </w:pPr>
            <w:r w:rsidRPr="001A04ED">
              <w:t>0.0</w:t>
            </w:r>
          </w:p>
          <w:p w14:paraId="579498F5" w14:textId="5E6C8ADC" w:rsidR="004C5E51" w:rsidRPr="001A04ED" w:rsidRDefault="004C5E51" w:rsidP="00303F3C">
            <w:pPr>
              <w:pStyle w:val="1stParagraph"/>
              <w:contextualSpacing/>
              <w:jc w:val="center"/>
            </w:pPr>
            <w:r w:rsidRPr="001A04ED">
              <w:t>(0.0)</w:t>
            </w:r>
          </w:p>
        </w:tc>
        <w:tc>
          <w:tcPr>
            <w:tcW w:w="1350" w:type="dxa"/>
            <w:noWrap/>
            <w:vAlign w:val="center"/>
            <w:hideMark/>
          </w:tcPr>
          <w:p w14:paraId="56AE87D8" w14:textId="5A63CE33" w:rsidR="00EA11A2" w:rsidRPr="001A04ED" w:rsidRDefault="00EA11A2" w:rsidP="00303F3C">
            <w:pPr>
              <w:pStyle w:val="1stParagraph"/>
              <w:contextualSpacing/>
              <w:jc w:val="center"/>
            </w:pPr>
            <w:r w:rsidRPr="001A04ED">
              <w:t>407906.1</w:t>
            </w:r>
          </w:p>
          <w:p w14:paraId="7ABCDF9E" w14:textId="23B49369" w:rsidR="00565B0B" w:rsidRPr="001A04ED" w:rsidRDefault="00565B0B" w:rsidP="00303F3C">
            <w:pPr>
              <w:pStyle w:val="1stParagraph"/>
              <w:contextualSpacing/>
              <w:jc w:val="center"/>
            </w:pPr>
            <w:r w:rsidRPr="001A04ED">
              <w:t>(119550.4)</w:t>
            </w:r>
          </w:p>
        </w:tc>
        <w:tc>
          <w:tcPr>
            <w:tcW w:w="1350" w:type="dxa"/>
            <w:noWrap/>
            <w:vAlign w:val="center"/>
            <w:hideMark/>
          </w:tcPr>
          <w:p w14:paraId="598D2409" w14:textId="0B1C2F16" w:rsidR="00EA11A2" w:rsidRPr="001A04ED" w:rsidRDefault="00EA11A2" w:rsidP="00303F3C">
            <w:pPr>
              <w:pStyle w:val="1stParagraph"/>
              <w:contextualSpacing/>
              <w:jc w:val="center"/>
            </w:pPr>
            <w:r w:rsidRPr="001A04ED">
              <w:t>40051.8</w:t>
            </w:r>
          </w:p>
          <w:p w14:paraId="3ADBB0D4" w14:textId="15314692" w:rsidR="00A511AA" w:rsidRPr="001A04ED" w:rsidRDefault="00A511AA" w:rsidP="00303F3C">
            <w:pPr>
              <w:pStyle w:val="1stParagraph"/>
              <w:contextualSpacing/>
              <w:jc w:val="center"/>
            </w:pPr>
            <w:r w:rsidRPr="001A04ED">
              <w:t>(11738.5)</w:t>
            </w:r>
          </w:p>
        </w:tc>
        <w:tc>
          <w:tcPr>
            <w:tcW w:w="1435" w:type="dxa"/>
            <w:noWrap/>
            <w:vAlign w:val="center"/>
            <w:hideMark/>
          </w:tcPr>
          <w:p w14:paraId="5C42F275" w14:textId="35296F35" w:rsidR="00EA11A2" w:rsidRPr="001A04ED" w:rsidRDefault="00EA11A2" w:rsidP="00303F3C">
            <w:pPr>
              <w:pStyle w:val="1stParagraph"/>
              <w:contextualSpacing/>
              <w:jc w:val="center"/>
            </w:pPr>
            <w:r w:rsidRPr="001A04ED">
              <w:t>38116.8</w:t>
            </w:r>
          </w:p>
          <w:p w14:paraId="191B7562" w14:textId="44CF0466" w:rsidR="00BA232D" w:rsidRPr="001A04ED" w:rsidRDefault="00BA232D" w:rsidP="00303F3C">
            <w:pPr>
              <w:pStyle w:val="1stParagraph"/>
              <w:contextualSpacing/>
              <w:jc w:val="center"/>
            </w:pPr>
            <w:r w:rsidRPr="001A04ED">
              <w:t>(11171.4)</w:t>
            </w:r>
          </w:p>
        </w:tc>
      </w:tr>
      <w:tr w:rsidR="001A04ED" w:rsidRPr="001A04ED" w14:paraId="283D3A68" w14:textId="77777777" w:rsidTr="00BD271B">
        <w:trPr>
          <w:trHeight w:val="144"/>
        </w:trPr>
        <w:tc>
          <w:tcPr>
            <w:tcW w:w="2425" w:type="dxa"/>
            <w:noWrap/>
            <w:vAlign w:val="center"/>
            <w:hideMark/>
          </w:tcPr>
          <w:p w14:paraId="4BCFC2FF" w14:textId="187C34CB" w:rsidR="00EA11A2" w:rsidRPr="001A04ED" w:rsidRDefault="00EA11A2" w:rsidP="00486654">
            <w:pPr>
              <w:pStyle w:val="1stParagraph"/>
              <w:contextualSpacing/>
              <w:jc w:val="left"/>
            </w:pPr>
            <w:r w:rsidRPr="001A04ED">
              <w:t xml:space="preserve">Water heating </w:t>
            </w:r>
          </w:p>
        </w:tc>
        <w:tc>
          <w:tcPr>
            <w:tcW w:w="1530" w:type="dxa"/>
            <w:vAlign w:val="center"/>
          </w:tcPr>
          <w:p w14:paraId="342072A9" w14:textId="450B72FB" w:rsidR="00EA11A2" w:rsidRPr="001A04ED" w:rsidRDefault="00EA11A2" w:rsidP="00303F3C">
            <w:pPr>
              <w:pStyle w:val="1stParagraph"/>
              <w:contextualSpacing/>
              <w:jc w:val="center"/>
            </w:pPr>
            <w:r w:rsidRPr="001A04ED">
              <w:t>99.4</w:t>
            </w:r>
          </w:p>
        </w:tc>
        <w:tc>
          <w:tcPr>
            <w:tcW w:w="1260" w:type="dxa"/>
            <w:noWrap/>
            <w:vAlign w:val="center"/>
            <w:hideMark/>
          </w:tcPr>
          <w:p w14:paraId="4671E921" w14:textId="77777777" w:rsidR="00EA11A2" w:rsidRPr="001A04ED" w:rsidRDefault="00EA11A2" w:rsidP="00303F3C">
            <w:pPr>
              <w:pStyle w:val="1stParagraph"/>
              <w:contextualSpacing/>
              <w:jc w:val="center"/>
            </w:pPr>
            <w:r w:rsidRPr="001A04ED">
              <w:t>0.0</w:t>
            </w:r>
          </w:p>
          <w:p w14:paraId="7C7898EF" w14:textId="291AA8E5" w:rsidR="004C5E51" w:rsidRPr="001A04ED" w:rsidRDefault="004C5E51" w:rsidP="00303F3C">
            <w:pPr>
              <w:pStyle w:val="1stParagraph"/>
              <w:contextualSpacing/>
              <w:jc w:val="center"/>
            </w:pPr>
            <w:r w:rsidRPr="001A04ED">
              <w:t>(0.0)</w:t>
            </w:r>
          </w:p>
        </w:tc>
        <w:tc>
          <w:tcPr>
            <w:tcW w:w="1350" w:type="dxa"/>
            <w:noWrap/>
            <w:vAlign w:val="center"/>
            <w:hideMark/>
          </w:tcPr>
          <w:p w14:paraId="2C7E1B66" w14:textId="6BC3A1A0" w:rsidR="00EA11A2" w:rsidRPr="001A04ED" w:rsidRDefault="00EA11A2" w:rsidP="00303F3C">
            <w:pPr>
              <w:pStyle w:val="1stParagraph"/>
              <w:contextualSpacing/>
              <w:jc w:val="center"/>
            </w:pPr>
            <w:r w:rsidRPr="001A04ED">
              <w:t>162555.6</w:t>
            </w:r>
          </w:p>
          <w:p w14:paraId="39900308" w14:textId="40CDD9D6" w:rsidR="00565B0B" w:rsidRPr="001A04ED" w:rsidRDefault="00B4551E" w:rsidP="00303F3C">
            <w:pPr>
              <w:pStyle w:val="1stParagraph"/>
              <w:contextualSpacing/>
              <w:jc w:val="center"/>
            </w:pPr>
            <w:r w:rsidRPr="001A04ED">
              <w:t>(47642.3)</w:t>
            </w:r>
          </w:p>
        </w:tc>
        <w:tc>
          <w:tcPr>
            <w:tcW w:w="1350" w:type="dxa"/>
            <w:noWrap/>
            <w:vAlign w:val="center"/>
            <w:hideMark/>
          </w:tcPr>
          <w:p w14:paraId="7E5E5127" w14:textId="7994BFE5" w:rsidR="00EA11A2" w:rsidRPr="001A04ED" w:rsidRDefault="00EA11A2" w:rsidP="00303F3C">
            <w:pPr>
              <w:pStyle w:val="1stParagraph"/>
              <w:contextualSpacing/>
              <w:jc w:val="center"/>
            </w:pPr>
            <w:r w:rsidRPr="001A04ED">
              <w:t>15591.5</w:t>
            </w:r>
          </w:p>
          <w:p w14:paraId="64D12DA2" w14:textId="30D9C135" w:rsidR="00AF4854" w:rsidRPr="001A04ED" w:rsidRDefault="00AF4854" w:rsidP="00303F3C">
            <w:pPr>
              <w:pStyle w:val="1stParagraph"/>
              <w:contextualSpacing/>
              <w:jc w:val="center"/>
            </w:pPr>
            <w:r w:rsidRPr="001A04ED">
              <w:t>(4569.6)</w:t>
            </w:r>
          </w:p>
        </w:tc>
        <w:tc>
          <w:tcPr>
            <w:tcW w:w="1435" w:type="dxa"/>
            <w:noWrap/>
            <w:vAlign w:val="center"/>
            <w:hideMark/>
          </w:tcPr>
          <w:p w14:paraId="3C147BE3" w14:textId="15927A2C" w:rsidR="00EA11A2" w:rsidRPr="001A04ED" w:rsidRDefault="00EA11A2" w:rsidP="00303F3C">
            <w:pPr>
              <w:pStyle w:val="1stParagraph"/>
              <w:contextualSpacing/>
              <w:jc w:val="center"/>
            </w:pPr>
            <w:r w:rsidRPr="001A04ED">
              <w:t>11999.2</w:t>
            </w:r>
          </w:p>
          <w:p w14:paraId="47D096FD" w14:textId="31255311" w:rsidR="00ED1E0D" w:rsidRPr="001A04ED" w:rsidRDefault="00ED1E0D" w:rsidP="00303F3C">
            <w:pPr>
              <w:pStyle w:val="1stParagraph"/>
              <w:contextualSpacing/>
              <w:jc w:val="center"/>
            </w:pPr>
            <w:r w:rsidRPr="001A04ED">
              <w:t>(3516.7)</w:t>
            </w:r>
          </w:p>
        </w:tc>
      </w:tr>
      <w:tr w:rsidR="001A04ED" w:rsidRPr="001A04ED" w14:paraId="6A08E4DB" w14:textId="77777777" w:rsidTr="00BD271B">
        <w:trPr>
          <w:trHeight w:val="144"/>
        </w:trPr>
        <w:tc>
          <w:tcPr>
            <w:tcW w:w="2425" w:type="dxa"/>
            <w:noWrap/>
            <w:vAlign w:val="center"/>
            <w:hideMark/>
          </w:tcPr>
          <w:p w14:paraId="4FF68118" w14:textId="16569E0C" w:rsidR="00EA11A2" w:rsidRPr="001A04ED" w:rsidRDefault="00EA11A2" w:rsidP="00486654">
            <w:pPr>
              <w:pStyle w:val="1stParagraph"/>
              <w:contextualSpacing/>
              <w:jc w:val="left"/>
            </w:pPr>
            <w:r w:rsidRPr="001A04ED">
              <w:t xml:space="preserve">Refrigeration </w:t>
            </w:r>
          </w:p>
        </w:tc>
        <w:tc>
          <w:tcPr>
            <w:tcW w:w="1530" w:type="dxa"/>
            <w:vAlign w:val="center"/>
          </w:tcPr>
          <w:p w14:paraId="48A412F1" w14:textId="15C40F2E" w:rsidR="00EA11A2" w:rsidRPr="001A04ED" w:rsidRDefault="00EA11A2" w:rsidP="00303F3C">
            <w:pPr>
              <w:pStyle w:val="1stParagraph"/>
              <w:contextualSpacing/>
              <w:jc w:val="center"/>
            </w:pPr>
            <w:r w:rsidRPr="001A04ED">
              <w:t>99.6</w:t>
            </w:r>
          </w:p>
        </w:tc>
        <w:tc>
          <w:tcPr>
            <w:tcW w:w="1260" w:type="dxa"/>
            <w:noWrap/>
            <w:vAlign w:val="center"/>
            <w:hideMark/>
          </w:tcPr>
          <w:p w14:paraId="5A768618" w14:textId="77777777" w:rsidR="00EA11A2" w:rsidRPr="001A04ED" w:rsidRDefault="00EA11A2" w:rsidP="00303F3C">
            <w:pPr>
              <w:pStyle w:val="1stParagraph"/>
              <w:contextualSpacing/>
              <w:jc w:val="center"/>
            </w:pPr>
            <w:r w:rsidRPr="001A04ED">
              <w:t>0.0</w:t>
            </w:r>
          </w:p>
          <w:p w14:paraId="3EC36357" w14:textId="425B2561" w:rsidR="004C5E51" w:rsidRPr="001A04ED" w:rsidRDefault="004C5E51" w:rsidP="00303F3C">
            <w:pPr>
              <w:pStyle w:val="1stParagraph"/>
              <w:contextualSpacing/>
              <w:jc w:val="center"/>
            </w:pPr>
            <w:r w:rsidRPr="001A04ED">
              <w:t>(0.0)</w:t>
            </w:r>
          </w:p>
        </w:tc>
        <w:tc>
          <w:tcPr>
            <w:tcW w:w="1350" w:type="dxa"/>
            <w:noWrap/>
            <w:vAlign w:val="center"/>
            <w:hideMark/>
          </w:tcPr>
          <w:p w14:paraId="3FCF3DFF" w14:textId="7899E423" w:rsidR="00EA11A2" w:rsidRPr="001A04ED" w:rsidRDefault="00EA11A2" w:rsidP="00303F3C">
            <w:pPr>
              <w:pStyle w:val="1stParagraph"/>
              <w:contextualSpacing/>
              <w:jc w:val="center"/>
            </w:pPr>
            <w:r w:rsidRPr="001A04ED">
              <w:t>18348.5</w:t>
            </w:r>
          </w:p>
          <w:p w14:paraId="68C6D07A" w14:textId="5A0DFD37" w:rsidR="00104AE8" w:rsidRPr="001A04ED" w:rsidRDefault="00104AE8" w:rsidP="00303F3C">
            <w:pPr>
              <w:pStyle w:val="1stParagraph"/>
              <w:contextualSpacing/>
              <w:jc w:val="center"/>
            </w:pPr>
            <w:r w:rsidRPr="001A04ED">
              <w:t>(5377.6)</w:t>
            </w:r>
          </w:p>
        </w:tc>
        <w:tc>
          <w:tcPr>
            <w:tcW w:w="1350" w:type="dxa"/>
            <w:noWrap/>
            <w:vAlign w:val="center"/>
            <w:hideMark/>
          </w:tcPr>
          <w:p w14:paraId="5AEE3085" w14:textId="4602721D" w:rsidR="00EA11A2" w:rsidRPr="001A04ED" w:rsidRDefault="00EA11A2" w:rsidP="00303F3C">
            <w:pPr>
              <w:pStyle w:val="1stParagraph"/>
              <w:contextualSpacing/>
              <w:jc w:val="center"/>
            </w:pPr>
            <w:r w:rsidRPr="001A04ED">
              <w:t>3657.5</w:t>
            </w:r>
          </w:p>
          <w:p w14:paraId="2E38CA4A" w14:textId="2BD0136E" w:rsidR="006C70D4" w:rsidRPr="001A04ED" w:rsidRDefault="006C70D4" w:rsidP="00303F3C">
            <w:pPr>
              <w:pStyle w:val="1stParagraph"/>
              <w:contextualSpacing/>
              <w:jc w:val="center"/>
            </w:pPr>
            <w:r w:rsidRPr="001A04ED">
              <w:t>(1071.9)</w:t>
            </w:r>
          </w:p>
        </w:tc>
        <w:tc>
          <w:tcPr>
            <w:tcW w:w="1435" w:type="dxa"/>
            <w:noWrap/>
            <w:vAlign w:val="center"/>
            <w:hideMark/>
          </w:tcPr>
          <w:p w14:paraId="57510010" w14:textId="78EB0E3A" w:rsidR="00EA11A2" w:rsidRPr="001A04ED" w:rsidRDefault="00EA11A2" w:rsidP="00303F3C">
            <w:pPr>
              <w:pStyle w:val="1stParagraph"/>
              <w:contextualSpacing/>
              <w:jc w:val="center"/>
            </w:pPr>
            <w:r w:rsidRPr="001A04ED">
              <w:t>2246.4</w:t>
            </w:r>
          </w:p>
          <w:p w14:paraId="53B536EC" w14:textId="29D3CBDB" w:rsidR="00D83C2C" w:rsidRPr="001A04ED" w:rsidRDefault="00D83C2C" w:rsidP="00303F3C">
            <w:pPr>
              <w:pStyle w:val="1stParagraph"/>
              <w:contextualSpacing/>
              <w:jc w:val="center"/>
            </w:pPr>
            <w:r w:rsidRPr="001A04ED">
              <w:t>(658.40</w:t>
            </w:r>
          </w:p>
        </w:tc>
      </w:tr>
      <w:tr w:rsidR="001A04ED" w:rsidRPr="001A04ED" w14:paraId="656BC350" w14:textId="77777777" w:rsidTr="00BD271B">
        <w:trPr>
          <w:trHeight w:val="144"/>
        </w:trPr>
        <w:tc>
          <w:tcPr>
            <w:tcW w:w="2425" w:type="dxa"/>
            <w:noWrap/>
            <w:vAlign w:val="center"/>
            <w:hideMark/>
          </w:tcPr>
          <w:p w14:paraId="72409FB0" w14:textId="59B5F7C1" w:rsidR="00EA11A2" w:rsidRPr="001A04ED" w:rsidRDefault="00EA11A2" w:rsidP="00486654">
            <w:pPr>
              <w:pStyle w:val="1stParagraph"/>
              <w:contextualSpacing/>
              <w:jc w:val="left"/>
            </w:pPr>
            <w:r w:rsidRPr="001A04ED">
              <w:t xml:space="preserve">Cooling and ventilation </w:t>
            </w:r>
          </w:p>
        </w:tc>
        <w:tc>
          <w:tcPr>
            <w:tcW w:w="1530" w:type="dxa"/>
            <w:vAlign w:val="center"/>
          </w:tcPr>
          <w:p w14:paraId="6A407465" w14:textId="7D154C16" w:rsidR="00EA11A2" w:rsidRPr="001A04ED" w:rsidRDefault="00EA11A2" w:rsidP="00303F3C">
            <w:pPr>
              <w:pStyle w:val="1stParagraph"/>
              <w:contextualSpacing/>
              <w:jc w:val="center"/>
            </w:pPr>
            <w:r w:rsidRPr="001A04ED">
              <w:t>95.4</w:t>
            </w:r>
          </w:p>
        </w:tc>
        <w:tc>
          <w:tcPr>
            <w:tcW w:w="1260" w:type="dxa"/>
            <w:noWrap/>
            <w:vAlign w:val="center"/>
            <w:hideMark/>
          </w:tcPr>
          <w:p w14:paraId="678BFF83" w14:textId="77777777" w:rsidR="00EA11A2" w:rsidRPr="001A04ED" w:rsidRDefault="00EA11A2" w:rsidP="00303F3C">
            <w:pPr>
              <w:pStyle w:val="1stParagraph"/>
              <w:contextualSpacing/>
              <w:jc w:val="center"/>
            </w:pPr>
            <w:r w:rsidRPr="001A04ED">
              <w:t>0.0</w:t>
            </w:r>
          </w:p>
          <w:p w14:paraId="343B25FD" w14:textId="6045BDC9" w:rsidR="004C5E51" w:rsidRPr="001A04ED" w:rsidRDefault="004C5E51" w:rsidP="00303F3C">
            <w:pPr>
              <w:pStyle w:val="1stParagraph"/>
              <w:contextualSpacing/>
              <w:jc w:val="center"/>
            </w:pPr>
            <w:r w:rsidRPr="001A04ED">
              <w:t>(0.0)</w:t>
            </w:r>
          </w:p>
        </w:tc>
        <w:tc>
          <w:tcPr>
            <w:tcW w:w="1350" w:type="dxa"/>
            <w:noWrap/>
            <w:vAlign w:val="center"/>
            <w:hideMark/>
          </w:tcPr>
          <w:p w14:paraId="6959C67B" w14:textId="3D31B0ED" w:rsidR="00EA11A2" w:rsidRPr="001A04ED" w:rsidRDefault="00EA11A2" w:rsidP="00303F3C">
            <w:pPr>
              <w:pStyle w:val="1stParagraph"/>
              <w:contextualSpacing/>
              <w:jc w:val="center"/>
            </w:pPr>
            <w:r w:rsidRPr="001A04ED">
              <w:t>131030.3</w:t>
            </w:r>
          </w:p>
          <w:p w14:paraId="5C2D28E9" w14:textId="4E7A925D" w:rsidR="00FD69AB" w:rsidRPr="001A04ED" w:rsidRDefault="00FD69AB" w:rsidP="00303F3C">
            <w:pPr>
              <w:pStyle w:val="1stParagraph"/>
              <w:contextualSpacing/>
              <w:jc w:val="center"/>
            </w:pPr>
            <w:r w:rsidRPr="001A04ED">
              <w:t>(38402.7)</w:t>
            </w:r>
          </w:p>
        </w:tc>
        <w:tc>
          <w:tcPr>
            <w:tcW w:w="1350" w:type="dxa"/>
            <w:noWrap/>
            <w:vAlign w:val="center"/>
            <w:hideMark/>
          </w:tcPr>
          <w:p w14:paraId="698E7274" w14:textId="1E23A197" w:rsidR="00EA11A2" w:rsidRPr="001A04ED" w:rsidRDefault="00EA11A2" w:rsidP="00303F3C">
            <w:pPr>
              <w:pStyle w:val="1stParagraph"/>
              <w:contextualSpacing/>
              <w:jc w:val="center"/>
            </w:pPr>
            <w:r w:rsidRPr="001A04ED">
              <w:t>9501.0</w:t>
            </w:r>
          </w:p>
          <w:p w14:paraId="4B874FDB" w14:textId="7309457B" w:rsidR="00433312" w:rsidRPr="001A04ED" w:rsidRDefault="00433312" w:rsidP="00303F3C">
            <w:pPr>
              <w:pStyle w:val="1stParagraph"/>
              <w:contextualSpacing/>
              <w:jc w:val="center"/>
            </w:pPr>
            <w:r w:rsidRPr="001A04ED">
              <w:t>(2784.5)</w:t>
            </w:r>
          </w:p>
        </w:tc>
        <w:tc>
          <w:tcPr>
            <w:tcW w:w="1435" w:type="dxa"/>
            <w:noWrap/>
            <w:vAlign w:val="center"/>
            <w:hideMark/>
          </w:tcPr>
          <w:p w14:paraId="16821B59" w14:textId="4CE6BB26" w:rsidR="00EA11A2" w:rsidRPr="001A04ED" w:rsidRDefault="00EA11A2" w:rsidP="00303F3C">
            <w:pPr>
              <w:pStyle w:val="1stParagraph"/>
              <w:contextualSpacing/>
              <w:jc w:val="center"/>
            </w:pPr>
            <w:r w:rsidRPr="001A04ED">
              <w:t>9658.1</w:t>
            </w:r>
          </w:p>
          <w:p w14:paraId="210F5CE7" w14:textId="36399103" w:rsidR="00D83C2C" w:rsidRPr="001A04ED" w:rsidRDefault="00D83C2C" w:rsidP="00303F3C">
            <w:pPr>
              <w:pStyle w:val="1stParagraph"/>
              <w:contextualSpacing/>
              <w:jc w:val="center"/>
            </w:pPr>
            <w:r w:rsidRPr="001A04ED">
              <w:t>(2830.6)</w:t>
            </w:r>
          </w:p>
        </w:tc>
      </w:tr>
      <w:tr w:rsidR="001A04ED" w:rsidRPr="001A04ED" w14:paraId="7A1AE34F" w14:textId="77777777" w:rsidTr="00BD271B">
        <w:trPr>
          <w:trHeight w:val="144"/>
        </w:trPr>
        <w:tc>
          <w:tcPr>
            <w:tcW w:w="2425" w:type="dxa"/>
            <w:noWrap/>
            <w:vAlign w:val="center"/>
            <w:hideMark/>
          </w:tcPr>
          <w:p w14:paraId="7230B325" w14:textId="1F2872B7" w:rsidR="00EA11A2" w:rsidRPr="001A04ED" w:rsidRDefault="00EA11A2" w:rsidP="00486654">
            <w:pPr>
              <w:pStyle w:val="1stParagraph"/>
              <w:contextualSpacing/>
              <w:jc w:val="left"/>
            </w:pPr>
            <w:r w:rsidRPr="001A04ED">
              <w:t xml:space="preserve">Cooking </w:t>
            </w:r>
          </w:p>
        </w:tc>
        <w:tc>
          <w:tcPr>
            <w:tcW w:w="1530" w:type="dxa"/>
            <w:vAlign w:val="center"/>
          </w:tcPr>
          <w:p w14:paraId="150F17D8" w14:textId="10E7417B" w:rsidR="00EA11A2" w:rsidRPr="001A04ED" w:rsidRDefault="00EA11A2" w:rsidP="00303F3C">
            <w:pPr>
              <w:pStyle w:val="1stParagraph"/>
              <w:contextualSpacing/>
              <w:jc w:val="center"/>
            </w:pPr>
            <w:r w:rsidRPr="001A04ED">
              <w:t>99.8</w:t>
            </w:r>
          </w:p>
        </w:tc>
        <w:tc>
          <w:tcPr>
            <w:tcW w:w="1260" w:type="dxa"/>
            <w:noWrap/>
            <w:vAlign w:val="center"/>
            <w:hideMark/>
          </w:tcPr>
          <w:p w14:paraId="1D773F1D" w14:textId="77777777" w:rsidR="00EA11A2" w:rsidRPr="001A04ED" w:rsidRDefault="00EA11A2" w:rsidP="00303F3C">
            <w:pPr>
              <w:pStyle w:val="1stParagraph"/>
              <w:contextualSpacing/>
              <w:jc w:val="center"/>
            </w:pPr>
            <w:r w:rsidRPr="001A04ED">
              <w:t>0.0</w:t>
            </w:r>
          </w:p>
          <w:p w14:paraId="51557F89" w14:textId="7A7428F3" w:rsidR="004C5E51" w:rsidRPr="001A04ED" w:rsidRDefault="004C5E51" w:rsidP="00303F3C">
            <w:pPr>
              <w:pStyle w:val="1stParagraph"/>
              <w:contextualSpacing/>
              <w:jc w:val="center"/>
            </w:pPr>
            <w:r w:rsidRPr="001A04ED">
              <w:t>(0.0)</w:t>
            </w:r>
          </w:p>
        </w:tc>
        <w:tc>
          <w:tcPr>
            <w:tcW w:w="1350" w:type="dxa"/>
            <w:noWrap/>
            <w:vAlign w:val="center"/>
            <w:hideMark/>
          </w:tcPr>
          <w:p w14:paraId="4B737E52" w14:textId="2740ABFE" w:rsidR="00EA11A2" w:rsidRPr="001A04ED" w:rsidRDefault="00EA11A2" w:rsidP="00303F3C">
            <w:pPr>
              <w:pStyle w:val="1stParagraph"/>
              <w:contextualSpacing/>
              <w:jc w:val="center"/>
            </w:pPr>
            <w:r w:rsidRPr="001A04ED">
              <w:t>19832.3</w:t>
            </w:r>
          </w:p>
          <w:p w14:paraId="580A9697" w14:textId="69D8532A" w:rsidR="00FD69AB" w:rsidRPr="001A04ED" w:rsidRDefault="00FD69AB" w:rsidP="00303F3C">
            <w:pPr>
              <w:pStyle w:val="1stParagraph"/>
              <w:contextualSpacing/>
              <w:jc w:val="center"/>
            </w:pPr>
            <w:r w:rsidRPr="001A04ED">
              <w:t>(5812.5)</w:t>
            </w:r>
          </w:p>
        </w:tc>
        <w:tc>
          <w:tcPr>
            <w:tcW w:w="1350" w:type="dxa"/>
            <w:noWrap/>
            <w:vAlign w:val="center"/>
            <w:hideMark/>
          </w:tcPr>
          <w:p w14:paraId="5CEC559A" w14:textId="67C9A190" w:rsidR="00EA11A2" w:rsidRPr="001A04ED" w:rsidRDefault="00EA11A2" w:rsidP="00303F3C">
            <w:pPr>
              <w:pStyle w:val="1stParagraph"/>
              <w:contextualSpacing/>
              <w:jc w:val="center"/>
            </w:pPr>
            <w:r w:rsidRPr="001A04ED">
              <w:t>1852.8</w:t>
            </w:r>
          </w:p>
          <w:p w14:paraId="2940074F" w14:textId="39CFA239" w:rsidR="00200355" w:rsidRPr="001A04ED" w:rsidRDefault="00200355" w:rsidP="00303F3C">
            <w:pPr>
              <w:pStyle w:val="1stParagraph"/>
              <w:contextualSpacing/>
              <w:jc w:val="center"/>
            </w:pPr>
            <w:r w:rsidRPr="001A04ED">
              <w:t>(543.0)</w:t>
            </w:r>
          </w:p>
        </w:tc>
        <w:tc>
          <w:tcPr>
            <w:tcW w:w="1435" w:type="dxa"/>
            <w:noWrap/>
            <w:vAlign w:val="center"/>
            <w:hideMark/>
          </w:tcPr>
          <w:p w14:paraId="30C38C1A" w14:textId="0C1AABD8" w:rsidR="00EA11A2" w:rsidRPr="001A04ED" w:rsidRDefault="00EA11A2" w:rsidP="00303F3C">
            <w:pPr>
              <w:pStyle w:val="1stParagraph"/>
              <w:contextualSpacing/>
              <w:jc w:val="center"/>
            </w:pPr>
            <w:r w:rsidRPr="001A04ED">
              <w:t>1425.8</w:t>
            </w:r>
          </w:p>
          <w:p w14:paraId="18651D1F" w14:textId="009A4225" w:rsidR="004D677C" w:rsidRPr="001A04ED" w:rsidRDefault="004D677C" w:rsidP="00303F3C">
            <w:pPr>
              <w:pStyle w:val="1stParagraph"/>
              <w:contextualSpacing/>
              <w:jc w:val="center"/>
            </w:pPr>
            <w:r w:rsidRPr="001A04ED">
              <w:t>(417.9)</w:t>
            </w:r>
          </w:p>
        </w:tc>
      </w:tr>
      <w:tr w:rsidR="001A04ED" w:rsidRPr="001A04ED" w14:paraId="75AE8E84" w14:textId="77777777" w:rsidTr="00BD271B">
        <w:trPr>
          <w:trHeight w:val="144"/>
        </w:trPr>
        <w:tc>
          <w:tcPr>
            <w:tcW w:w="2425" w:type="dxa"/>
            <w:noWrap/>
            <w:vAlign w:val="center"/>
            <w:hideMark/>
          </w:tcPr>
          <w:p w14:paraId="748F3E9D" w14:textId="6DC59784" w:rsidR="00EA11A2" w:rsidRPr="001A04ED" w:rsidRDefault="00EA11A2" w:rsidP="00486654">
            <w:pPr>
              <w:pStyle w:val="1stParagraph"/>
              <w:contextualSpacing/>
              <w:jc w:val="left"/>
            </w:pPr>
            <w:r w:rsidRPr="001A04ED">
              <w:t xml:space="preserve">Washing and drying </w:t>
            </w:r>
          </w:p>
        </w:tc>
        <w:tc>
          <w:tcPr>
            <w:tcW w:w="1530" w:type="dxa"/>
            <w:vAlign w:val="center"/>
          </w:tcPr>
          <w:p w14:paraId="0FFC6678" w14:textId="618D71AD" w:rsidR="00EA11A2" w:rsidRPr="001A04ED" w:rsidRDefault="00EA11A2" w:rsidP="00303F3C">
            <w:pPr>
              <w:pStyle w:val="1stParagraph"/>
              <w:contextualSpacing/>
              <w:jc w:val="center"/>
            </w:pPr>
            <w:r w:rsidRPr="001A04ED">
              <w:t>92.6</w:t>
            </w:r>
          </w:p>
        </w:tc>
        <w:tc>
          <w:tcPr>
            <w:tcW w:w="1260" w:type="dxa"/>
            <w:noWrap/>
            <w:vAlign w:val="center"/>
            <w:hideMark/>
          </w:tcPr>
          <w:p w14:paraId="7FB59E22" w14:textId="77777777" w:rsidR="00EA11A2" w:rsidRPr="001A04ED" w:rsidRDefault="00EA11A2" w:rsidP="00303F3C">
            <w:pPr>
              <w:pStyle w:val="1stParagraph"/>
              <w:contextualSpacing/>
              <w:jc w:val="center"/>
            </w:pPr>
            <w:r w:rsidRPr="001A04ED">
              <w:t>0.0</w:t>
            </w:r>
          </w:p>
          <w:p w14:paraId="3662030C" w14:textId="3CD0937E" w:rsidR="004C5E51" w:rsidRPr="001A04ED" w:rsidRDefault="004C5E51" w:rsidP="00303F3C">
            <w:pPr>
              <w:pStyle w:val="1stParagraph"/>
              <w:contextualSpacing/>
              <w:jc w:val="center"/>
            </w:pPr>
            <w:r w:rsidRPr="001A04ED">
              <w:t>(0.0)</w:t>
            </w:r>
          </w:p>
        </w:tc>
        <w:tc>
          <w:tcPr>
            <w:tcW w:w="1350" w:type="dxa"/>
            <w:noWrap/>
            <w:vAlign w:val="center"/>
            <w:hideMark/>
          </w:tcPr>
          <w:p w14:paraId="10F56065" w14:textId="3DB91F47" w:rsidR="00EA11A2" w:rsidRPr="001A04ED" w:rsidRDefault="00EA11A2" w:rsidP="00303F3C">
            <w:pPr>
              <w:pStyle w:val="1stParagraph"/>
              <w:contextualSpacing/>
              <w:jc w:val="center"/>
            </w:pPr>
            <w:r w:rsidRPr="001A04ED">
              <w:t>21092.0</w:t>
            </w:r>
          </w:p>
          <w:p w14:paraId="691BC07E" w14:textId="0C545DCC" w:rsidR="000302EF" w:rsidRPr="001A04ED" w:rsidRDefault="000302EF" w:rsidP="00303F3C">
            <w:pPr>
              <w:pStyle w:val="1stParagraph"/>
              <w:contextualSpacing/>
              <w:jc w:val="center"/>
            </w:pPr>
            <w:r w:rsidRPr="001A04ED">
              <w:t>(6181.7)</w:t>
            </w:r>
          </w:p>
        </w:tc>
        <w:tc>
          <w:tcPr>
            <w:tcW w:w="1350" w:type="dxa"/>
            <w:noWrap/>
            <w:vAlign w:val="center"/>
            <w:hideMark/>
          </w:tcPr>
          <w:p w14:paraId="03534096" w14:textId="2256DE0A" w:rsidR="00EA11A2" w:rsidRPr="001A04ED" w:rsidRDefault="00EA11A2" w:rsidP="00303F3C">
            <w:pPr>
              <w:pStyle w:val="1stParagraph"/>
              <w:contextualSpacing/>
              <w:jc w:val="center"/>
            </w:pPr>
            <w:r w:rsidRPr="001A04ED">
              <w:t>2694.0</w:t>
            </w:r>
          </w:p>
          <w:p w14:paraId="68B49982" w14:textId="2E8CFDD4" w:rsidR="009418B0" w:rsidRPr="001A04ED" w:rsidRDefault="009418B0" w:rsidP="00303F3C">
            <w:pPr>
              <w:pStyle w:val="1stParagraph"/>
              <w:contextualSpacing/>
              <w:jc w:val="center"/>
            </w:pPr>
            <w:r w:rsidRPr="001A04ED">
              <w:t>(789.5)</w:t>
            </w:r>
          </w:p>
        </w:tc>
        <w:tc>
          <w:tcPr>
            <w:tcW w:w="1435" w:type="dxa"/>
            <w:noWrap/>
            <w:vAlign w:val="center"/>
            <w:hideMark/>
          </w:tcPr>
          <w:p w14:paraId="65E5A116" w14:textId="1CBCAE19" w:rsidR="00EA11A2" w:rsidRPr="001A04ED" w:rsidRDefault="00EA11A2" w:rsidP="00303F3C">
            <w:pPr>
              <w:pStyle w:val="1stParagraph"/>
              <w:contextualSpacing/>
              <w:jc w:val="center"/>
            </w:pPr>
            <w:r w:rsidRPr="001A04ED">
              <w:t>2275.3</w:t>
            </w:r>
          </w:p>
          <w:p w14:paraId="7371F41A" w14:textId="44E69F64" w:rsidR="00EE208F" w:rsidRPr="001A04ED" w:rsidRDefault="00EE208F" w:rsidP="00303F3C">
            <w:pPr>
              <w:pStyle w:val="1stParagraph"/>
              <w:contextualSpacing/>
              <w:jc w:val="center"/>
            </w:pPr>
            <w:r w:rsidRPr="001A04ED">
              <w:t>(666.8)</w:t>
            </w:r>
          </w:p>
        </w:tc>
      </w:tr>
      <w:tr w:rsidR="001A04ED" w:rsidRPr="001A04ED" w14:paraId="0BD8FADE" w14:textId="77777777" w:rsidTr="00BD271B">
        <w:trPr>
          <w:trHeight w:val="144"/>
        </w:trPr>
        <w:tc>
          <w:tcPr>
            <w:tcW w:w="2425" w:type="dxa"/>
            <w:noWrap/>
            <w:vAlign w:val="center"/>
            <w:hideMark/>
          </w:tcPr>
          <w:p w14:paraId="449E4E92" w14:textId="0C1D9D6E" w:rsidR="00EA11A2" w:rsidRPr="001A04ED" w:rsidRDefault="00EA11A2" w:rsidP="00486654">
            <w:pPr>
              <w:pStyle w:val="1stParagraph"/>
              <w:contextualSpacing/>
              <w:jc w:val="left"/>
            </w:pPr>
            <w:r w:rsidRPr="001A04ED">
              <w:t xml:space="preserve">Lighting </w:t>
            </w:r>
          </w:p>
        </w:tc>
        <w:tc>
          <w:tcPr>
            <w:tcW w:w="1530" w:type="dxa"/>
            <w:vAlign w:val="center"/>
          </w:tcPr>
          <w:p w14:paraId="3380DAED" w14:textId="3FC72DCE" w:rsidR="00EA11A2" w:rsidRPr="001A04ED" w:rsidRDefault="00EA11A2" w:rsidP="00303F3C">
            <w:pPr>
              <w:pStyle w:val="1stParagraph"/>
              <w:contextualSpacing/>
              <w:jc w:val="center"/>
            </w:pPr>
            <w:r w:rsidRPr="001A04ED">
              <w:t>100.0</w:t>
            </w:r>
          </w:p>
        </w:tc>
        <w:tc>
          <w:tcPr>
            <w:tcW w:w="1260" w:type="dxa"/>
            <w:noWrap/>
            <w:vAlign w:val="center"/>
            <w:hideMark/>
          </w:tcPr>
          <w:p w14:paraId="41D3E496" w14:textId="061060AC" w:rsidR="00EA11A2" w:rsidRPr="001A04ED" w:rsidRDefault="00EA11A2" w:rsidP="00303F3C">
            <w:pPr>
              <w:pStyle w:val="1stParagraph"/>
              <w:contextualSpacing/>
              <w:jc w:val="center"/>
            </w:pPr>
            <w:r w:rsidRPr="001A04ED">
              <w:t>13.3</w:t>
            </w:r>
          </w:p>
          <w:p w14:paraId="0839112E" w14:textId="265DBD45" w:rsidR="00EC35E6" w:rsidRPr="001A04ED" w:rsidRDefault="00EC35E6" w:rsidP="00303F3C">
            <w:pPr>
              <w:pStyle w:val="1stParagraph"/>
              <w:contextualSpacing/>
              <w:jc w:val="center"/>
            </w:pPr>
            <w:r w:rsidRPr="001A04ED">
              <w:t>(3.9)</w:t>
            </w:r>
          </w:p>
        </w:tc>
        <w:tc>
          <w:tcPr>
            <w:tcW w:w="1350" w:type="dxa"/>
            <w:noWrap/>
            <w:vAlign w:val="center"/>
            <w:hideMark/>
          </w:tcPr>
          <w:p w14:paraId="515E24F8" w14:textId="47313A21" w:rsidR="00EA11A2" w:rsidRPr="001A04ED" w:rsidRDefault="00EA11A2" w:rsidP="00303F3C">
            <w:pPr>
              <w:pStyle w:val="1stParagraph"/>
              <w:contextualSpacing/>
              <w:jc w:val="center"/>
            </w:pPr>
            <w:r w:rsidRPr="001A04ED">
              <w:t>46486.0</w:t>
            </w:r>
          </w:p>
          <w:p w14:paraId="1054D8E5" w14:textId="49820371" w:rsidR="000302EF" w:rsidRPr="001A04ED" w:rsidRDefault="000302EF" w:rsidP="00303F3C">
            <w:pPr>
              <w:pStyle w:val="1stParagraph"/>
              <w:contextualSpacing/>
              <w:jc w:val="center"/>
            </w:pPr>
            <w:r w:rsidRPr="001A04ED">
              <w:t>(13624.2)</w:t>
            </w:r>
          </w:p>
        </w:tc>
        <w:tc>
          <w:tcPr>
            <w:tcW w:w="1350" w:type="dxa"/>
            <w:noWrap/>
            <w:vAlign w:val="center"/>
            <w:hideMark/>
          </w:tcPr>
          <w:p w14:paraId="30D91B46" w14:textId="6D19F87D" w:rsidR="00EA11A2" w:rsidRPr="001A04ED" w:rsidRDefault="00EA11A2" w:rsidP="00303F3C">
            <w:pPr>
              <w:pStyle w:val="1stParagraph"/>
              <w:contextualSpacing/>
              <w:jc w:val="center"/>
            </w:pPr>
            <w:r w:rsidRPr="001A04ED">
              <w:t>2335.1</w:t>
            </w:r>
          </w:p>
          <w:p w14:paraId="22119219" w14:textId="47EBD2C5" w:rsidR="009418B0" w:rsidRPr="001A04ED" w:rsidRDefault="009418B0" w:rsidP="00303F3C">
            <w:pPr>
              <w:pStyle w:val="1stParagraph"/>
              <w:contextualSpacing/>
              <w:jc w:val="center"/>
            </w:pPr>
            <w:r w:rsidRPr="001A04ED">
              <w:t>(684.3)</w:t>
            </w:r>
          </w:p>
        </w:tc>
        <w:tc>
          <w:tcPr>
            <w:tcW w:w="1435" w:type="dxa"/>
            <w:noWrap/>
            <w:vAlign w:val="center"/>
            <w:hideMark/>
          </w:tcPr>
          <w:p w14:paraId="4B60189C" w14:textId="1FC963CD" w:rsidR="00EA11A2" w:rsidRPr="001A04ED" w:rsidRDefault="00EA11A2" w:rsidP="00303F3C">
            <w:pPr>
              <w:pStyle w:val="1stParagraph"/>
              <w:contextualSpacing/>
              <w:jc w:val="center"/>
            </w:pPr>
            <w:r w:rsidRPr="001A04ED">
              <w:t>2888.3</w:t>
            </w:r>
          </w:p>
          <w:p w14:paraId="171E98CF" w14:textId="5C64BEC8" w:rsidR="00EE208F" w:rsidRPr="001A04ED" w:rsidRDefault="00EE208F" w:rsidP="00303F3C">
            <w:pPr>
              <w:pStyle w:val="1stParagraph"/>
              <w:contextualSpacing/>
              <w:jc w:val="center"/>
            </w:pPr>
            <w:r w:rsidRPr="001A04ED">
              <w:t>(846.5)</w:t>
            </w:r>
          </w:p>
        </w:tc>
      </w:tr>
      <w:tr w:rsidR="001A04ED" w:rsidRPr="001A04ED" w14:paraId="60762E25" w14:textId="77777777" w:rsidTr="00BD271B">
        <w:trPr>
          <w:trHeight w:val="144"/>
        </w:trPr>
        <w:tc>
          <w:tcPr>
            <w:tcW w:w="2425" w:type="dxa"/>
            <w:noWrap/>
            <w:vAlign w:val="center"/>
            <w:hideMark/>
          </w:tcPr>
          <w:p w14:paraId="1E1CDCEF" w14:textId="009DA669" w:rsidR="00EA11A2" w:rsidRPr="001A04ED" w:rsidRDefault="00EA11A2" w:rsidP="00486654">
            <w:pPr>
              <w:pStyle w:val="1stParagraph"/>
              <w:contextualSpacing/>
              <w:jc w:val="left"/>
            </w:pPr>
            <w:r w:rsidRPr="001A04ED">
              <w:t xml:space="preserve">EV charging </w:t>
            </w:r>
          </w:p>
        </w:tc>
        <w:tc>
          <w:tcPr>
            <w:tcW w:w="1530" w:type="dxa"/>
            <w:vAlign w:val="center"/>
          </w:tcPr>
          <w:p w14:paraId="3F0C0AD8" w14:textId="52A41DBC" w:rsidR="00EA11A2" w:rsidRPr="001A04ED" w:rsidRDefault="003D2A43" w:rsidP="00303F3C">
            <w:pPr>
              <w:pStyle w:val="1stParagraph"/>
              <w:contextualSpacing/>
              <w:jc w:val="center"/>
            </w:pPr>
            <w:r w:rsidRPr="001A04ED">
              <w:t>1.</w:t>
            </w:r>
            <w:r w:rsidR="00BF0C98" w:rsidRPr="001A04ED">
              <w:t>2</w:t>
            </w:r>
          </w:p>
        </w:tc>
        <w:tc>
          <w:tcPr>
            <w:tcW w:w="1260" w:type="dxa"/>
            <w:noWrap/>
            <w:vAlign w:val="center"/>
            <w:hideMark/>
          </w:tcPr>
          <w:p w14:paraId="52C63FD2" w14:textId="77777777" w:rsidR="00EA11A2" w:rsidRPr="001A04ED" w:rsidRDefault="00EA11A2" w:rsidP="00303F3C">
            <w:pPr>
              <w:pStyle w:val="1stParagraph"/>
              <w:contextualSpacing/>
              <w:jc w:val="center"/>
            </w:pPr>
            <w:r w:rsidRPr="001A04ED">
              <w:t>0.0</w:t>
            </w:r>
          </w:p>
          <w:p w14:paraId="54547ED6" w14:textId="39012144" w:rsidR="004C5E51" w:rsidRPr="001A04ED" w:rsidRDefault="004C5E51" w:rsidP="00303F3C">
            <w:pPr>
              <w:pStyle w:val="1stParagraph"/>
              <w:contextualSpacing/>
              <w:jc w:val="center"/>
            </w:pPr>
            <w:r w:rsidRPr="001A04ED">
              <w:t>(0.0)</w:t>
            </w:r>
          </w:p>
        </w:tc>
        <w:tc>
          <w:tcPr>
            <w:tcW w:w="1350" w:type="dxa"/>
            <w:noWrap/>
            <w:vAlign w:val="center"/>
            <w:hideMark/>
          </w:tcPr>
          <w:p w14:paraId="70783B03" w14:textId="0D65293B" w:rsidR="00EA11A2" w:rsidRPr="001A04ED" w:rsidRDefault="00EA11A2" w:rsidP="00303F3C">
            <w:pPr>
              <w:pStyle w:val="1stParagraph"/>
              <w:contextualSpacing/>
              <w:jc w:val="center"/>
            </w:pPr>
            <w:r w:rsidRPr="001A04ED">
              <w:t>77599.6</w:t>
            </w:r>
          </w:p>
          <w:p w14:paraId="4892B28E" w14:textId="174A30A9" w:rsidR="00714DB0" w:rsidRPr="001A04ED" w:rsidRDefault="00714DB0" w:rsidP="00303F3C">
            <w:pPr>
              <w:pStyle w:val="1stParagraph"/>
              <w:contextualSpacing/>
              <w:jc w:val="center"/>
            </w:pPr>
            <w:r w:rsidRPr="001A04ED">
              <w:t>(22743.1)</w:t>
            </w:r>
          </w:p>
        </w:tc>
        <w:tc>
          <w:tcPr>
            <w:tcW w:w="1350" w:type="dxa"/>
            <w:noWrap/>
            <w:vAlign w:val="center"/>
            <w:hideMark/>
          </w:tcPr>
          <w:p w14:paraId="40E6561B" w14:textId="3C46D7DE" w:rsidR="00EA11A2" w:rsidRPr="001A04ED" w:rsidRDefault="00EA11A2" w:rsidP="00303F3C">
            <w:pPr>
              <w:pStyle w:val="1stParagraph"/>
              <w:contextualSpacing/>
              <w:jc w:val="center"/>
            </w:pPr>
            <w:r w:rsidRPr="001A04ED">
              <w:t>10423.6</w:t>
            </w:r>
          </w:p>
          <w:p w14:paraId="3ED8D11F" w14:textId="698A2718" w:rsidR="000E5D16" w:rsidRPr="001A04ED" w:rsidRDefault="000E5D16" w:rsidP="00303F3C">
            <w:pPr>
              <w:pStyle w:val="1stParagraph"/>
              <w:contextualSpacing/>
              <w:jc w:val="center"/>
            </w:pPr>
            <w:r w:rsidRPr="001A04ED">
              <w:t>(3055.0)</w:t>
            </w:r>
          </w:p>
        </w:tc>
        <w:tc>
          <w:tcPr>
            <w:tcW w:w="1435" w:type="dxa"/>
            <w:noWrap/>
            <w:vAlign w:val="center"/>
            <w:hideMark/>
          </w:tcPr>
          <w:p w14:paraId="6A0FC24C" w14:textId="40A9E80F" w:rsidR="00EA11A2" w:rsidRPr="001A04ED" w:rsidRDefault="00EA11A2" w:rsidP="00303F3C">
            <w:pPr>
              <w:pStyle w:val="1stParagraph"/>
              <w:contextualSpacing/>
              <w:jc w:val="center"/>
            </w:pPr>
            <w:r w:rsidRPr="001A04ED">
              <w:t>12334.4</w:t>
            </w:r>
          </w:p>
          <w:p w14:paraId="1EDB5C71" w14:textId="2C2E55DD" w:rsidR="006636FC" w:rsidRPr="001A04ED" w:rsidRDefault="006636FC" w:rsidP="00303F3C">
            <w:pPr>
              <w:pStyle w:val="1stParagraph"/>
              <w:contextualSpacing/>
              <w:jc w:val="center"/>
            </w:pPr>
            <w:r w:rsidRPr="001A04ED">
              <w:t>(3615.0)</w:t>
            </w:r>
          </w:p>
        </w:tc>
      </w:tr>
      <w:tr w:rsidR="001A04ED" w:rsidRPr="001A04ED" w14:paraId="640CB864" w14:textId="77777777" w:rsidTr="00BD271B">
        <w:trPr>
          <w:trHeight w:val="144"/>
        </w:trPr>
        <w:tc>
          <w:tcPr>
            <w:tcW w:w="2425" w:type="dxa"/>
            <w:noWrap/>
            <w:vAlign w:val="center"/>
            <w:hideMark/>
          </w:tcPr>
          <w:p w14:paraId="30D52C24" w14:textId="7CE27CC9" w:rsidR="00EA11A2" w:rsidRPr="001A04ED" w:rsidRDefault="00EA11A2" w:rsidP="00486654">
            <w:pPr>
              <w:pStyle w:val="1stParagraph"/>
              <w:contextualSpacing/>
              <w:jc w:val="left"/>
            </w:pPr>
            <w:r w:rsidRPr="001A04ED">
              <w:t>Miscellaneous activities</w:t>
            </w:r>
          </w:p>
        </w:tc>
        <w:tc>
          <w:tcPr>
            <w:tcW w:w="1530" w:type="dxa"/>
            <w:vAlign w:val="center"/>
          </w:tcPr>
          <w:p w14:paraId="121D2218" w14:textId="6FB6F090" w:rsidR="00EA11A2" w:rsidRPr="001A04ED" w:rsidRDefault="00EA11A2" w:rsidP="00303F3C">
            <w:pPr>
              <w:pStyle w:val="1stParagraph"/>
              <w:contextualSpacing/>
              <w:jc w:val="center"/>
            </w:pPr>
            <w:r w:rsidRPr="001A04ED">
              <w:t>100.0</w:t>
            </w:r>
          </w:p>
        </w:tc>
        <w:tc>
          <w:tcPr>
            <w:tcW w:w="1260" w:type="dxa"/>
            <w:noWrap/>
            <w:vAlign w:val="center"/>
            <w:hideMark/>
          </w:tcPr>
          <w:p w14:paraId="0093A810" w14:textId="5B115701" w:rsidR="00EA11A2" w:rsidRPr="001A04ED" w:rsidRDefault="00EA11A2" w:rsidP="00303F3C">
            <w:pPr>
              <w:pStyle w:val="1stParagraph"/>
              <w:contextualSpacing/>
              <w:jc w:val="center"/>
            </w:pPr>
            <w:r w:rsidRPr="001A04ED">
              <w:t>57.</w:t>
            </w:r>
            <w:r w:rsidR="00F24887" w:rsidRPr="001A04ED">
              <w:t>1</w:t>
            </w:r>
          </w:p>
          <w:p w14:paraId="7D0B2DBA" w14:textId="5D02DBB7" w:rsidR="00DB7355" w:rsidRPr="001A04ED" w:rsidRDefault="00DB7355" w:rsidP="00303F3C">
            <w:pPr>
              <w:pStyle w:val="1stParagraph"/>
              <w:contextualSpacing/>
              <w:jc w:val="center"/>
            </w:pPr>
            <w:r w:rsidRPr="001A04ED">
              <w:t>(16.7)</w:t>
            </w:r>
          </w:p>
        </w:tc>
        <w:tc>
          <w:tcPr>
            <w:tcW w:w="1350" w:type="dxa"/>
            <w:noWrap/>
            <w:vAlign w:val="center"/>
            <w:hideMark/>
          </w:tcPr>
          <w:p w14:paraId="59FECB5F" w14:textId="27A220BF" w:rsidR="00EA11A2" w:rsidRPr="001A04ED" w:rsidRDefault="00EA11A2" w:rsidP="00303F3C">
            <w:pPr>
              <w:pStyle w:val="1stParagraph"/>
              <w:contextualSpacing/>
              <w:jc w:val="center"/>
            </w:pPr>
            <w:r w:rsidRPr="001A04ED">
              <w:t>779554.2</w:t>
            </w:r>
          </w:p>
          <w:p w14:paraId="30E631CE" w14:textId="738A5403" w:rsidR="008E0E4E" w:rsidRPr="001A04ED" w:rsidRDefault="008E0E4E" w:rsidP="00303F3C">
            <w:pPr>
              <w:pStyle w:val="1stParagraph"/>
              <w:contextualSpacing/>
              <w:jc w:val="center"/>
            </w:pPr>
            <w:r w:rsidRPr="001A04ED">
              <w:t>(228474.2)</w:t>
            </w:r>
          </w:p>
        </w:tc>
        <w:tc>
          <w:tcPr>
            <w:tcW w:w="1350" w:type="dxa"/>
            <w:noWrap/>
            <w:vAlign w:val="center"/>
            <w:hideMark/>
          </w:tcPr>
          <w:p w14:paraId="274067B0" w14:textId="78277BDA" w:rsidR="00EA11A2" w:rsidRPr="001A04ED" w:rsidRDefault="00EA11A2" w:rsidP="00303F3C">
            <w:pPr>
              <w:pStyle w:val="1stParagraph"/>
              <w:contextualSpacing/>
              <w:jc w:val="center"/>
            </w:pPr>
            <w:r w:rsidRPr="001A04ED">
              <w:t>9917.6</w:t>
            </w:r>
          </w:p>
          <w:p w14:paraId="0A1181C8" w14:textId="453E575C" w:rsidR="000E5D16" w:rsidRPr="001A04ED" w:rsidRDefault="000E5D16" w:rsidP="00303F3C">
            <w:pPr>
              <w:pStyle w:val="1stParagraph"/>
              <w:contextualSpacing/>
              <w:jc w:val="center"/>
            </w:pPr>
            <w:r w:rsidRPr="001A04ED">
              <w:t>(2906.7)</w:t>
            </w:r>
          </w:p>
        </w:tc>
        <w:tc>
          <w:tcPr>
            <w:tcW w:w="1435" w:type="dxa"/>
            <w:noWrap/>
            <w:vAlign w:val="center"/>
            <w:hideMark/>
          </w:tcPr>
          <w:p w14:paraId="12A2A98F" w14:textId="34330E12" w:rsidR="00EA11A2" w:rsidRPr="001A04ED" w:rsidRDefault="00EA11A2" w:rsidP="00303F3C">
            <w:pPr>
              <w:pStyle w:val="1stParagraph"/>
              <w:contextualSpacing/>
              <w:jc w:val="center"/>
            </w:pPr>
            <w:r w:rsidRPr="001A04ED">
              <w:t>17236.7</w:t>
            </w:r>
          </w:p>
          <w:p w14:paraId="5CAC963E" w14:textId="678590C8" w:rsidR="006636FC" w:rsidRPr="001A04ED" w:rsidRDefault="006636FC" w:rsidP="00303F3C">
            <w:pPr>
              <w:pStyle w:val="1stParagraph"/>
              <w:contextualSpacing/>
              <w:jc w:val="center"/>
            </w:pPr>
            <w:r w:rsidRPr="001A04ED">
              <w:t>(5051.8)</w:t>
            </w:r>
          </w:p>
        </w:tc>
      </w:tr>
      <w:tr w:rsidR="004332C8" w:rsidRPr="001A04ED" w14:paraId="11832D17" w14:textId="77777777" w:rsidTr="00F44668">
        <w:trPr>
          <w:trHeight w:val="144"/>
        </w:trPr>
        <w:tc>
          <w:tcPr>
            <w:tcW w:w="9350" w:type="dxa"/>
            <w:gridSpan w:val="6"/>
            <w:noWrap/>
            <w:vAlign w:val="center"/>
          </w:tcPr>
          <w:p w14:paraId="24C8DACC" w14:textId="77777777" w:rsidR="00704A61" w:rsidRPr="001A04ED" w:rsidRDefault="0090108B" w:rsidP="00E02E52">
            <w:pPr>
              <w:pStyle w:val="1stParagraph"/>
              <w:contextualSpacing/>
              <w:jc w:val="left"/>
            </w:pPr>
            <w:r w:rsidRPr="001A04ED">
              <w:rPr>
                <w:i/>
                <w:iCs/>
              </w:rPr>
              <w:t>Note:</w:t>
            </w:r>
            <w:r w:rsidRPr="001A04ED">
              <w:t xml:space="preserve"> </w:t>
            </w:r>
          </w:p>
          <w:p w14:paraId="269E3E6A" w14:textId="77777777" w:rsidR="00486654" w:rsidRPr="001A04ED" w:rsidRDefault="00E02E52" w:rsidP="00704A61">
            <w:pPr>
              <w:pStyle w:val="1stParagraph"/>
              <w:numPr>
                <w:ilvl w:val="0"/>
                <w:numId w:val="3"/>
              </w:numPr>
              <w:ind w:left="360"/>
              <w:contextualSpacing/>
              <w:jc w:val="left"/>
            </w:pPr>
            <w:r w:rsidRPr="001A04ED">
              <w:t xml:space="preserve">Participation </w:t>
            </w:r>
            <w:r w:rsidR="00F9224F" w:rsidRPr="001A04ED">
              <w:t xml:space="preserve">rate represents </w:t>
            </w:r>
            <w:r w:rsidRPr="001A04ED">
              <w:t>the percentage of household</w:t>
            </w:r>
            <w:r w:rsidR="0090108B" w:rsidRPr="001A04ED">
              <w:t>s</w:t>
            </w:r>
            <w:r w:rsidRPr="001A04ED">
              <w:t xml:space="preserve"> with non-zero energy </w:t>
            </w:r>
            <w:r w:rsidR="00F9224F" w:rsidRPr="001A04ED">
              <w:t xml:space="preserve">usage. </w:t>
            </w:r>
            <w:r w:rsidR="008F0557" w:rsidRPr="001A04ED">
              <w:t xml:space="preserve">The mean value of energy use is computed only for households with non-zero usage. </w:t>
            </w:r>
          </w:p>
          <w:p w14:paraId="7BEEC186" w14:textId="7785FD3A" w:rsidR="00704A61" w:rsidRPr="001A04ED" w:rsidRDefault="009F724F" w:rsidP="00704A61">
            <w:pPr>
              <w:pStyle w:val="1stParagraph"/>
              <w:numPr>
                <w:ilvl w:val="0"/>
                <w:numId w:val="3"/>
              </w:numPr>
              <w:ind w:left="360"/>
              <w:contextualSpacing/>
              <w:jc w:val="left"/>
            </w:pPr>
            <w:r w:rsidRPr="001A04ED">
              <w:t>Energy consumptions are presented in 1000 BTU (kWh</w:t>
            </w:r>
            <w:r w:rsidR="00FD41E9" w:rsidRPr="001A04ED">
              <w:t>)</w:t>
            </w:r>
          </w:p>
        </w:tc>
      </w:tr>
    </w:tbl>
    <w:p w14:paraId="2B19EC47" w14:textId="77777777" w:rsidR="004C1B2C" w:rsidRPr="001A04ED" w:rsidRDefault="004C1B2C" w:rsidP="00121265">
      <w:pPr>
        <w:ind w:firstLine="0"/>
      </w:pPr>
    </w:p>
    <w:p w14:paraId="6BA49768" w14:textId="6C7792A7" w:rsidR="00B30213" w:rsidRPr="001A04ED" w:rsidRDefault="004C1B2C" w:rsidP="00121265">
      <w:pPr>
        <w:pStyle w:val="Heading2"/>
        <w:rPr>
          <w:szCs w:val="22"/>
        </w:rPr>
      </w:pPr>
      <w:r w:rsidRPr="001A04ED">
        <w:rPr>
          <w:szCs w:val="22"/>
        </w:rPr>
        <w:t>Independent Variable</w:t>
      </w:r>
      <w:r w:rsidR="00321414" w:rsidRPr="001A04ED">
        <w:rPr>
          <w:szCs w:val="22"/>
        </w:rPr>
        <w:t>s</w:t>
      </w:r>
    </w:p>
    <w:p w14:paraId="084E26CF" w14:textId="3823A7CE" w:rsidR="00A073E9" w:rsidRPr="001A04ED" w:rsidRDefault="004E0B19" w:rsidP="00A073E9">
      <w:pPr>
        <w:pStyle w:val="1stParagraph"/>
      </w:pPr>
      <w:r w:rsidRPr="001A04ED">
        <w:t xml:space="preserve">A set of independent variables including household socioeconomic </w:t>
      </w:r>
      <w:r w:rsidR="005E0483" w:rsidRPr="001A04ED">
        <w:t>attributes</w:t>
      </w:r>
      <w:r w:rsidRPr="001A04ED">
        <w:t xml:space="preserve"> (such as household size, location, and income)</w:t>
      </w:r>
      <w:r w:rsidR="00DE3485" w:rsidRPr="001A04ED">
        <w:t xml:space="preserve"> </w:t>
      </w:r>
      <w:r w:rsidRPr="001A04ED">
        <w:t xml:space="preserve">and travel </w:t>
      </w:r>
      <w:r w:rsidR="00B67637" w:rsidRPr="001A04ED">
        <w:t xml:space="preserve">infrastructure and usage </w:t>
      </w:r>
      <w:r w:rsidR="005E0483" w:rsidRPr="001A04ED">
        <w:t>related attributes</w:t>
      </w:r>
      <w:r w:rsidRPr="001A04ED">
        <w:t xml:space="preserve"> (such as </w:t>
      </w:r>
      <w:r w:rsidR="007C6CF7" w:rsidRPr="001A04ED">
        <w:t>number of vehicles of different fuel type</w:t>
      </w:r>
      <w:r w:rsidR="00DE3485" w:rsidRPr="001A04ED">
        <w:t xml:space="preserve"> and</w:t>
      </w:r>
      <w:r w:rsidR="007C6CF7" w:rsidRPr="001A04ED">
        <w:t xml:space="preserve"> body type, </w:t>
      </w:r>
      <w:r w:rsidR="00DE3485" w:rsidRPr="001A04ED">
        <w:t xml:space="preserve">number of drivers, annual mileage and </w:t>
      </w:r>
      <w:r w:rsidRPr="001A04ED">
        <w:t xml:space="preserve">frequency of the usage of intercity buses for long distance trips) </w:t>
      </w:r>
      <w:r w:rsidR="00545634" w:rsidRPr="001A04ED">
        <w:t xml:space="preserve">are </w:t>
      </w:r>
      <w:r w:rsidRPr="001A04ED">
        <w:t xml:space="preserve">employed in our </w:t>
      </w:r>
      <w:r w:rsidR="005F3B53" w:rsidRPr="001A04ED">
        <w:t>study. The</w:t>
      </w:r>
      <w:r w:rsidRPr="001A04ED">
        <w:t xml:space="preserve"> socioeconomic </w:t>
      </w:r>
      <w:r w:rsidR="0092334F" w:rsidRPr="001A04ED">
        <w:t>attributes</w:t>
      </w:r>
      <w:r w:rsidRPr="001A04ED">
        <w:t xml:space="preserve"> are obtained from the RECS dataset, while the travel </w:t>
      </w:r>
      <w:r w:rsidR="00B67637" w:rsidRPr="001A04ED">
        <w:t xml:space="preserve">infrastructure and usage </w:t>
      </w:r>
      <w:r w:rsidR="00A073E9" w:rsidRPr="001A04ED">
        <w:t>related attribute</w:t>
      </w:r>
      <w:r w:rsidRPr="001A04ED">
        <w:t>s are obtained from the NHTS dataset</w:t>
      </w:r>
      <w:r w:rsidR="00AF435C" w:rsidRPr="001A04ED">
        <w:t xml:space="preserve">. </w:t>
      </w:r>
      <w:r w:rsidR="00A073E9" w:rsidRPr="001A04ED">
        <w:t>The fusion</w:t>
      </w:r>
      <w:r w:rsidR="000F7DA8" w:rsidRPr="001A04ED">
        <w:t xml:space="preserve"> between the RECS and the NHTS datasets</w:t>
      </w:r>
      <w:r w:rsidR="00A073E9" w:rsidRPr="001A04ED">
        <w:t xml:space="preserve"> is conducted using </w:t>
      </w:r>
      <w:r w:rsidR="000F7DA8" w:rsidRPr="001A04ED">
        <w:t>the seven</w:t>
      </w:r>
      <w:r w:rsidR="00A073E9" w:rsidRPr="001A04ED">
        <w:t xml:space="preserve"> common variables present in both </w:t>
      </w:r>
      <w:r w:rsidR="000F7DA8" w:rsidRPr="001A04ED">
        <w:t>datasets</w:t>
      </w:r>
      <w:r w:rsidR="00A073E9" w:rsidRPr="001A04ED">
        <w:t>.</w:t>
      </w:r>
      <w:r w:rsidR="007E1BCF" w:rsidRPr="001A04ED">
        <w:t xml:space="preserve"> </w:t>
      </w:r>
      <w:r w:rsidR="00A073E9" w:rsidRPr="001A04ED">
        <w:t xml:space="preserve">The distributions of these variables in both the datasets are presented in Figure </w:t>
      </w:r>
      <w:r w:rsidR="00422671" w:rsidRPr="001A04ED">
        <w:t>3</w:t>
      </w:r>
      <w:r w:rsidR="00A073E9" w:rsidRPr="001A04ED">
        <w:t>.</w:t>
      </w:r>
      <w:r w:rsidR="00F0191D" w:rsidRPr="001A04ED">
        <w:t xml:space="preserve"> In the figure, the variables across the datasets represent very similar distributions. It can be observed that, in the RECS dataset, 67.2% households are from urban areas, and the share is 70.4% in the NHTS data. Further, in both RECS and NHTS datasets, majority of the households are composed of two members, and the share is 38.1% and 43.6% respectively. Households with three members represent the </w:t>
      </w:r>
      <w:r w:rsidR="00F0191D" w:rsidRPr="001A04ED">
        <w:lastRenderedPageBreak/>
        <w:t xml:space="preserve">lowest share in both datasets. Regarding household ownership, both datasets represent that the majority of households own their own homes, and their share is 73.2% in the RECS data and 78.4% in the NHTS data. The household income distributions exhibit slight differences between the two datasets. In the RECS data, households with incomes between $25,000 and $49,999 make up the largest share (20.2%), whereas, in the NHTS data, the largest share is constituted by the households with incomes between $100,000 and $149,999 (20.1%). However, their shares in the two datasets are relatively similar. For instance, households with incomes between $25,000 and $49,999 constitute 20.2% in the RECS data and 17.6% in the NHTS data. Regarding the location of the household, the figure represents that, in both datasets, majority of the households are located in the south region, while the smallest share of households is located in the northeast region. Further, in both datasets, most of the households are from the South Atlantic division and their shares are 16.8% and 20.4% respectively. Finally, regarding housing type, the figure represents that most households in both datasets live in single family detached homes. They constitute 66.4% of the RECS data and 71.9% of the NHTS data. </w:t>
      </w:r>
      <w:r w:rsidR="00D43529" w:rsidRPr="001A04ED">
        <w:t xml:space="preserve">The readers should note that </w:t>
      </w:r>
      <w:r w:rsidR="00321414" w:rsidRPr="001A04ED">
        <w:t xml:space="preserve">if </w:t>
      </w:r>
      <w:r w:rsidR="00D43529" w:rsidRPr="001A04ED">
        <w:t xml:space="preserve">the variables are present in both RECS and NHTS datasets, </w:t>
      </w:r>
      <w:r w:rsidR="00321414" w:rsidRPr="001A04ED">
        <w:t xml:space="preserve">data available in </w:t>
      </w:r>
      <w:r w:rsidR="00D43529" w:rsidRPr="001A04ED">
        <w:t xml:space="preserve">RECS data </w:t>
      </w:r>
      <w:r w:rsidR="00321414" w:rsidRPr="001A04ED">
        <w:t xml:space="preserve">are employed </w:t>
      </w:r>
      <w:r w:rsidR="00D43529" w:rsidRPr="001A04ED">
        <w:t>for model estimation.</w:t>
      </w:r>
    </w:p>
    <w:p w14:paraId="61C184D3" w14:textId="77777777" w:rsidR="00C6123F" w:rsidRPr="001A04ED" w:rsidRDefault="00C6123F" w:rsidP="00A073E9">
      <w:pPr>
        <w:pStyle w:val="1stParagraph"/>
      </w:pPr>
    </w:p>
    <w:p w14:paraId="662CE9EF" w14:textId="7605AEBD" w:rsidR="007E5D63" w:rsidRPr="001A04ED" w:rsidRDefault="00EC2958" w:rsidP="008E126E">
      <w:pPr>
        <w:pStyle w:val="1stParagraph"/>
        <w:jc w:val="center"/>
      </w:pPr>
      <w:r w:rsidRPr="001A04ED">
        <w:rPr>
          <w:noProof/>
          <w14:ligatures w14:val="standardContextual"/>
        </w:rPr>
        <w:lastRenderedPageBreak/>
        <w:drawing>
          <wp:inline distT="0" distB="0" distL="0" distR="0" wp14:anchorId="530D8A0F" wp14:editId="696E1D2C">
            <wp:extent cx="4914900" cy="6118946"/>
            <wp:effectExtent l="0" t="0" r="0" b="0"/>
            <wp:docPr id="1596010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10917" name="Picture 15960109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58742" cy="6173528"/>
                    </a:xfrm>
                    <a:prstGeom prst="rect">
                      <a:avLst/>
                    </a:prstGeom>
                  </pic:spPr>
                </pic:pic>
              </a:graphicData>
            </a:graphic>
          </wp:inline>
        </w:drawing>
      </w:r>
    </w:p>
    <w:p w14:paraId="2211E6D4" w14:textId="28C767D6" w:rsidR="00A073E9" w:rsidRPr="001A04ED" w:rsidRDefault="007E5D63" w:rsidP="0045725E">
      <w:pPr>
        <w:pStyle w:val="1stParagraph"/>
        <w:jc w:val="center"/>
        <w:rPr>
          <w:b/>
          <w:bCs/>
        </w:rPr>
      </w:pPr>
      <w:r w:rsidRPr="001A04ED">
        <w:rPr>
          <w:b/>
          <w:bCs/>
        </w:rPr>
        <w:t xml:space="preserve">Figure </w:t>
      </w:r>
      <w:r w:rsidR="00422671" w:rsidRPr="001A04ED">
        <w:rPr>
          <w:b/>
          <w:bCs/>
        </w:rPr>
        <w:t>3</w:t>
      </w:r>
      <w:r w:rsidR="00F9721E" w:rsidRPr="001A04ED">
        <w:rPr>
          <w:b/>
          <w:bCs/>
        </w:rPr>
        <w:t>:</w:t>
      </w:r>
      <w:r w:rsidRPr="001A04ED">
        <w:rPr>
          <w:b/>
          <w:bCs/>
        </w:rPr>
        <w:t xml:space="preserve"> Distribution of common attributes present in both RECS and NHTS datasets</w:t>
      </w:r>
    </w:p>
    <w:p w14:paraId="2852EA7A" w14:textId="77777777" w:rsidR="00EF7746" w:rsidRPr="001A04ED" w:rsidRDefault="00EF7746" w:rsidP="0045725E">
      <w:pPr>
        <w:pStyle w:val="1stParagraph"/>
        <w:jc w:val="center"/>
        <w:rPr>
          <w:b/>
          <w:bCs/>
        </w:rPr>
      </w:pPr>
    </w:p>
    <w:p w14:paraId="6AA5C8C7" w14:textId="7AF2ABEA" w:rsidR="00C6123F" w:rsidRPr="001A04ED" w:rsidRDefault="00767742" w:rsidP="00C6123F">
      <w:r w:rsidRPr="001A04ED">
        <w:t>Further, t</w:t>
      </w:r>
      <w:r w:rsidR="00C6123F" w:rsidRPr="001A04ED">
        <w:t xml:space="preserve">he distributions of various independent variables are presented in Table 2. From the distribution of household socioeconomic attributes in the RECS data it can be observed that, 67% households are located in urban areas, 22% households are located in rural areas, and the rest of the households are located in urban cluster areas. The income distribution shows that 17% households have income less than $25,000, 20% households have income between $25,000 and $49,999, 19% households have income between $50,000 and $74,999, 13% households have income between $75,000 and $99,999, 15% households have income between $100,000 and $149,999 and the rest of the households have income more than $149,999. It is also noticeable that 66% households live in detached houses, 9% households live in attached houses as single families, 19% households live in apartments and the rest 5% live in other housing arrangements. Further, the household ownership distribution shows that 73% of the households live in their own houses. Across all the households, only 2% households are noticed to own EVs in their </w:t>
      </w:r>
      <w:r w:rsidR="00C6123F" w:rsidRPr="001A04ED">
        <w:lastRenderedPageBreak/>
        <w:t xml:space="preserve">house (reflective of EV share in 2020). In addition to these binary variables, several count variables (such as household size, number of children and number of adults) are employed from the RECS data in our study. </w:t>
      </w:r>
    </w:p>
    <w:p w14:paraId="48E6054A" w14:textId="3D318AB4" w:rsidR="004A226C" w:rsidRPr="001A04ED" w:rsidRDefault="003553AB" w:rsidP="009254E0">
      <w:r w:rsidRPr="001A04ED">
        <w:t xml:space="preserve">NHTS data provides </w:t>
      </w:r>
      <w:r w:rsidR="005244BC" w:rsidRPr="001A04ED">
        <w:t xml:space="preserve">detailed information about household travel </w:t>
      </w:r>
      <w:r w:rsidR="00B67637" w:rsidRPr="001A04ED">
        <w:t xml:space="preserve">infrastructure and usage </w:t>
      </w:r>
      <w:r w:rsidR="005244BC" w:rsidRPr="001A04ED">
        <w:t>related attributes</w:t>
      </w:r>
      <w:r w:rsidR="00D1761C" w:rsidRPr="001A04ED">
        <w:t xml:space="preserve">, such as </w:t>
      </w:r>
      <w:r w:rsidR="004C3DE9" w:rsidRPr="001A04ED">
        <w:t xml:space="preserve">number of drivers in the household, </w:t>
      </w:r>
      <w:r w:rsidR="00553217" w:rsidRPr="001A04ED">
        <w:t>total number of vehicles</w:t>
      </w:r>
      <w:r w:rsidR="0025034C" w:rsidRPr="001A04ED">
        <w:t xml:space="preserve"> in the </w:t>
      </w:r>
      <w:r w:rsidR="004C3DE9" w:rsidRPr="001A04ED">
        <w:t xml:space="preserve">households, number of vehicles of different fuel types and body types, total annual mileage, </w:t>
      </w:r>
      <w:r w:rsidR="003766F9" w:rsidRPr="001A04ED">
        <w:t>number of annual long-distance trips</w:t>
      </w:r>
      <w:r w:rsidR="00D4766C" w:rsidRPr="001A04ED">
        <w:t xml:space="preserve"> and </w:t>
      </w:r>
      <w:r w:rsidR="00815A05" w:rsidRPr="001A04ED">
        <w:t>number of</w:t>
      </w:r>
      <w:r w:rsidR="00D4766C" w:rsidRPr="001A04ED">
        <w:t xml:space="preserve"> intercity bus or train</w:t>
      </w:r>
      <w:r w:rsidR="00815A05" w:rsidRPr="001A04ED">
        <w:t xml:space="preserve"> trips</w:t>
      </w:r>
      <w:r w:rsidR="00D4766C" w:rsidRPr="001A04ED">
        <w:t xml:space="preserve"> in a year for long-distance </w:t>
      </w:r>
      <w:r w:rsidR="00815A05" w:rsidRPr="001A04ED">
        <w:t>tours</w:t>
      </w:r>
      <w:r w:rsidR="00D4766C" w:rsidRPr="001A04ED">
        <w:t xml:space="preserve">. </w:t>
      </w:r>
      <w:r w:rsidR="002343B8" w:rsidRPr="001A04ED">
        <w:t>Additionally,</w:t>
      </w:r>
      <w:r w:rsidR="005244BC" w:rsidRPr="001A04ED">
        <w:t xml:space="preserve"> several socioeconomic attributes</w:t>
      </w:r>
      <w:r w:rsidR="00FC3F75" w:rsidRPr="001A04ED">
        <w:t xml:space="preserve"> </w:t>
      </w:r>
      <w:r w:rsidR="00697E60" w:rsidRPr="001A04ED">
        <w:t xml:space="preserve">that </w:t>
      </w:r>
      <w:r w:rsidR="00E55E0E" w:rsidRPr="001A04ED">
        <w:t xml:space="preserve">are </w:t>
      </w:r>
      <w:r w:rsidR="00FC3F75" w:rsidRPr="001A04ED">
        <w:t>not present in the RECS data</w:t>
      </w:r>
      <w:r w:rsidR="00697E60" w:rsidRPr="001A04ED">
        <w:t>,</w:t>
      </w:r>
      <w:r w:rsidR="005244BC" w:rsidRPr="001A04ED">
        <w:t xml:space="preserve"> </w:t>
      </w:r>
      <w:r w:rsidR="002343B8" w:rsidRPr="001A04ED">
        <w:t>are also employed from the NHTS data to obtain potential improvement in model fitting.</w:t>
      </w:r>
      <w:r w:rsidR="00D57FC7" w:rsidRPr="001A04ED">
        <w:t xml:space="preserve"> </w:t>
      </w:r>
      <w:r w:rsidR="009254E0" w:rsidRPr="001A04ED">
        <w:t>These variables</w:t>
      </w:r>
      <w:r w:rsidR="00D57FC7" w:rsidRPr="001A04ED">
        <w:t xml:space="preserve"> include </w:t>
      </w:r>
      <w:r w:rsidR="00321414" w:rsidRPr="001A04ED">
        <w:t>the number</w:t>
      </w:r>
      <w:r w:rsidR="00D57FC7" w:rsidRPr="001A04ED">
        <w:t xml:space="preserve"> of workers in the household, </w:t>
      </w:r>
      <w:r w:rsidR="00321414" w:rsidRPr="001A04ED">
        <w:t xml:space="preserve">the </w:t>
      </w:r>
      <w:r w:rsidR="00D57FC7" w:rsidRPr="001A04ED">
        <w:t xml:space="preserve">number of people of different gender </w:t>
      </w:r>
      <w:r w:rsidR="009254E0" w:rsidRPr="001A04ED">
        <w:t xml:space="preserve">and household ethnicity. </w:t>
      </w:r>
      <w:r w:rsidR="004E0B19" w:rsidRPr="001A04ED">
        <w:t>The distributions of the</w:t>
      </w:r>
      <w:r w:rsidR="009254E0" w:rsidRPr="001A04ED">
        <w:t>se</w:t>
      </w:r>
      <w:r w:rsidR="004E0B19" w:rsidRPr="001A04ED">
        <w:t xml:space="preserve"> variables are </w:t>
      </w:r>
      <w:r w:rsidR="009254E0" w:rsidRPr="001A04ED">
        <w:t>presented</w:t>
      </w:r>
      <w:r w:rsidR="004E0B19" w:rsidRPr="001A04ED">
        <w:t xml:space="preserve"> in Table </w:t>
      </w:r>
      <w:r w:rsidR="004B412F" w:rsidRPr="001A04ED">
        <w:t>2</w:t>
      </w:r>
      <w:r w:rsidR="004E0B19" w:rsidRPr="001A04ED">
        <w:t>.</w:t>
      </w:r>
      <w:r w:rsidR="009254E0" w:rsidRPr="001A04ED">
        <w:t xml:space="preserve"> </w:t>
      </w:r>
      <w:r w:rsidR="004E0B19" w:rsidRPr="001A04ED">
        <w:t xml:space="preserve">All the variables presented in Table </w:t>
      </w:r>
      <w:r w:rsidR="00D16936" w:rsidRPr="001A04ED">
        <w:t>2</w:t>
      </w:r>
      <w:r w:rsidR="004E0B19" w:rsidRPr="001A04ED">
        <w:t xml:space="preserve"> are </w:t>
      </w:r>
      <w:r w:rsidR="00321414" w:rsidRPr="001A04ED">
        <w:t xml:space="preserve">tested </w:t>
      </w:r>
      <w:r w:rsidR="004E0B19" w:rsidRPr="001A04ED">
        <w:t>in model estimation</w:t>
      </w:r>
      <w:r w:rsidR="00321414" w:rsidRPr="001A04ED">
        <w:t>. From this large set of variables</w:t>
      </w:r>
      <w:r w:rsidR="004E0B19" w:rsidRPr="001A04ED">
        <w:t>, th</w:t>
      </w:r>
      <w:r w:rsidR="00321414" w:rsidRPr="001A04ED">
        <w:t xml:space="preserve">ose </w:t>
      </w:r>
      <w:r w:rsidR="004E0B19" w:rsidRPr="001A04ED">
        <w:t>that offer significant impact on the household energy end-uses at 90% confidence level (t-value ≥ 1.65) are retained in the final specification.</w:t>
      </w:r>
    </w:p>
    <w:p w14:paraId="5CDA416F" w14:textId="77777777" w:rsidR="00C6123F" w:rsidRPr="001A04ED" w:rsidRDefault="00C6123F" w:rsidP="009254E0"/>
    <w:p w14:paraId="1E05F2A9" w14:textId="563EB558" w:rsidR="00293000" w:rsidRPr="001A04ED" w:rsidRDefault="00293000" w:rsidP="00293000">
      <w:pPr>
        <w:pStyle w:val="1stParagraph"/>
        <w:rPr>
          <w:b/>
          <w:bCs/>
        </w:rPr>
      </w:pPr>
      <w:r w:rsidRPr="001A04ED">
        <w:rPr>
          <w:b/>
          <w:bCs/>
        </w:rPr>
        <w:t xml:space="preserve">Table </w:t>
      </w:r>
      <w:r w:rsidR="00D16936" w:rsidRPr="001A04ED">
        <w:rPr>
          <w:b/>
          <w:bCs/>
        </w:rPr>
        <w:t>2</w:t>
      </w:r>
      <w:r w:rsidRPr="001A04ED">
        <w:rPr>
          <w:b/>
          <w:bCs/>
        </w:rPr>
        <w:t xml:space="preserve">: </w:t>
      </w:r>
      <w:r w:rsidR="00833784" w:rsidRPr="001A04ED">
        <w:rPr>
          <w:b/>
          <w:bCs/>
        </w:rPr>
        <w:t>Independent v</w:t>
      </w:r>
      <w:r w:rsidRPr="001A04ED">
        <w:rPr>
          <w:b/>
          <w:bCs/>
        </w:rPr>
        <w:t>ariables employed for model estimation</w:t>
      </w:r>
    </w:p>
    <w:tbl>
      <w:tblPr>
        <w:tblStyle w:val="TableGrid"/>
        <w:tblW w:w="0" w:type="auto"/>
        <w:tblLook w:val="04A0" w:firstRow="1" w:lastRow="0" w:firstColumn="1" w:lastColumn="0" w:noHBand="0" w:noVBand="1"/>
      </w:tblPr>
      <w:tblGrid>
        <w:gridCol w:w="4089"/>
        <w:gridCol w:w="1243"/>
        <w:gridCol w:w="1342"/>
        <w:gridCol w:w="1242"/>
        <w:gridCol w:w="1434"/>
      </w:tblGrid>
      <w:tr w:rsidR="001A04ED" w:rsidRPr="001A04ED" w14:paraId="0B357A7B" w14:textId="77777777" w:rsidTr="009E5EDE">
        <w:trPr>
          <w:trHeight w:val="144"/>
        </w:trPr>
        <w:tc>
          <w:tcPr>
            <w:tcW w:w="4089" w:type="dxa"/>
            <w:noWrap/>
            <w:vAlign w:val="center"/>
            <w:hideMark/>
          </w:tcPr>
          <w:p w14:paraId="653AEDA5" w14:textId="77777777" w:rsidR="00293000" w:rsidRPr="001A04ED" w:rsidRDefault="00293000" w:rsidP="00FC10D1">
            <w:pPr>
              <w:pStyle w:val="1stParagraph"/>
              <w:rPr>
                <w:b/>
                <w:bCs/>
              </w:rPr>
            </w:pPr>
            <w:r w:rsidRPr="001A04ED">
              <w:rPr>
                <w:b/>
                <w:bCs/>
              </w:rPr>
              <w:t>Variable</w:t>
            </w:r>
          </w:p>
        </w:tc>
        <w:tc>
          <w:tcPr>
            <w:tcW w:w="1243" w:type="dxa"/>
            <w:noWrap/>
            <w:vAlign w:val="center"/>
            <w:hideMark/>
          </w:tcPr>
          <w:p w14:paraId="20BBD23F" w14:textId="77777777" w:rsidR="00293000" w:rsidRPr="001A04ED" w:rsidRDefault="00293000" w:rsidP="00FC10D1">
            <w:pPr>
              <w:pStyle w:val="1stParagraph"/>
              <w:jc w:val="center"/>
              <w:rPr>
                <w:b/>
                <w:bCs/>
              </w:rPr>
            </w:pPr>
            <w:r w:rsidRPr="001A04ED">
              <w:rPr>
                <w:b/>
                <w:bCs/>
              </w:rPr>
              <w:t>Minimum</w:t>
            </w:r>
          </w:p>
        </w:tc>
        <w:tc>
          <w:tcPr>
            <w:tcW w:w="1342" w:type="dxa"/>
            <w:noWrap/>
            <w:vAlign w:val="center"/>
            <w:hideMark/>
          </w:tcPr>
          <w:p w14:paraId="607D85AA" w14:textId="77777777" w:rsidR="00293000" w:rsidRPr="001A04ED" w:rsidRDefault="00293000" w:rsidP="00FC10D1">
            <w:pPr>
              <w:pStyle w:val="1stParagraph"/>
              <w:jc w:val="center"/>
              <w:rPr>
                <w:b/>
                <w:bCs/>
              </w:rPr>
            </w:pPr>
            <w:r w:rsidRPr="001A04ED">
              <w:rPr>
                <w:b/>
                <w:bCs/>
              </w:rPr>
              <w:t>Maximum</w:t>
            </w:r>
          </w:p>
        </w:tc>
        <w:tc>
          <w:tcPr>
            <w:tcW w:w="1242" w:type="dxa"/>
            <w:noWrap/>
            <w:vAlign w:val="center"/>
            <w:hideMark/>
          </w:tcPr>
          <w:p w14:paraId="4A7DAF3D" w14:textId="77777777" w:rsidR="00293000" w:rsidRPr="001A04ED" w:rsidRDefault="00293000" w:rsidP="00FC10D1">
            <w:pPr>
              <w:pStyle w:val="1stParagraph"/>
              <w:jc w:val="center"/>
              <w:rPr>
                <w:b/>
                <w:bCs/>
              </w:rPr>
            </w:pPr>
            <w:r w:rsidRPr="001A04ED">
              <w:rPr>
                <w:b/>
                <w:bCs/>
              </w:rPr>
              <w:t>Mean</w:t>
            </w:r>
          </w:p>
        </w:tc>
        <w:tc>
          <w:tcPr>
            <w:tcW w:w="1434" w:type="dxa"/>
            <w:noWrap/>
            <w:vAlign w:val="center"/>
            <w:hideMark/>
          </w:tcPr>
          <w:p w14:paraId="52B880E4" w14:textId="77777777" w:rsidR="00293000" w:rsidRPr="001A04ED" w:rsidRDefault="00293000" w:rsidP="00FC10D1">
            <w:pPr>
              <w:pStyle w:val="1stParagraph"/>
              <w:jc w:val="center"/>
              <w:rPr>
                <w:b/>
                <w:bCs/>
              </w:rPr>
            </w:pPr>
            <w:r w:rsidRPr="001A04ED">
              <w:rPr>
                <w:b/>
                <w:bCs/>
              </w:rPr>
              <w:t>Standard Deviation</w:t>
            </w:r>
          </w:p>
        </w:tc>
      </w:tr>
      <w:tr w:rsidR="001A04ED" w:rsidRPr="001A04ED" w14:paraId="247C4F34" w14:textId="77777777" w:rsidTr="009E5EDE">
        <w:trPr>
          <w:trHeight w:val="144"/>
        </w:trPr>
        <w:tc>
          <w:tcPr>
            <w:tcW w:w="9350" w:type="dxa"/>
            <w:gridSpan w:val="5"/>
            <w:noWrap/>
            <w:vAlign w:val="center"/>
            <w:hideMark/>
          </w:tcPr>
          <w:p w14:paraId="43837069" w14:textId="77777777" w:rsidR="00293000" w:rsidRPr="001A04ED" w:rsidRDefault="00293000" w:rsidP="00FC10D1">
            <w:pPr>
              <w:pStyle w:val="1stParagraph"/>
              <w:jc w:val="center"/>
              <w:rPr>
                <w:b/>
                <w:bCs/>
                <w:i/>
                <w:iCs/>
              </w:rPr>
            </w:pPr>
            <w:r w:rsidRPr="001A04ED">
              <w:rPr>
                <w:b/>
                <w:bCs/>
                <w:i/>
                <w:iCs/>
              </w:rPr>
              <w:t>RECS Data (N = 5,000)</w:t>
            </w:r>
          </w:p>
        </w:tc>
      </w:tr>
      <w:tr w:rsidR="001A04ED" w:rsidRPr="001A04ED" w14:paraId="03B6F0EF" w14:textId="77777777" w:rsidTr="009E5EDE">
        <w:trPr>
          <w:trHeight w:val="144"/>
        </w:trPr>
        <w:tc>
          <w:tcPr>
            <w:tcW w:w="4089" w:type="dxa"/>
            <w:noWrap/>
            <w:vAlign w:val="center"/>
            <w:hideMark/>
          </w:tcPr>
          <w:p w14:paraId="4FF73650" w14:textId="77777777" w:rsidR="00293000" w:rsidRPr="001A04ED" w:rsidRDefault="00293000" w:rsidP="00FC10D1">
            <w:pPr>
              <w:pStyle w:val="1stParagraph"/>
            </w:pPr>
            <w:r w:rsidRPr="001A04ED">
              <w:t>Household size</w:t>
            </w:r>
          </w:p>
        </w:tc>
        <w:tc>
          <w:tcPr>
            <w:tcW w:w="1243" w:type="dxa"/>
            <w:noWrap/>
            <w:vAlign w:val="center"/>
            <w:hideMark/>
          </w:tcPr>
          <w:p w14:paraId="59EB6C49" w14:textId="3BF607FA" w:rsidR="00293000" w:rsidRPr="001A04ED" w:rsidRDefault="00293000" w:rsidP="00FC10D1">
            <w:pPr>
              <w:pStyle w:val="1stParagraph"/>
              <w:jc w:val="center"/>
            </w:pPr>
            <w:r w:rsidRPr="001A04ED">
              <w:t>1.0</w:t>
            </w:r>
          </w:p>
        </w:tc>
        <w:tc>
          <w:tcPr>
            <w:tcW w:w="1342" w:type="dxa"/>
            <w:noWrap/>
            <w:vAlign w:val="center"/>
            <w:hideMark/>
          </w:tcPr>
          <w:p w14:paraId="37A60277" w14:textId="3628EAC0" w:rsidR="00293000" w:rsidRPr="001A04ED" w:rsidRDefault="00293000" w:rsidP="00FC10D1">
            <w:pPr>
              <w:pStyle w:val="1stParagraph"/>
              <w:jc w:val="center"/>
            </w:pPr>
            <w:r w:rsidRPr="001A04ED">
              <w:t>7.0</w:t>
            </w:r>
          </w:p>
        </w:tc>
        <w:tc>
          <w:tcPr>
            <w:tcW w:w="1242" w:type="dxa"/>
            <w:noWrap/>
            <w:vAlign w:val="center"/>
            <w:hideMark/>
          </w:tcPr>
          <w:p w14:paraId="76B94FD1" w14:textId="74C246F9" w:rsidR="00293000" w:rsidRPr="001A04ED" w:rsidRDefault="00293000" w:rsidP="00FC10D1">
            <w:pPr>
              <w:pStyle w:val="1stParagraph"/>
              <w:jc w:val="center"/>
            </w:pPr>
            <w:r w:rsidRPr="001A04ED">
              <w:t>2.4</w:t>
            </w:r>
          </w:p>
        </w:tc>
        <w:tc>
          <w:tcPr>
            <w:tcW w:w="1434" w:type="dxa"/>
            <w:noWrap/>
            <w:vAlign w:val="center"/>
            <w:hideMark/>
          </w:tcPr>
          <w:p w14:paraId="3E37F4CB" w14:textId="474B6AE6" w:rsidR="00293000" w:rsidRPr="001A04ED" w:rsidRDefault="00293000" w:rsidP="00FC10D1">
            <w:pPr>
              <w:pStyle w:val="1stParagraph"/>
              <w:jc w:val="center"/>
            </w:pPr>
            <w:r w:rsidRPr="001A04ED">
              <w:t>1.</w:t>
            </w:r>
            <w:r w:rsidR="00C93E70" w:rsidRPr="001A04ED">
              <w:t>4</w:t>
            </w:r>
          </w:p>
        </w:tc>
      </w:tr>
      <w:tr w:rsidR="001A04ED" w:rsidRPr="001A04ED" w14:paraId="27594708" w14:textId="77777777" w:rsidTr="009E5EDE">
        <w:trPr>
          <w:trHeight w:val="144"/>
        </w:trPr>
        <w:tc>
          <w:tcPr>
            <w:tcW w:w="4089" w:type="dxa"/>
            <w:noWrap/>
            <w:vAlign w:val="center"/>
            <w:hideMark/>
          </w:tcPr>
          <w:p w14:paraId="1C45A47E" w14:textId="77777777" w:rsidR="00293000" w:rsidRPr="001A04ED" w:rsidRDefault="00293000" w:rsidP="00FC10D1">
            <w:pPr>
              <w:pStyle w:val="1stParagraph"/>
            </w:pPr>
            <w:r w:rsidRPr="001A04ED">
              <w:t>Number of children</w:t>
            </w:r>
          </w:p>
        </w:tc>
        <w:tc>
          <w:tcPr>
            <w:tcW w:w="1243" w:type="dxa"/>
            <w:noWrap/>
            <w:vAlign w:val="center"/>
            <w:hideMark/>
          </w:tcPr>
          <w:p w14:paraId="36C43AEF" w14:textId="48245907" w:rsidR="00293000" w:rsidRPr="001A04ED" w:rsidRDefault="00293000" w:rsidP="00FC10D1">
            <w:pPr>
              <w:pStyle w:val="1stParagraph"/>
              <w:jc w:val="center"/>
            </w:pPr>
            <w:r w:rsidRPr="001A04ED">
              <w:t>0.0</w:t>
            </w:r>
          </w:p>
        </w:tc>
        <w:tc>
          <w:tcPr>
            <w:tcW w:w="1342" w:type="dxa"/>
            <w:noWrap/>
            <w:vAlign w:val="center"/>
            <w:hideMark/>
          </w:tcPr>
          <w:p w14:paraId="2115AF67" w14:textId="178C93FE" w:rsidR="00293000" w:rsidRPr="001A04ED" w:rsidRDefault="00293000" w:rsidP="00FC10D1">
            <w:pPr>
              <w:pStyle w:val="1stParagraph"/>
              <w:jc w:val="center"/>
            </w:pPr>
            <w:r w:rsidRPr="001A04ED">
              <w:t>4.0</w:t>
            </w:r>
          </w:p>
        </w:tc>
        <w:tc>
          <w:tcPr>
            <w:tcW w:w="1242" w:type="dxa"/>
            <w:noWrap/>
            <w:vAlign w:val="center"/>
            <w:hideMark/>
          </w:tcPr>
          <w:p w14:paraId="57F6CE52" w14:textId="35080DE6" w:rsidR="00293000" w:rsidRPr="001A04ED" w:rsidRDefault="00293000" w:rsidP="00FC10D1">
            <w:pPr>
              <w:pStyle w:val="1stParagraph"/>
              <w:jc w:val="center"/>
            </w:pPr>
            <w:r w:rsidRPr="001A04ED">
              <w:t>0.</w:t>
            </w:r>
            <w:r w:rsidR="00F0191D" w:rsidRPr="001A04ED">
              <w:t>5</w:t>
            </w:r>
          </w:p>
        </w:tc>
        <w:tc>
          <w:tcPr>
            <w:tcW w:w="1434" w:type="dxa"/>
            <w:noWrap/>
            <w:vAlign w:val="center"/>
            <w:hideMark/>
          </w:tcPr>
          <w:p w14:paraId="3255F9B4" w14:textId="739AAD5A" w:rsidR="00293000" w:rsidRPr="001A04ED" w:rsidRDefault="00293000" w:rsidP="00FC10D1">
            <w:pPr>
              <w:pStyle w:val="1stParagraph"/>
              <w:jc w:val="center"/>
            </w:pPr>
            <w:r w:rsidRPr="001A04ED">
              <w:t>0.9</w:t>
            </w:r>
          </w:p>
        </w:tc>
      </w:tr>
      <w:tr w:rsidR="001A04ED" w:rsidRPr="001A04ED" w14:paraId="6798E37B" w14:textId="77777777" w:rsidTr="009E5EDE">
        <w:trPr>
          <w:trHeight w:val="144"/>
        </w:trPr>
        <w:tc>
          <w:tcPr>
            <w:tcW w:w="4089" w:type="dxa"/>
            <w:noWrap/>
            <w:vAlign w:val="center"/>
            <w:hideMark/>
          </w:tcPr>
          <w:p w14:paraId="2706D32D" w14:textId="77777777" w:rsidR="00293000" w:rsidRPr="001A04ED" w:rsidRDefault="00293000" w:rsidP="00FC10D1">
            <w:pPr>
              <w:pStyle w:val="1stParagraph"/>
            </w:pPr>
            <w:r w:rsidRPr="001A04ED">
              <w:t>Number of adults</w:t>
            </w:r>
          </w:p>
        </w:tc>
        <w:tc>
          <w:tcPr>
            <w:tcW w:w="1243" w:type="dxa"/>
            <w:noWrap/>
            <w:vAlign w:val="center"/>
            <w:hideMark/>
          </w:tcPr>
          <w:p w14:paraId="4BE033F2" w14:textId="4CC53D45" w:rsidR="00293000" w:rsidRPr="001A04ED" w:rsidRDefault="00293000" w:rsidP="00FC10D1">
            <w:pPr>
              <w:pStyle w:val="1stParagraph"/>
              <w:jc w:val="center"/>
            </w:pPr>
            <w:r w:rsidRPr="001A04ED">
              <w:t>1.0</w:t>
            </w:r>
          </w:p>
        </w:tc>
        <w:tc>
          <w:tcPr>
            <w:tcW w:w="1342" w:type="dxa"/>
            <w:noWrap/>
            <w:vAlign w:val="center"/>
            <w:hideMark/>
          </w:tcPr>
          <w:p w14:paraId="7335B981" w14:textId="54F02A41" w:rsidR="00293000" w:rsidRPr="001A04ED" w:rsidRDefault="00293000" w:rsidP="00FC10D1">
            <w:pPr>
              <w:pStyle w:val="1stParagraph"/>
              <w:jc w:val="center"/>
            </w:pPr>
            <w:r w:rsidRPr="001A04ED">
              <w:t>7.0</w:t>
            </w:r>
          </w:p>
        </w:tc>
        <w:tc>
          <w:tcPr>
            <w:tcW w:w="1242" w:type="dxa"/>
            <w:noWrap/>
            <w:vAlign w:val="center"/>
            <w:hideMark/>
          </w:tcPr>
          <w:p w14:paraId="6F1A8DF6" w14:textId="1D619F0C" w:rsidR="00293000" w:rsidRPr="001A04ED" w:rsidRDefault="00293000" w:rsidP="00FC10D1">
            <w:pPr>
              <w:pStyle w:val="1stParagraph"/>
              <w:jc w:val="center"/>
            </w:pPr>
            <w:r w:rsidRPr="001A04ED">
              <w:t>1.9</w:t>
            </w:r>
          </w:p>
        </w:tc>
        <w:tc>
          <w:tcPr>
            <w:tcW w:w="1434" w:type="dxa"/>
            <w:noWrap/>
            <w:vAlign w:val="center"/>
            <w:hideMark/>
          </w:tcPr>
          <w:p w14:paraId="68C4F932" w14:textId="16F32825" w:rsidR="00293000" w:rsidRPr="001A04ED" w:rsidRDefault="00293000" w:rsidP="00FC10D1">
            <w:pPr>
              <w:pStyle w:val="1stParagraph"/>
              <w:jc w:val="center"/>
            </w:pPr>
            <w:r w:rsidRPr="001A04ED">
              <w:t>0.</w:t>
            </w:r>
            <w:r w:rsidR="00C93E70" w:rsidRPr="001A04ED">
              <w:t>9</w:t>
            </w:r>
          </w:p>
        </w:tc>
      </w:tr>
      <w:tr w:rsidR="001A04ED" w:rsidRPr="001A04ED" w14:paraId="7D725BE1" w14:textId="77777777" w:rsidTr="009E5EDE">
        <w:trPr>
          <w:trHeight w:val="144"/>
        </w:trPr>
        <w:tc>
          <w:tcPr>
            <w:tcW w:w="4089" w:type="dxa"/>
            <w:noWrap/>
            <w:vAlign w:val="center"/>
            <w:hideMark/>
          </w:tcPr>
          <w:p w14:paraId="6F5BCA3C" w14:textId="77777777" w:rsidR="00293000" w:rsidRPr="001A04ED" w:rsidRDefault="00293000" w:rsidP="00FC10D1">
            <w:pPr>
              <w:pStyle w:val="1stParagraph"/>
            </w:pPr>
            <w:r w:rsidRPr="001A04ED">
              <w:t>Location: urban</w:t>
            </w:r>
          </w:p>
        </w:tc>
        <w:tc>
          <w:tcPr>
            <w:tcW w:w="1243" w:type="dxa"/>
            <w:noWrap/>
            <w:vAlign w:val="center"/>
            <w:hideMark/>
          </w:tcPr>
          <w:p w14:paraId="2F6A56DC" w14:textId="2CDE1C23" w:rsidR="00293000" w:rsidRPr="001A04ED" w:rsidRDefault="00293000" w:rsidP="00FC10D1">
            <w:pPr>
              <w:pStyle w:val="1stParagraph"/>
              <w:jc w:val="center"/>
            </w:pPr>
            <w:r w:rsidRPr="001A04ED">
              <w:t>0.0</w:t>
            </w:r>
          </w:p>
        </w:tc>
        <w:tc>
          <w:tcPr>
            <w:tcW w:w="1342" w:type="dxa"/>
            <w:noWrap/>
            <w:vAlign w:val="center"/>
            <w:hideMark/>
          </w:tcPr>
          <w:p w14:paraId="1D930187" w14:textId="518149E4" w:rsidR="00293000" w:rsidRPr="001A04ED" w:rsidRDefault="00293000" w:rsidP="00FC10D1">
            <w:pPr>
              <w:pStyle w:val="1stParagraph"/>
              <w:jc w:val="center"/>
            </w:pPr>
            <w:r w:rsidRPr="001A04ED">
              <w:t>1.0</w:t>
            </w:r>
          </w:p>
        </w:tc>
        <w:tc>
          <w:tcPr>
            <w:tcW w:w="1242" w:type="dxa"/>
            <w:noWrap/>
            <w:vAlign w:val="center"/>
            <w:hideMark/>
          </w:tcPr>
          <w:p w14:paraId="2BAE5616" w14:textId="59E593B6" w:rsidR="00293000" w:rsidRPr="001A04ED" w:rsidRDefault="00293000" w:rsidP="00FC10D1">
            <w:pPr>
              <w:pStyle w:val="1stParagraph"/>
              <w:jc w:val="center"/>
            </w:pPr>
            <w:r w:rsidRPr="001A04ED">
              <w:t>0.</w:t>
            </w:r>
            <w:r w:rsidR="00F0191D" w:rsidRPr="001A04ED">
              <w:t>7</w:t>
            </w:r>
          </w:p>
        </w:tc>
        <w:tc>
          <w:tcPr>
            <w:tcW w:w="1434" w:type="dxa"/>
            <w:noWrap/>
            <w:vAlign w:val="center"/>
            <w:hideMark/>
          </w:tcPr>
          <w:p w14:paraId="5A294CC1" w14:textId="1A99C32B" w:rsidR="00293000" w:rsidRPr="001A04ED" w:rsidRDefault="00293000" w:rsidP="00FC10D1">
            <w:pPr>
              <w:pStyle w:val="1stParagraph"/>
              <w:jc w:val="center"/>
            </w:pPr>
            <w:r w:rsidRPr="001A04ED">
              <w:t>0.</w:t>
            </w:r>
            <w:r w:rsidR="00C93E70" w:rsidRPr="001A04ED">
              <w:t>5</w:t>
            </w:r>
          </w:p>
        </w:tc>
      </w:tr>
      <w:tr w:rsidR="001A04ED" w:rsidRPr="001A04ED" w14:paraId="4468E415" w14:textId="77777777" w:rsidTr="009E5EDE">
        <w:trPr>
          <w:trHeight w:val="144"/>
        </w:trPr>
        <w:tc>
          <w:tcPr>
            <w:tcW w:w="4089" w:type="dxa"/>
            <w:noWrap/>
            <w:vAlign w:val="center"/>
            <w:hideMark/>
          </w:tcPr>
          <w:p w14:paraId="273BC9CA" w14:textId="77777777" w:rsidR="00293000" w:rsidRPr="001A04ED" w:rsidRDefault="00293000" w:rsidP="00FC10D1">
            <w:pPr>
              <w:pStyle w:val="1stParagraph"/>
            </w:pPr>
            <w:r w:rsidRPr="001A04ED">
              <w:t>Location: rural</w:t>
            </w:r>
          </w:p>
        </w:tc>
        <w:tc>
          <w:tcPr>
            <w:tcW w:w="1243" w:type="dxa"/>
            <w:noWrap/>
            <w:vAlign w:val="center"/>
            <w:hideMark/>
          </w:tcPr>
          <w:p w14:paraId="3BB91862" w14:textId="6E3F3167" w:rsidR="00293000" w:rsidRPr="001A04ED" w:rsidRDefault="00293000" w:rsidP="00FC10D1">
            <w:pPr>
              <w:pStyle w:val="1stParagraph"/>
              <w:jc w:val="center"/>
            </w:pPr>
            <w:r w:rsidRPr="001A04ED">
              <w:t>0.0</w:t>
            </w:r>
          </w:p>
        </w:tc>
        <w:tc>
          <w:tcPr>
            <w:tcW w:w="1342" w:type="dxa"/>
            <w:noWrap/>
            <w:vAlign w:val="center"/>
            <w:hideMark/>
          </w:tcPr>
          <w:p w14:paraId="46E944D0" w14:textId="72427DF1" w:rsidR="00293000" w:rsidRPr="001A04ED" w:rsidRDefault="00293000" w:rsidP="00FC10D1">
            <w:pPr>
              <w:pStyle w:val="1stParagraph"/>
              <w:jc w:val="center"/>
            </w:pPr>
            <w:r w:rsidRPr="001A04ED">
              <w:t>1.0</w:t>
            </w:r>
          </w:p>
        </w:tc>
        <w:tc>
          <w:tcPr>
            <w:tcW w:w="1242" w:type="dxa"/>
            <w:noWrap/>
            <w:vAlign w:val="center"/>
            <w:hideMark/>
          </w:tcPr>
          <w:p w14:paraId="7E01B7E6" w14:textId="76636673" w:rsidR="00293000" w:rsidRPr="001A04ED" w:rsidRDefault="00293000" w:rsidP="00FC10D1">
            <w:pPr>
              <w:pStyle w:val="1stParagraph"/>
              <w:jc w:val="center"/>
            </w:pPr>
            <w:r w:rsidRPr="001A04ED">
              <w:t>0.2</w:t>
            </w:r>
          </w:p>
        </w:tc>
        <w:tc>
          <w:tcPr>
            <w:tcW w:w="1434" w:type="dxa"/>
            <w:noWrap/>
            <w:vAlign w:val="center"/>
            <w:hideMark/>
          </w:tcPr>
          <w:p w14:paraId="22F8F8AE" w14:textId="0256F9B6" w:rsidR="00293000" w:rsidRPr="001A04ED" w:rsidRDefault="00293000" w:rsidP="00FC10D1">
            <w:pPr>
              <w:pStyle w:val="1stParagraph"/>
              <w:jc w:val="center"/>
            </w:pPr>
            <w:r w:rsidRPr="001A04ED">
              <w:t>0.4</w:t>
            </w:r>
          </w:p>
        </w:tc>
      </w:tr>
      <w:tr w:rsidR="001A04ED" w:rsidRPr="001A04ED" w14:paraId="1E45D28E" w14:textId="77777777" w:rsidTr="009E5EDE">
        <w:trPr>
          <w:trHeight w:val="144"/>
        </w:trPr>
        <w:tc>
          <w:tcPr>
            <w:tcW w:w="4089" w:type="dxa"/>
            <w:noWrap/>
            <w:vAlign w:val="center"/>
            <w:hideMark/>
          </w:tcPr>
          <w:p w14:paraId="0702CE4D" w14:textId="77777777" w:rsidR="00293000" w:rsidRPr="001A04ED" w:rsidRDefault="00293000" w:rsidP="00FC10D1">
            <w:pPr>
              <w:pStyle w:val="1stParagraph"/>
            </w:pPr>
            <w:r w:rsidRPr="001A04ED">
              <w:t>Location: cluster</w:t>
            </w:r>
          </w:p>
        </w:tc>
        <w:tc>
          <w:tcPr>
            <w:tcW w:w="1243" w:type="dxa"/>
            <w:noWrap/>
            <w:vAlign w:val="center"/>
            <w:hideMark/>
          </w:tcPr>
          <w:p w14:paraId="11B11D31" w14:textId="4A5FFCEF" w:rsidR="00293000" w:rsidRPr="001A04ED" w:rsidRDefault="00293000" w:rsidP="00FC10D1">
            <w:pPr>
              <w:pStyle w:val="1stParagraph"/>
              <w:jc w:val="center"/>
            </w:pPr>
            <w:r w:rsidRPr="001A04ED">
              <w:t>0.0</w:t>
            </w:r>
          </w:p>
        </w:tc>
        <w:tc>
          <w:tcPr>
            <w:tcW w:w="1342" w:type="dxa"/>
            <w:noWrap/>
            <w:vAlign w:val="center"/>
            <w:hideMark/>
          </w:tcPr>
          <w:p w14:paraId="52B9A3A3" w14:textId="566DC76F" w:rsidR="00293000" w:rsidRPr="001A04ED" w:rsidRDefault="00293000" w:rsidP="00FC10D1">
            <w:pPr>
              <w:pStyle w:val="1stParagraph"/>
              <w:jc w:val="center"/>
            </w:pPr>
            <w:r w:rsidRPr="001A04ED">
              <w:t>1.0</w:t>
            </w:r>
          </w:p>
        </w:tc>
        <w:tc>
          <w:tcPr>
            <w:tcW w:w="1242" w:type="dxa"/>
            <w:noWrap/>
            <w:vAlign w:val="center"/>
            <w:hideMark/>
          </w:tcPr>
          <w:p w14:paraId="36C77EF4" w14:textId="6B2AF0FA" w:rsidR="00293000" w:rsidRPr="001A04ED" w:rsidRDefault="00293000" w:rsidP="00FC10D1">
            <w:pPr>
              <w:pStyle w:val="1stParagraph"/>
              <w:jc w:val="center"/>
            </w:pPr>
            <w:r w:rsidRPr="001A04ED">
              <w:t>0.1</w:t>
            </w:r>
          </w:p>
        </w:tc>
        <w:tc>
          <w:tcPr>
            <w:tcW w:w="1434" w:type="dxa"/>
            <w:noWrap/>
            <w:vAlign w:val="center"/>
            <w:hideMark/>
          </w:tcPr>
          <w:p w14:paraId="1E5E2F35" w14:textId="50D40FEA" w:rsidR="00293000" w:rsidRPr="001A04ED" w:rsidRDefault="00293000" w:rsidP="00FC10D1">
            <w:pPr>
              <w:pStyle w:val="1stParagraph"/>
              <w:jc w:val="center"/>
            </w:pPr>
            <w:r w:rsidRPr="001A04ED">
              <w:t>0.3</w:t>
            </w:r>
          </w:p>
        </w:tc>
      </w:tr>
      <w:tr w:rsidR="001A04ED" w:rsidRPr="001A04ED" w14:paraId="6061F101" w14:textId="77777777" w:rsidTr="009E5EDE">
        <w:trPr>
          <w:trHeight w:val="144"/>
        </w:trPr>
        <w:tc>
          <w:tcPr>
            <w:tcW w:w="4089" w:type="dxa"/>
            <w:noWrap/>
            <w:vAlign w:val="center"/>
            <w:hideMark/>
          </w:tcPr>
          <w:p w14:paraId="77AB644E" w14:textId="77777777" w:rsidR="00293000" w:rsidRPr="001A04ED" w:rsidRDefault="00293000" w:rsidP="00FC10D1">
            <w:pPr>
              <w:pStyle w:val="1stParagraph"/>
            </w:pPr>
            <w:r w:rsidRPr="001A04ED">
              <w:t>Income: less than $25,000</w:t>
            </w:r>
          </w:p>
        </w:tc>
        <w:tc>
          <w:tcPr>
            <w:tcW w:w="1243" w:type="dxa"/>
            <w:noWrap/>
            <w:vAlign w:val="center"/>
            <w:hideMark/>
          </w:tcPr>
          <w:p w14:paraId="0533F28F" w14:textId="7AE5FF32" w:rsidR="00293000" w:rsidRPr="001A04ED" w:rsidRDefault="00293000" w:rsidP="00FC10D1">
            <w:pPr>
              <w:pStyle w:val="1stParagraph"/>
              <w:jc w:val="center"/>
            </w:pPr>
            <w:r w:rsidRPr="001A04ED">
              <w:t>0.0</w:t>
            </w:r>
          </w:p>
        </w:tc>
        <w:tc>
          <w:tcPr>
            <w:tcW w:w="1342" w:type="dxa"/>
            <w:noWrap/>
            <w:vAlign w:val="center"/>
            <w:hideMark/>
          </w:tcPr>
          <w:p w14:paraId="34ED12EB" w14:textId="57B2812B" w:rsidR="00293000" w:rsidRPr="001A04ED" w:rsidRDefault="00293000" w:rsidP="00FC10D1">
            <w:pPr>
              <w:pStyle w:val="1stParagraph"/>
              <w:jc w:val="center"/>
            </w:pPr>
            <w:r w:rsidRPr="001A04ED">
              <w:t>1.0</w:t>
            </w:r>
          </w:p>
        </w:tc>
        <w:tc>
          <w:tcPr>
            <w:tcW w:w="1242" w:type="dxa"/>
            <w:noWrap/>
            <w:vAlign w:val="center"/>
            <w:hideMark/>
          </w:tcPr>
          <w:p w14:paraId="05FB9957" w14:textId="0BC5EB31" w:rsidR="00293000" w:rsidRPr="001A04ED" w:rsidRDefault="00293000" w:rsidP="00FC10D1">
            <w:pPr>
              <w:pStyle w:val="1stParagraph"/>
              <w:jc w:val="center"/>
            </w:pPr>
            <w:r w:rsidRPr="001A04ED">
              <w:t>0.</w:t>
            </w:r>
            <w:r w:rsidR="00756031" w:rsidRPr="001A04ED">
              <w:t>2</w:t>
            </w:r>
          </w:p>
        </w:tc>
        <w:tc>
          <w:tcPr>
            <w:tcW w:w="1434" w:type="dxa"/>
            <w:noWrap/>
            <w:vAlign w:val="center"/>
            <w:hideMark/>
          </w:tcPr>
          <w:p w14:paraId="20365B86" w14:textId="32B06EC0" w:rsidR="00293000" w:rsidRPr="001A04ED" w:rsidRDefault="00293000" w:rsidP="00FC10D1">
            <w:pPr>
              <w:pStyle w:val="1stParagraph"/>
              <w:jc w:val="center"/>
            </w:pPr>
            <w:r w:rsidRPr="001A04ED">
              <w:t>0.</w:t>
            </w:r>
            <w:r w:rsidR="00C93E70" w:rsidRPr="001A04ED">
              <w:t>4</w:t>
            </w:r>
          </w:p>
        </w:tc>
      </w:tr>
      <w:tr w:rsidR="001A04ED" w:rsidRPr="001A04ED" w14:paraId="1AF08071" w14:textId="77777777" w:rsidTr="009E5EDE">
        <w:trPr>
          <w:trHeight w:val="144"/>
        </w:trPr>
        <w:tc>
          <w:tcPr>
            <w:tcW w:w="4089" w:type="dxa"/>
            <w:noWrap/>
            <w:vAlign w:val="center"/>
            <w:hideMark/>
          </w:tcPr>
          <w:p w14:paraId="28679E96" w14:textId="77777777" w:rsidR="00293000" w:rsidRPr="001A04ED" w:rsidRDefault="00293000" w:rsidP="00FC10D1">
            <w:pPr>
              <w:pStyle w:val="1stParagraph"/>
            </w:pPr>
            <w:r w:rsidRPr="001A04ED">
              <w:t>Income: between $25,000 and $49,999</w:t>
            </w:r>
          </w:p>
        </w:tc>
        <w:tc>
          <w:tcPr>
            <w:tcW w:w="1243" w:type="dxa"/>
            <w:noWrap/>
            <w:vAlign w:val="center"/>
            <w:hideMark/>
          </w:tcPr>
          <w:p w14:paraId="2A3BB78F" w14:textId="2818FDF4" w:rsidR="00293000" w:rsidRPr="001A04ED" w:rsidRDefault="00293000" w:rsidP="00FC10D1">
            <w:pPr>
              <w:pStyle w:val="1stParagraph"/>
              <w:jc w:val="center"/>
            </w:pPr>
            <w:r w:rsidRPr="001A04ED">
              <w:t>0.0</w:t>
            </w:r>
          </w:p>
        </w:tc>
        <w:tc>
          <w:tcPr>
            <w:tcW w:w="1342" w:type="dxa"/>
            <w:noWrap/>
            <w:vAlign w:val="center"/>
            <w:hideMark/>
          </w:tcPr>
          <w:p w14:paraId="4FFDC556" w14:textId="4BC74A1E" w:rsidR="00293000" w:rsidRPr="001A04ED" w:rsidRDefault="00293000" w:rsidP="00FC10D1">
            <w:pPr>
              <w:pStyle w:val="1stParagraph"/>
              <w:jc w:val="center"/>
            </w:pPr>
            <w:r w:rsidRPr="001A04ED">
              <w:t>1.0</w:t>
            </w:r>
          </w:p>
        </w:tc>
        <w:tc>
          <w:tcPr>
            <w:tcW w:w="1242" w:type="dxa"/>
            <w:noWrap/>
            <w:vAlign w:val="center"/>
            <w:hideMark/>
          </w:tcPr>
          <w:p w14:paraId="55884CA8" w14:textId="3B9D3329" w:rsidR="00293000" w:rsidRPr="001A04ED" w:rsidRDefault="00293000" w:rsidP="00FC10D1">
            <w:pPr>
              <w:pStyle w:val="1stParagraph"/>
              <w:jc w:val="center"/>
            </w:pPr>
            <w:r w:rsidRPr="001A04ED">
              <w:t>0.2</w:t>
            </w:r>
          </w:p>
        </w:tc>
        <w:tc>
          <w:tcPr>
            <w:tcW w:w="1434" w:type="dxa"/>
            <w:noWrap/>
            <w:vAlign w:val="center"/>
            <w:hideMark/>
          </w:tcPr>
          <w:p w14:paraId="68F1AFC1" w14:textId="558ACDA7" w:rsidR="00293000" w:rsidRPr="001A04ED" w:rsidRDefault="00293000" w:rsidP="00FC10D1">
            <w:pPr>
              <w:pStyle w:val="1stParagraph"/>
              <w:jc w:val="center"/>
            </w:pPr>
            <w:r w:rsidRPr="001A04ED">
              <w:t>0.4</w:t>
            </w:r>
          </w:p>
        </w:tc>
      </w:tr>
      <w:tr w:rsidR="001A04ED" w:rsidRPr="001A04ED" w14:paraId="1C0D898D" w14:textId="77777777" w:rsidTr="009E5EDE">
        <w:trPr>
          <w:trHeight w:val="144"/>
        </w:trPr>
        <w:tc>
          <w:tcPr>
            <w:tcW w:w="4089" w:type="dxa"/>
            <w:noWrap/>
            <w:vAlign w:val="center"/>
            <w:hideMark/>
          </w:tcPr>
          <w:p w14:paraId="177C3629" w14:textId="77777777" w:rsidR="00293000" w:rsidRPr="001A04ED" w:rsidRDefault="00293000" w:rsidP="00FC10D1">
            <w:pPr>
              <w:pStyle w:val="1stParagraph"/>
            </w:pPr>
            <w:r w:rsidRPr="001A04ED">
              <w:t>Income: between $50,000 and $74,999</w:t>
            </w:r>
          </w:p>
        </w:tc>
        <w:tc>
          <w:tcPr>
            <w:tcW w:w="1243" w:type="dxa"/>
            <w:noWrap/>
            <w:vAlign w:val="center"/>
            <w:hideMark/>
          </w:tcPr>
          <w:p w14:paraId="133684D6" w14:textId="416969B9" w:rsidR="00293000" w:rsidRPr="001A04ED" w:rsidRDefault="00293000" w:rsidP="00FC10D1">
            <w:pPr>
              <w:pStyle w:val="1stParagraph"/>
              <w:jc w:val="center"/>
            </w:pPr>
            <w:r w:rsidRPr="001A04ED">
              <w:t>0.0</w:t>
            </w:r>
          </w:p>
        </w:tc>
        <w:tc>
          <w:tcPr>
            <w:tcW w:w="1342" w:type="dxa"/>
            <w:noWrap/>
            <w:vAlign w:val="center"/>
            <w:hideMark/>
          </w:tcPr>
          <w:p w14:paraId="2D92B33A" w14:textId="66F82BBA" w:rsidR="00293000" w:rsidRPr="001A04ED" w:rsidRDefault="00293000" w:rsidP="00FC10D1">
            <w:pPr>
              <w:pStyle w:val="1stParagraph"/>
              <w:jc w:val="center"/>
            </w:pPr>
            <w:r w:rsidRPr="001A04ED">
              <w:t>1.0</w:t>
            </w:r>
          </w:p>
        </w:tc>
        <w:tc>
          <w:tcPr>
            <w:tcW w:w="1242" w:type="dxa"/>
            <w:noWrap/>
            <w:vAlign w:val="center"/>
            <w:hideMark/>
          </w:tcPr>
          <w:p w14:paraId="6FF2755C" w14:textId="5C2A644B" w:rsidR="00293000" w:rsidRPr="001A04ED" w:rsidRDefault="00293000" w:rsidP="00FC10D1">
            <w:pPr>
              <w:pStyle w:val="1stParagraph"/>
              <w:jc w:val="center"/>
            </w:pPr>
            <w:r w:rsidRPr="001A04ED">
              <w:t>0.</w:t>
            </w:r>
            <w:r w:rsidR="00756031" w:rsidRPr="001A04ED">
              <w:t>2</w:t>
            </w:r>
          </w:p>
        </w:tc>
        <w:tc>
          <w:tcPr>
            <w:tcW w:w="1434" w:type="dxa"/>
            <w:noWrap/>
            <w:vAlign w:val="center"/>
            <w:hideMark/>
          </w:tcPr>
          <w:p w14:paraId="438D3A97" w14:textId="0267BFC9" w:rsidR="00293000" w:rsidRPr="001A04ED" w:rsidRDefault="00293000" w:rsidP="00FC10D1">
            <w:pPr>
              <w:pStyle w:val="1stParagraph"/>
              <w:jc w:val="center"/>
            </w:pPr>
            <w:r w:rsidRPr="001A04ED">
              <w:t>0.</w:t>
            </w:r>
            <w:r w:rsidR="00C93E70" w:rsidRPr="001A04ED">
              <w:t>4</w:t>
            </w:r>
          </w:p>
        </w:tc>
      </w:tr>
      <w:tr w:rsidR="001A04ED" w:rsidRPr="001A04ED" w14:paraId="2A88DF25" w14:textId="77777777" w:rsidTr="009E5EDE">
        <w:trPr>
          <w:trHeight w:val="144"/>
        </w:trPr>
        <w:tc>
          <w:tcPr>
            <w:tcW w:w="4089" w:type="dxa"/>
            <w:noWrap/>
            <w:vAlign w:val="center"/>
            <w:hideMark/>
          </w:tcPr>
          <w:p w14:paraId="4E629FC4" w14:textId="77777777" w:rsidR="00293000" w:rsidRPr="001A04ED" w:rsidRDefault="00293000" w:rsidP="00FC10D1">
            <w:pPr>
              <w:pStyle w:val="1stParagraph"/>
            </w:pPr>
            <w:r w:rsidRPr="001A04ED">
              <w:t>Income: between $75,000 and $99,999</w:t>
            </w:r>
          </w:p>
        </w:tc>
        <w:tc>
          <w:tcPr>
            <w:tcW w:w="1243" w:type="dxa"/>
            <w:noWrap/>
            <w:vAlign w:val="center"/>
            <w:hideMark/>
          </w:tcPr>
          <w:p w14:paraId="38980F39" w14:textId="51EC9D50" w:rsidR="00293000" w:rsidRPr="001A04ED" w:rsidRDefault="00293000" w:rsidP="00FC10D1">
            <w:pPr>
              <w:pStyle w:val="1stParagraph"/>
              <w:jc w:val="center"/>
            </w:pPr>
            <w:r w:rsidRPr="001A04ED">
              <w:t>0.0</w:t>
            </w:r>
          </w:p>
        </w:tc>
        <w:tc>
          <w:tcPr>
            <w:tcW w:w="1342" w:type="dxa"/>
            <w:noWrap/>
            <w:vAlign w:val="center"/>
            <w:hideMark/>
          </w:tcPr>
          <w:p w14:paraId="3C8CE290" w14:textId="64225CEA" w:rsidR="00293000" w:rsidRPr="001A04ED" w:rsidRDefault="00293000" w:rsidP="00FC10D1">
            <w:pPr>
              <w:pStyle w:val="1stParagraph"/>
              <w:jc w:val="center"/>
            </w:pPr>
            <w:r w:rsidRPr="001A04ED">
              <w:t>1.0</w:t>
            </w:r>
          </w:p>
        </w:tc>
        <w:tc>
          <w:tcPr>
            <w:tcW w:w="1242" w:type="dxa"/>
            <w:noWrap/>
            <w:vAlign w:val="center"/>
            <w:hideMark/>
          </w:tcPr>
          <w:p w14:paraId="03DC7486" w14:textId="0937C7FD" w:rsidR="00293000" w:rsidRPr="001A04ED" w:rsidRDefault="00293000" w:rsidP="00FC10D1">
            <w:pPr>
              <w:pStyle w:val="1stParagraph"/>
              <w:jc w:val="center"/>
            </w:pPr>
            <w:r w:rsidRPr="001A04ED">
              <w:t>0.1</w:t>
            </w:r>
          </w:p>
        </w:tc>
        <w:tc>
          <w:tcPr>
            <w:tcW w:w="1434" w:type="dxa"/>
            <w:noWrap/>
            <w:vAlign w:val="center"/>
            <w:hideMark/>
          </w:tcPr>
          <w:p w14:paraId="3B6EF3B9" w14:textId="32A4FA06" w:rsidR="00293000" w:rsidRPr="001A04ED" w:rsidRDefault="00293000" w:rsidP="00FC10D1">
            <w:pPr>
              <w:pStyle w:val="1stParagraph"/>
              <w:jc w:val="center"/>
            </w:pPr>
            <w:r w:rsidRPr="001A04ED">
              <w:t>0.3</w:t>
            </w:r>
          </w:p>
        </w:tc>
      </w:tr>
      <w:tr w:rsidR="001A04ED" w:rsidRPr="001A04ED" w14:paraId="0E191DED" w14:textId="77777777" w:rsidTr="009E5EDE">
        <w:trPr>
          <w:trHeight w:val="144"/>
        </w:trPr>
        <w:tc>
          <w:tcPr>
            <w:tcW w:w="4089" w:type="dxa"/>
            <w:noWrap/>
            <w:vAlign w:val="center"/>
            <w:hideMark/>
          </w:tcPr>
          <w:p w14:paraId="5FE5473C" w14:textId="77777777" w:rsidR="00293000" w:rsidRPr="001A04ED" w:rsidRDefault="00293000" w:rsidP="00FC10D1">
            <w:pPr>
              <w:pStyle w:val="1stParagraph"/>
            </w:pPr>
            <w:r w:rsidRPr="001A04ED">
              <w:t>Income: between $100,000 and $149,999</w:t>
            </w:r>
          </w:p>
        </w:tc>
        <w:tc>
          <w:tcPr>
            <w:tcW w:w="1243" w:type="dxa"/>
            <w:noWrap/>
            <w:vAlign w:val="center"/>
            <w:hideMark/>
          </w:tcPr>
          <w:p w14:paraId="79EABCDC" w14:textId="6242ED94" w:rsidR="00293000" w:rsidRPr="001A04ED" w:rsidRDefault="00293000" w:rsidP="00FC10D1">
            <w:pPr>
              <w:pStyle w:val="1stParagraph"/>
              <w:jc w:val="center"/>
            </w:pPr>
            <w:r w:rsidRPr="001A04ED">
              <w:t>0.0</w:t>
            </w:r>
          </w:p>
        </w:tc>
        <w:tc>
          <w:tcPr>
            <w:tcW w:w="1342" w:type="dxa"/>
            <w:noWrap/>
            <w:vAlign w:val="center"/>
            <w:hideMark/>
          </w:tcPr>
          <w:p w14:paraId="3D5C2BA0" w14:textId="5D58EF2D" w:rsidR="00293000" w:rsidRPr="001A04ED" w:rsidRDefault="00293000" w:rsidP="00FC10D1">
            <w:pPr>
              <w:pStyle w:val="1stParagraph"/>
              <w:jc w:val="center"/>
            </w:pPr>
            <w:r w:rsidRPr="001A04ED">
              <w:t>1.0</w:t>
            </w:r>
          </w:p>
        </w:tc>
        <w:tc>
          <w:tcPr>
            <w:tcW w:w="1242" w:type="dxa"/>
            <w:noWrap/>
            <w:vAlign w:val="center"/>
            <w:hideMark/>
          </w:tcPr>
          <w:p w14:paraId="14025B97" w14:textId="47D2C20A" w:rsidR="00293000" w:rsidRPr="001A04ED" w:rsidRDefault="00293000" w:rsidP="00FC10D1">
            <w:pPr>
              <w:pStyle w:val="1stParagraph"/>
              <w:jc w:val="center"/>
            </w:pPr>
            <w:r w:rsidRPr="001A04ED">
              <w:t>0.</w:t>
            </w:r>
            <w:r w:rsidR="00756031" w:rsidRPr="001A04ED">
              <w:t>2</w:t>
            </w:r>
          </w:p>
        </w:tc>
        <w:tc>
          <w:tcPr>
            <w:tcW w:w="1434" w:type="dxa"/>
            <w:noWrap/>
            <w:vAlign w:val="center"/>
            <w:hideMark/>
          </w:tcPr>
          <w:p w14:paraId="398067C1" w14:textId="384D0E6C" w:rsidR="00293000" w:rsidRPr="001A04ED" w:rsidRDefault="00293000" w:rsidP="00FC10D1">
            <w:pPr>
              <w:pStyle w:val="1stParagraph"/>
              <w:jc w:val="center"/>
            </w:pPr>
            <w:r w:rsidRPr="001A04ED">
              <w:t>0.</w:t>
            </w:r>
            <w:r w:rsidR="00C93E70" w:rsidRPr="001A04ED">
              <w:t>4</w:t>
            </w:r>
          </w:p>
        </w:tc>
      </w:tr>
      <w:tr w:rsidR="001A04ED" w:rsidRPr="001A04ED" w14:paraId="4788B90B" w14:textId="77777777" w:rsidTr="009E5EDE">
        <w:trPr>
          <w:trHeight w:val="144"/>
        </w:trPr>
        <w:tc>
          <w:tcPr>
            <w:tcW w:w="4089" w:type="dxa"/>
            <w:noWrap/>
            <w:vAlign w:val="center"/>
            <w:hideMark/>
          </w:tcPr>
          <w:p w14:paraId="749DB329" w14:textId="77777777" w:rsidR="00293000" w:rsidRPr="001A04ED" w:rsidRDefault="00293000" w:rsidP="00FC10D1">
            <w:pPr>
              <w:pStyle w:val="1stParagraph"/>
            </w:pPr>
            <w:r w:rsidRPr="001A04ED">
              <w:t>Income: more than 149,999</w:t>
            </w:r>
          </w:p>
        </w:tc>
        <w:tc>
          <w:tcPr>
            <w:tcW w:w="1243" w:type="dxa"/>
            <w:noWrap/>
            <w:vAlign w:val="center"/>
            <w:hideMark/>
          </w:tcPr>
          <w:p w14:paraId="60EF1039" w14:textId="6EA7DA17" w:rsidR="00293000" w:rsidRPr="001A04ED" w:rsidRDefault="00293000" w:rsidP="00FC10D1">
            <w:pPr>
              <w:pStyle w:val="1stParagraph"/>
              <w:jc w:val="center"/>
            </w:pPr>
            <w:r w:rsidRPr="001A04ED">
              <w:t>0.0</w:t>
            </w:r>
          </w:p>
        </w:tc>
        <w:tc>
          <w:tcPr>
            <w:tcW w:w="1342" w:type="dxa"/>
            <w:noWrap/>
            <w:vAlign w:val="center"/>
            <w:hideMark/>
          </w:tcPr>
          <w:p w14:paraId="4E4E3CF0" w14:textId="7F9A682B" w:rsidR="00293000" w:rsidRPr="001A04ED" w:rsidRDefault="00293000" w:rsidP="00FC10D1">
            <w:pPr>
              <w:pStyle w:val="1stParagraph"/>
              <w:jc w:val="center"/>
            </w:pPr>
            <w:r w:rsidRPr="001A04ED">
              <w:t>1.0</w:t>
            </w:r>
          </w:p>
        </w:tc>
        <w:tc>
          <w:tcPr>
            <w:tcW w:w="1242" w:type="dxa"/>
            <w:noWrap/>
            <w:vAlign w:val="center"/>
            <w:hideMark/>
          </w:tcPr>
          <w:p w14:paraId="2A84A20C" w14:textId="4DC48BCB" w:rsidR="00293000" w:rsidRPr="001A04ED" w:rsidRDefault="00293000" w:rsidP="00FC10D1">
            <w:pPr>
              <w:pStyle w:val="1stParagraph"/>
              <w:jc w:val="center"/>
            </w:pPr>
            <w:r w:rsidRPr="001A04ED">
              <w:t>0.</w:t>
            </w:r>
            <w:r w:rsidR="00756031" w:rsidRPr="001A04ED">
              <w:t>2</w:t>
            </w:r>
          </w:p>
        </w:tc>
        <w:tc>
          <w:tcPr>
            <w:tcW w:w="1434" w:type="dxa"/>
            <w:noWrap/>
            <w:vAlign w:val="center"/>
            <w:hideMark/>
          </w:tcPr>
          <w:p w14:paraId="3D497E8D" w14:textId="136FB033" w:rsidR="00293000" w:rsidRPr="001A04ED" w:rsidRDefault="00293000" w:rsidP="00FC10D1">
            <w:pPr>
              <w:pStyle w:val="1stParagraph"/>
              <w:jc w:val="center"/>
            </w:pPr>
            <w:r w:rsidRPr="001A04ED">
              <w:t>0.</w:t>
            </w:r>
            <w:r w:rsidR="00C93E70" w:rsidRPr="001A04ED">
              <w:t>4</w:t>
            </w:r>
          </w:p>
        </w:tc>
      </w:tr>
      <w:tr w:rsidR="001A04ED" w:rsidRPr="001A04ED" w14:paraId="60AE925B" w14:textId="77777777" w:rsidTr="009E5EDE">
        <w:trPr>
          <w:trHeight w:val="144"/>
        </w:trPr>
        <w:tc>
          <w:tcPr>
            <w:tcW w:w="4089" w:type="dxa"/>
            <w:noWrap/>
            <w:vAlign w:val="center"/>
            <w:hideMark/>
          </w:tcPr>
          <w:p w14:paraId="632FC252" w14:textId="77777777" w:rsidR="00293000" w:rsidRPr="001A04ED" w:rsidRDefault="00293000" w:rsidP="00FC10D1">
            <w:pPr>
              <w:pStyle w:val="1stParagraph"/>
            </w:pPr>
            <w:r w:rsidRPr="001A04ED">
              <w:t>EV availability</w:t>
            </w:r>
          </w:p>
        </w:tc>
        <w:tc>
          <w:tcPr>
            <w:tcW w:w="1243" w:type="dxa"/>
            <w:noWrap/>
            <w:vAlign w:val="center"/>
            <w:hideMark/>
          </w:tcPr>
          <w:p w14:paraId="3A3EB023" w14:textId="1DFB1842" w:rsidR="00293000" w:rsidRPr="001A04ED" w:rsidRDefault="00293000" w:rsidP="00FC10D1">
            <w:pPr>
              <w:pStyle w:val="1stParagraph"/>
              <w:jc w:val="center"/>
            </w:pPr>
            <w:r w:rsidRPr="001A04ED">
              <w:t>0.0</w:t>
            </w:r>
          </w:p>
        </w:tc>
        <w:tc>
          <w:tcPr>
            <w:tcW w:w="1342" w:type="dxa"/>
            <w:noWrap/>
            <w:vAlign w:val="center"/>
            <w:hideMark/>
          </w:tcPr>
          <w:p w14:paraId="11F7FB38" w14:textId="3FBDE3A4" w:rsidR="00293000" w:rsidRPr="001A04ED" w:rsidRDefault="00293000" w:rsidP="00FC10D1">
            <w:pPr>
              <w:pStyle w:val="1stParagraph"/>
              <w:jc w:val="center"/>
            </w:pPr>
            <w:r w:rsidRPr="001A04ED">
              <w:t>1.0</w:t>
            </w:r>
          </w:p>
        </w:tc>
        <w:tc>
          <w:tcPr>
            <w:tcW w:w="1242" w:type="dxa"/>
            <w:noWrap/>
            <w:vAlign w:val="center"/>
            <w:hideMark/>
          </w:tcPr>
          <w:p w14:paraId="716D5846" w14:textId="6D3D8C65" w:rsidR="00293000" w:rsidRPr="001A04ED" w:rsidRDefault="00756031" w:rsidP="00FC10D1">
            <w:pPr>
              <w:pStyle w:val="1stParagraph"/>
              <w:jc w:val="center"/>
            </w:pPr>
            <w:r w:rsidRPr="001A04ED">
              <w:t>&lt;0.1</w:t>
            </w:r>
          </w:p>
        </w:tc>
        <w:tc>
          <w:tcPr>
            <w:tcW w:w="1434" w:type="dxa"/>
            <w:noWrap/>
            <w:vAlign w:val="center"/>
            <w:hideMark/>
          </w:tcPr>
          <w:p w14:paraId="0AE079D5" w14:textId="30976C60" w:rsidR="00293000" w:rsidRPr="001A04ED" w:rsidRDefault="00293000" w:rsidP="00FC10D1">
            <w:pPr>
              <w:pStyle w:val="1stParagraph"/>
              <w:jc w:val="center"/>
            </w:pPr>
            <w:r w:rsidRPr="001A04ED">
              <w:t>0.1</w:t>
            </w:r>
          </w:p>
        </w:tc>
      </w:tr>
      <w:tr w:rsidR="001A04ED" w:rsidRPr="001A04ED" w14:paraId="2C2C456A" w14:textId="77777777" w:rsidTr="009E5EDE">
        <w:trPr>
          <w:trHeight w:val="144"/>
        </w:trPr>
        <w:tc>
          <w:tcPr>
            <w:tcW w:w="4089" w:type="dxa"/>
            <w:noWrap/>
            <w:vAlign w:val="center"/>
            <w:hideMark/>
          </w:tcPr>
          <w:p w14:paraId="24318CD2" w14:textId="77777777" w:rsidR="00293000" w:rsidRPr="001A04ED" w:rsidRDefault="00293000" w:rsidP="00FC10D1">
            <w:pPr>
              <w:pStyle w:val="1stParagraph"/>
            </w:pPr>
            <w:r w:rsidRPr="001A04ED">
              <w:t>Housing type: single family detached</w:t>
            </w:r>
          </w:p>
        </w:tc>
        <w:tc>
          <w:tcPr>
            <w:tcW w:w="1243" w:type="dxa"/>
            <w:noWrap/>
            <w:vAlign w:val="center"/>
            <w:hideMark/>
          </w:tcPr>
          <w:p w14:paraId="1BF40D03" w14:textId="127D8F91" w:rsidR="00293000" w:rsidRPr="001A04ED" w:rsidRDefault="00293000" w:rsidP="00FC10D1">
            <w:pPr>
              <w:pStyle w:val="1stParagraph"/>
              <w:jc w:val="center"/>
            </w:pPr>
            <w:r w:rsidRPr="001A04ED">
              <w:t>0.0</w:t>
            </w:r>
          </w:p>
        </w:tc>
        <w:tc>
          <w:tcPr>
            <w:tcW w:w="1342" w:type="dxa"/>
            <w:noWrap/>
            <w:vAlign w:val="center"/>
            <w:hideMark/>
          </w:tcPr>
          <w:p w14:paraId="7CA3F2D2" w14:textId="6319DD02" w:rsidR="00293000" w:rsidRPr="001A04ED" w:rsidRDefault="00293000" w:rsidP="00FC10D1">
            <w:pPr>
              <w:pStyle w:val="1stParagraph"/>
              <w:jc w:val="center"/>
            </w:pPr>
            <w:r w:rsidRPr="001A04ED">
              <w:t>1.0</w:t>
            </w:r>
          </w:p>
        </w:tc>
        <w:tc>
          <w:tcPr>
            <w:tcW w:w="1242" w:type="dxa"/>
            <w:noWrap/>
            <w:vAlign w:val="center"/>
            <w:hideMark/>
          </w:tcPr>
          <w:p w14:paraId="38A74E1D" w14:textId="33B90260" w:rsidR="00293000" w:rsidRPr="001A04ED" w:rsidRDefault="00293000" w:rsidP="00FC10D1">
            <w:pPr>
              <w:pStyle w:val="1stParagraph"/>
              <w:jc w:val="center"/>
            </w:pPr>
            <w:r w:rsidRPr="001A04ED">
              <w:t>0.</w:t>
            </w:r>
            <w:r w:rsidR="00756031" w:rsidRPr="001A04ED">
              <w:t>7</w:t>
            </w:r>
          </w:p>
        </w:tc>
        <w:tc>
          <w:tcPr>
            <w:tcW w:w="1434" w:type="dxa"/>
            <w:noWrap/>
            <w:vAlign w:val="center"/>
            <w:hideMark/>
          </w:tcPr>
          <w:p w14:paraId="056C70B3" w14:textId="54ED9AE4" w:rsidR="00293000" w:rsidRPr="001A04ED" w:rsidRDefault="00293000" w:rsidP="00FC10D1">
            <w:pPr>
              <w:pStyle w:val="1stParagraph"/>
              <w:jc w:val="center"/>
            </w:pPr>
            <w:r w:rsidRPr="001A04ED">
              <w:t>0.</w:t>
            </w:r>
            <w:r w:rsidR="00C93E70" w:rsidRPr="001A04ED">
              <w:t>5</w:t>
            </w:r>
          </w:p>
        </w:tc>
      </w:tr>
      <w:tr w:rsidR="001A04ED" w:rsidRPr="001A04ED" w14:paraId="32938995" w14:textId="77777777" w:rsidTr="009E5EDE">
        <w:trPr>
          <w:trHeight w:val="144"/>
        </w:trPr>
        <w:tc>
          <w:tcPr>
            <w:tcW w:w="4089" w:type="dxa"/>
            <w:noWrap/>
            <w:vAlign w:val="center"/>
            <w:hideMark/>
          </w:tcPr>
          <w:p w14:paraId="396FCACD" w14:textId="77777777" w:rsidR="00293000" w:rsidRPr="001A04ED" w:rsidRDefault="00293000" w:rsidP="00FC10D1">
            <w:pPr>
              <w:pStyle w:val="1stParagraph"/>
            </w:pPr>
            <w:r w:rsidRPr="001A04ED">
              <w:t>Housing type: single family attached</w:t>
            </w:r>
          </w:p>
        </w:tc>
        <w:tc>
          <w:tcPr>
            <w:tcW w:w="1243" w:type="dxa"/>
            <w:noWrap/>
            <w:vAlign w:val="center"/>
            <w:hideMark/>
          </w:tcPr>
          <w:p w14:paraId="10C3E567" w14:textId="1CABF006" w:rsidR="00293000" w:rsidRPr="001A04ED" w:rsidRDefault="00293000" w:rsidP="00FC10D1">
            <w:pPr>
              <w:pStyle w:val="1stParagraph"/>
              <w:jc w:val="center"/>
            </w:pPr>
            <w:r w:rsidRPr="001A04ED">
              <w:t>0.0</w:t>
            </w:r>
          </w:p>
        </w:tc>
        <w:tc>
          <w:tcPr>
            <w:tcW w:w="1342" w:type="dxa"/>
            <w:noWrap/>
            <w:vAlign w:val="center"/>
            <w:hideMark/>
          </w:tcPr>
          <w:p w14:paraId="46446C78" w14:textId="5220BDDC" w:rsidR="00293000" w:rsidRPr="001A04ED" w:rsidRDefault="00293000" w:rsidP="00FC10D1">
            <w:pPr>
              <w:pStyle w:val="1stParagraph"/>
              <w:jc w:val="center"/>
            </w:pPr>
            <w:r w:rsidRPr="001A04ED">
              <w:t>1.0</w:t>
            </w:r>
          </w:p>
        </w:tc>
        <w:tc>
          <w:tcPr>
            <w:tcW w:w="1242" w:type="dxa"/>
            <w:noWrap/>
            <w:vAlign w:val="center"/>
            <w:hideMark/>
          </w:tcPr>
          <w:p w14:paraId="4A021F72" w14:textId="45E0315C" w:rsidR="00293000" w:rsidRPr="001A04ED" w:rsidRDefault="00293000" w:rsidP="00FC10D1">
            <w:pPr>
              <w:pStyle w:val="1stParagraph"/>
              <w:jc w:val="center"/>
            </w:pPr>
            <w:r w:rsidRPr="001A04ED">
              <w:t>0.</w:t>
            </w:r>
            <w:r w:rsidR="00756031" w:rsidRPr="001A04ED">
              <w:t>1</w:t>
            </w:r>
          </w:p>
        </w:tc>
        <w:tc>
          <w:tcPr>
            <w:tcW w:w="1434" w:type="dxa"/>
            <w:noWrap/>
            <w:vAlign w:val="center"/>
            <w:hideMark/>
          </w:tcPr>
          <w:p w14:paraId="4E7D28D0" w14:textId="2469B6BB" w:rsidR="00293000" w:rsidRPr="001A04ED" w:rsidRDefault="00293000" w:rsidP="00FC10D1">
            <w:pPr>
              <w:pStyle w:val="1stParagraph"/>
              <w:jc w:val="center"/>
            </w:pPr>
            <w:r w:rsidRPr="001A04ED">
              <w:t>0.</w:t>
            </w:r>
            <w:r w:rsidR="00C93E70" w:rsidRPr="001A04ED">
              <w:t>3</w:t>
            </w:r>
          </w:p>
        </w:tc>
      </w:tr>
      <w:tr w:rsidR="001A04ED" w:rsidRPr="001A04ED" w14:paraId="04803F81" w14:textId="77777777" w:rsidTr="009E5EDE">
        <w:trPr>
          <w:trHeight w:val="144"/>
        </w:trPr>
        <w:tc>
          <w:tcPr>
            <w:tcW w:w="4089" w:type="dxa"/>
            <w:noWrap/>
            <w:vAlign w:val="center"/>
            <w:hideMark/>
          </w:tcPr>
          <w:p w14:paraId="6111E0AF" w14:textId="77777777" w:rsidR="00293000" w:rsidRPr="001A04ED" w:rsidRDefault="00293000" w:rsidP="00FC10D1">
            <w:pPr>
              <w:pStyle w:val="1stParagraph"/>
            </w:pPr>
            <w:r w:rsidRPr="001A04ED">
              <w:t>Housing type: apartment</w:t>
            </w:r>
          </w:p>
        </w:tc>
        <w:tc>
          <w:tcPr>
            <w:tcW w:w="1243" w:type="dxa"/>
            <w:noWrap/>
            <w:vAlign w:val="center"/>
            <w:hideMark/>
          </w:tcPr>
          <w:p w14:paraId="05E58553" w14:textId="25799DD3" w:rsidR="00293000" w:rsidRPr="001A04ED" w:rsidRDefault="00293000" w:rsidP="00FC10D1">
            <w:pPr>
              <w:pStyle w:val="1stParagraph"/>
              <w:jc w:val="center"/>
            </w:pPr>
            <w:r w:rsidRPr="001A04ED">
              <w:t>0.0</w:t>
            </w:r>
          </w:p>
        </w:tc>
        <w:tc>
          <w:tcPr>
            <w:tcW w:w="1342" w:type="dxa"/>
            <w:noWrap/>
            <w:vAlign w:val="center"/>
            <w:hideMark/>
          </w:tcPr>
          <w:p w14:paraId="51387C45" w14:textId="01D38B23" w:rsidR="00293000" w:rsidRPr="001A04ED" w:rsidRDefault="00293000" w:rsidP="00FC10D1">
            <w:pPr>
              <w:pStyle w:val="1stParagraph"/>
              <w:jc w:val="center"/>
            </w:pPr>
            <w:r w:rsidRPr="001A04ED">
              <w:t>1.0</w:t>
            </w:r>
          </w:p>
        </w:tc>
        <w:tc>
          <w:tcPr>
            <w:tcW w:w="1242" w:type="dxa"/>
            <w:noWrap/>
            <w:vAlign w:val="center"/>
            <w:hideMark/>
          </w:tcPr>
          <w:p w14:paraId="7F0448F7" w14:textId="774AA1B9" w:rsidR="00293000" w:rsidRPr="001A04ED" w:rsidRDefault="00293000" w:rsidP="00FC10D1">
            <w:pPr>
              <w:pStyle w:val="1stParagraph"/>
              <w:jc w:val="center"/>
            </w:pPr>
            <w:r w:rsidRPr="001A04ED">
              <w:t>0.</w:t>
            </w:r>
            <w:r w:rsidR="00756031" w:rsidRPr="001A04ED">
              <w:t>2</w:t>
            </w:r>
          </w:p>
        </w:tc>
        <w:tc>
          <w:tcPr>
            <w:tcW w:w="1434" w:type="dxa"/>
            <w:noWrap/>
            <w:vAlign w:val="center"/>
            <w:hideMark/>
          </w:tcPr>
          <w:p w14:paraId="62702D21" w14:textId="16D1FCA2" w:rsidR="00293000" w:rsidRPr="001A04ED" w:rsidRDefault="00293000" w:rsidP="00FC10D1">
            <w:pPr>
              <w:pStyle w:val="1stParagraph"/>
              <w:jc w:val="center"/>
            </w:pPr>
            <w:r w:rsidRPr="001A04ED">
              <w:t>0.</w:t>
            </w:r>
            <w:r w:rsidR="00C93E70" w:rsidRPr="001A04ED">
              <w:t>4</w:t>
            </w:r>
          </w:p>
        </w:tc>
      </w:tr>
      <w:tr w:rsidR="001A04ED" w:rsidRPr="001A04ED" w14:paraId="75421815" w14:textId="77777777" w:rsidTr="009E5EDE">
        <w:trPr>
          <w:trHeight w:val="144"/>
        </w:trPr>
        <w:tc>
          <w:tcPr>
            <w:tcW w:w="4089" w:type="dxa"/>
            <w:noWrap/>
            <w:vAlign w:val="center"/>
          </w:tcPr>
          <w:p w14:paraId="4710FCA6" w14:textId="77777777" w:rsidR="00293000" w:rsidRPr="001A04ED" w:rsidRDefault="00293000" w:rsidP="00FC10D1">
            <w:pPr>
              <w:pStyle w:val="1stParagraph"/>
            </w:pPr>
            <w:r w:rsidRPr="001A04ED">
              <w:t>Housing type: Others</w:t>
            </w:r>
          </w:p>
        </w:tc>
        <w:tc>
          <w:tcPr>
            <w:tcW w:w="1243" w:type="dxa"/>
            <w:noWrap/>
            <w:vAlign w:val="center"/>
          </w:tcPr>
          <w:p w14:paraId="71B93C66" w14:textId="74214325" w:rsidR="00293000" w:rsidRPr="001A04ED" w:rsidRDefault="00293000" w:rsidP="00FC10D1">
            <w:pPr>
              <w:pStyle w:val="1stParagraph"/>
              <w:jc w:val="center"/>
            </w:pPr>
            <w:r w:rsidRPr="001A04ED">
              <w:t>0.0</w:t>
            </w:r>
          </w:p>
        </w:tc>
        <w:tc>
          <w:tcPr>
            <w:tcW w:w="1342" w:type="dxa"/>
            <w:noWrap/>
            <w:vAlign w:val="center"/>
          </w:tcPr>
          <w:p w14:paraId="6A4F1BEC" w14:textId="5F4C11FE" w:rsidR="00293000" w:rsidRPr="001A04ED" w:rsidRDefault="00293000" w:rsidP="00FC10D1">
            <w:pPr>
              <w:pStyle w:val="1stParagraph"/>
              <w:jc w:val="center"/>
            </w:pPr>
            <w:r w:rsidRPr="001A04ED">
              <w:t>1.0</w:t>
            </w:r>
          </w:p>
        </w:tc>
        <w:tc>
          <w:tcPr>
            <w:tcW w:w="1242" w:type="dxa"/>
            <w:noWrap/>
            <w:vAlign w:val="center"/>
          </w:tcPr>
          <w:p w14:paraId="77EF2B23" w14:textId="79DB4CBC" w:rsidR="00293000" w:rsidRPr="001A04ED" w:rsidRDefault="00293000" w:rsidP="00FC10D1">
            <w:pPr>
              <w:pStyle w:val="1stParagraph"/>
              <w:jc w:val="center"/>
            </w:pPr>
            <w:r w:rsidRPr="001A04ED">
              <w:t>0.</w:t>
            </w:r>
            <w:r w:rsidR="00756031" w:rsidRPr="001A04ED">
              <w:t>1</w:t>
            </w:r>
          </w:p>
        </w:tc>
        <w:tc>
          <w:tcPr>
            <w:tcW w:w="1434" w:type="dxa"/>
            <w:noWrap/>
            <w:vAlign w:val="center"/>
          </w:tcPr>
          <w:p w14:paraId="2D56C7F7" w14:textId="37223C80" w:rsidR="00293000" w:rsidRPr="001A04ED" w:rsidRDefault="00293000" w:rsidP="00FC10D1">
            <w:pPr>
              <w:pStyle w:val="1stParagraph"/>
              <w:jc w:val="center"/>
            </w:pPr>
            <w:r w:rsidRPr="001A04ED">
              <w:t>0.2</w:t>
            </w:r>
          </w:p>
        </w:tc>
      </w:tr>
      <w:tr w:rsidR="001A04ED" w:rsidRPr="001A04ED" w14:paraId="13862B44" w14:textId="77777777" w:rsidTr="009E5EDE">
        <w:trPr>
          <w:trHeight w:val="144"/>
        </w:trPr>
        <w:tc>
          <w:tcPr>
            <w:tcW w:w="4089" w:type="dxa"/>
            <w:noWrap/>
            <w:vAlign w:val="center"/>
            <w:hideMark/>
          </w:tcPr>
          <w:p w14:paraId="03A2D72B" w14:textId="77777777" w:rsidR="00293000" w:rsidRPr="001A04ED" w:rsidRDefault="00293000" w:rsidP="00FC10D1">
            <w:pPr>
              <w:pStyle w:val="1stParagraph"/>
            </w:pPr>
            <w:r w:rsidRPr="001A04ED">
              <w:t>Region: West</w:t>
            </w:r>
          </w:p>
        </w:tc>
        <w:tc>
          <w:tcPr>
            <w:tcW w:w="1243" w:type="dxa"/>
            <w:noWrap/>
            <w:vAlign w:val="center"/>
            <w:hideMark/>
          </w:tcPr>
          <w:p w14:paraId="192531B7" w14:textId="2BC90681" w:rsidR="00293000" w:rsidRPr="001A04ED" w:rsidRDefault="00293000" w:rsidP="00FC10D1">
            <w:pPr>
              <w:pStyle w:val="1stParagraph"/>
              <w:jc w:val="center"/>
            </w:pPr>
            <w:r w:rsidRPr="001A04ED">
              <w:t>0.0</w:t>
            </w:r>
          </w:p>
        </w:tc>
        <w:tc>
          <w:tcPr>
            <w:tcW w:w="1342" w:type="dxa"/>
            <w:noWrap/>
            <w:vAlign w:val="center"/>
            <w:hideMark/>
          </w:tcPr>
          <w:p w14:paraId="42F0E996" w14:textId="53B2D29B" w:rsidR="00293000" w:rsidRPr="001A04ED" w:rsidRDefault="00293000" w:rsidP="00FC10D1">
            <w:pPr>
              <w:pStyle w:val="1stParagraph"/>
              <w:jc w:val="center"/>
            </w:pPr>
            <w:r w:rsidRPr="001A04ED">
              <w:t>1.0</w:t>
            </w:r>
          </w:p>
        </w:tc>
        <w:tc>
          <w:tcPr>
            <w:tcW w:w="1242" w:type="dxa"/>
            <w:noWrap/>
            <w:vAlign w:val="center"/>
            <w:hideMark/>
          </w:tcPr>
          <w:p w14:paraId="2F3DEA7F" w14:textId="436235F9" w:rsidR="00293000" w:rsidRPr="001A04ED" w:rsidRDefault="00293000" w:rsidP="00FC10D1">
            <w:pPr>
              <w:pStyle w:val="1stParagraph"/>
              <w:jc w:val="center"/>
            </w:pPr>
            <w:r w:rsidRPr="001A04ED">
              <w:t>0.</w:t>
            </w:r>
            <w:r w:rsidR="00756031" w:rsidRPr="001A04ED">
              <w:t>3</w:t>
            </w:r>
          </w:p>
        </w:tc>
        <w:tc>
          <w:tcPr>
            <w:tcW w:w="1434" w:type="dxa"/>
            <w:noWrap/>
            <w:vAlign w:val="center"/>
            <w:hideMark/>
          </w:tcPr>
          <w:p w14:paraId="7559DD28" w14:textId="5B9FA749" w:rsidR="00293000" w:rsidRPr="001A04ED" w:rsidRDefault="00293000" w:rsidP="00FC10D1">
            <w:pPr>
              <w:pStyle w:val="1stParagraph"/>
              <w:jc w:val="center"/>
            </w:pPr>
            <w:r w:rsidRPr="001A04ED">
              <w:t>0.4</w:t>
            </w:r>
          </w:p>
        </w:tc>
      </w:tr>
      <w:tr w:rsidR="001A04ED" w:rsidRPr="001A04ED" w14:paraId="587DD1D1" w14:textId="77777777" w:rsidTr="009E5EDE">
        <w:trPr>
          <w:trHeight w:val="144"/>
        </w:trPr>
        <w:tc>
          <w:tcPr>
            <w:tcW w:w="4089" w:type="dxa"/>
            <w:noWrap/>
            <w:vAlign w:val="center"/>
            <w:hideMark/>
          </w:tcPr>
          <w:p w14:paraId="1D367A31" w14:textId="77777777" w:rsidR="00293000" w:rsidRPr="001A04ED" w:rsidRDefault="00293000" w:rsidP="00FC10D1">
            <w:pPr>
              <w:pStyle w:val="1stParagraph"/>
            </w:pPr>
            <w:r w:rsidRPr="001A04ED">
              <w:t>Region: South</w:t>
            </w:r>
          </w:p>
        </w:tc>
        <w:tc>
          <w:tcPr>
            <w:tcW w:w="1243" w:type="dxa"/>
            <w:noWrap/>
            <w:vAlign w:val="center"/>
            <w:hideMark/>
          </w:tcPr>
          <w:p w14:paraId="4DFA5CE7" w14:textId="21DB0DBB" w:rsidR="00293000" w:rsidRPr="001A04ED" w:rsidRDefault="00293000" w:rsidP="00FC10D1">
            <w:pPr>
              <w:pStyle w:val="1stParagraph"/>
              <w:jc w:val="center"/>
            </w:pPr>
            <w:r w:rsidRPr="001A04ED">
              <w:t>0.0</w:t>
            </w:r>
          </w:p>
        </w:tc>
        <w:tc>
          <w:tcPr>
            <w:tcW w:w="1342" w:type="dxa"/>
            <w:noWrap/>
            <w:vAlign w:val="center"/>
            <w:hideMark/>
          </w:tcPr>
          <w:p w14:paraId="18CADF1D" w14:textId="251CFE84" w:rsidR="00293000" w:rsidRPr="001A04ED" w:rsidRDefault="00293000" w:rsidP="00FC10D1">
            <w:pPr>
              <w:pStyle w:val="1stParagraph"/>
              <w:jc w:val="center"/>
            </w:pPr>
            <w:r w:rsidRPr="001A04ED">
              <w:t>1.0</w:t>
            </w:r>
          </w:p>
        </w:tc>
        <w:tc>
          <w:tcPr>
            <w:tcW w:w="1242" w:type="dxa"/>
            <w:noWrap/>
            <w:vAlign w:val="center"/>
            <w:hideMark/>
          </w:tcPr>
          <w:p w14:paraId="39DE232B" w14:textId="01F0CAD3" w:rsidR="00293000" w:rsidRPr="001A04ED" w:rsidRDefault="00293000" w:rsidP="00FC10D1">
            <w:pPr>
              <w:pStyle w:val="1stParagraph"/>
              <w:jc w:val="center"/>
            </w:pPr>
            <w:r w:rsidRPr="001A04ED">
              <w:t>0.3</w:t>
            </w:r>
          </w:p>
        </w:tc>
        <w:tc>
          <w:tcPr>
            <w:tcW w:w="1434" w:type="dxa"/>
            <w:noWrap/>
            <w:vAlign w:val="center"/>
            <w:hideMark/>
          </w:tcPr>
          <w:p w14:paraId="19F7F4FA" w14:textId="639ACF3E" w:rsidR="00293000" w:rsidRPr="001A04ED" w:rsidRDefault="00293000" w:rsidP="00FC10D1">
            <w:pPr>
              <w:pStyle w:val="1stParagraph"/>
              <w:jc w:val="center"/>
            </w:pPr>
            <w:r w:rsidRPr="001A04ED">
              <w:t>0.</w:t>
            </w:r>
            <w:r w:rsidR="00C93E70" w:rsidRPr="001A04ED">
              <w:t>5</w:t>
            </w:r>
          </w:p>
        </w:tc>
      </w:tr>
      <w:tr w:rsidR="001A04ED" w:rsidRPr="001A04ED" w14:paraId="5E0534ED" w14:textId="77777777" w:rsidTr="009E5EDE">
        <w:trPr>
          <w:trHeight w:val="144"/>
        </w:trPr>
        <w:tc>
          <w:tcPr>
            <w:tcW w:w="4089" w:type="dxa"/>
            <w:noWrap/>
            <w:vAlign w:val="center"/>
            <w:hideMark/>
          </w:tcPr>
          <w:p w14:paraId="6DE72533" w14:textId="77777777" w:rsidR="00293000" w:rsidRPr="001A04ED" w:rsidRDefault="00293000" w:rsidP="00FC10D1">
            <w:pPr>
              <w:pStyle w:val="1stParagraph"/>
            </w:pPr>
            <w:r w:rsidRPr="001A04ED">
              <w:t>Region: Northeast</w:t>
            </w:r>
          </w:p>
        </w:tc>
        <w:tc>
          <w:tcPr>
            <w:tcW w:w="1243" w:type="dxa"/>
            <w:noWrap/>
            <w:vAlign w:val="center"/>
            <w:hideMark/>
          </w:tcPr>
          <w:p w14:paraId="578B1368" w14:textId="385A8B14" w:rsidR="00293000" w:rsidRPr="001A04ED" w:rsidRDefault="00293000" w:rsidP="00FC10D1">
            <w:pPr>
              <w:pStyle w:val="1stParagraph"/>
              <w:jc w:val="center"/>
            </w:pPr>
            <w:r w:rsidRPr="001A04ED">
              <w:t>0.0</w:t>
            </w:r>
          </w:p>
        </w:tc>
        <w:tc>
          <w:tcPr>
            <w:tcW w:w="1342" w:type="dxa"/>
            <w:noWrap/>
            <w:vAlign w:val="center"/>
            <w:hideMark/>
          </w:tcPr>
          <w:p w14:paraId="0D745C9E" w14:textId="0D84EBDF" w:rsidR="00293000" w:rsidRPr="001A04ED" w:rsidRDefault="00293000" w:rsidP="00FC10D1">
            <w:pPr>
              <w:pStyle w:val="1stParagraph"/>
              <w:jc w:val="center"/>
            </w:pPr>
            <w:r w:rsidRPr="001A04ED">
              <w:t>1.0</w:t>
            </w:r>
          </w:p>
        </w:tc>
        <w:tc>
          <w:tcPr>
            <w:tcW w:w="1242" w:type="dxa"/>
            <w:noWrap/>
            <w:vAlign w:val="center"/>
            <w:hideMark/>
          </w:tcPr>
          <w:p w14:paraId="4411D916" w14:textId="649708FD" w:rsidR="00293000" w:rsidRPr="001A04ED" w:rsidRDefault="00293000" w:rsidP="00FC10D1">
            <w:pPr>
              <w:pStyle w:val="1stParagraph"/>
              <w:jc w:val="center"/>
            </w:pPr>
            <w:r w:rsidRPr="001A04ED">
              <w:t>0.</w:t>
            </w:r>
            <w:r w:rsidR="00756031" w:rsidRPr="001A04ED">
              <w:t>2</w:t>
            </w:r>
          </w:p>
        </w:tc>
        <w:tc>
          <w:tcPr>
            <w:tcW w:w="1434" w:type="dxa"/>
            <w:noWrap/>
            <w:vAlign w:val="center"/>
            <w:hideMark/>
          </w:tcPr>
          <w:p w14:paraId="7BC209F7" w14:textId="286AE1D0" w:rsidR="00293000" w:rsidRPr="001A04ED" w:rsidRDefault="00293000" w:rsidP="00FC10D1">
            <w:pPr>
              <w:pStyle w:val="1stParagraph"/>
              <w:jc w:val="center"/>
            </w:pPr>
            <w:r w:rsidRPr="001A04ED">
              <w:t>0.</w:t>
            </w:r>
            <w:r w:rsidR="00C93E70" w:rsidRPr="001A04ED">
              <w:t>4</w:t>
            </w:r>
          </w:p>
        </w:tc>
      </w:tr>
      <w:tr w:rsidR="001A04ED" w:rsidRPr="001A04ED" w14:paraId="1F1FEE59" w14:textId="77777777" w:rsidTr="009E5EDE">
        <w:trPr>
          <w:trHeight w:val="144"/>
        </w:trPr>
        <w:tc>
          <w:tcPr>
            <w:tcW w:w="4089" w:type="dxa"/>
            <w:noWrap/>
            <w:vAlign w:val="center"/>
            <w:hideMark/>
          </w:tcPr>
          <w:p w14:paraId="08CC4D08" w14:textId="77777777" w:rsidR="00293000" w:rsidRPr="001A04ED" w:rsidRDefault="00293000" w:rsidP="00FC10D1">
            <w:pPr>
              <w:pStyle w:val="1stParagraph"/>
            </w:pPr>
            <w:r w:rsidRPr="001A04ED">
              <w:t>Region: Midwest</w:t>
            </w:r>
          </w:p>
        </w:tc>
        <w:tc>
          <w:tcPr>
            <w:tcW w:w="1243" w:type="dxa"/>
            <w:noWrap/>
            <w:vAlign w:val="center"/>
            <w:hideMark/>
          </w:tcPr>
          <w:p w14:paraId="20B3D2B9" w14:textId="7BA198FD" w:rsidR="00293000" w:rsidRPr="001A04ED" w:rsidRDefault="00293000" w:rsidP="00FC10D1">
            <w:pPr>
              <w:pStyle w:val="1stParagraph"/>
              <w:jc w:val="center"/>
            </w:pPr>
            <w:r w:rsidRPr="001A04ED">
              <w:t>0.0</w:t>
            </w:r>
          </w:p>
        </w:tc>
        <w:tc>
          <w:tcPr>
            <w:tcW w:w="1342" w:type="dxa"/>
            <w:noWrap/>
            <w:vAlign w:val="center"/>
            <w:hideMark/>
          </w:tcPr>
          <w:p w14:paraId="2DA7BA22" w14:textId="09746BDB" w:rsidR="00293000" w:rsidRPr="001A04ED" w:rsidRDefault="00293000" w:rsidP="00FC10D1">
            <w:pPr>
              <w:pStyle w:val="1stParagraph"/>
              <w:jc w:val="center"/>
            </w:pPr>
            <w:r w:rsidRPr="001A04ED">
              <w:t>1.0</w:t>
            </w:r>
          </w:p>
        </w:tc>
        <w:tc>
          <w:tcPr>
            <w:tcW w:w="1242" w:type="dxa"/>
            <w:noWrap/>
            <w:vAlign w:val="center"/>
            <w:hideMark/>
          </w:tcPr>
          <w:p w14:paraId="169C634D" w14:textId="4169C64C" w:rsidR="00293000" w:rsidRPr="001A04ED" w:rsidRDefault="00293000" w:rsidP="00FC10D1">
            <w:pPr>
              <w:pStyle w:val="1stParagraph"/>
              <w:jc w:val="center"/>
            </w:pPr>
            <w:r w:rsidRPr="001A04ED">
              <w:t>0.2</w:t>
            </w:r>
          </w:p>
        </w:tc>
        <w:tc>
          <w:tcPr>
            <w:tcW w:w="1434" w:type="dxa"/>
            <w:noWrap/>
            <w:vAlign w:val="center"/>
            <w:hideMark/>
          </w:tcPr>
          <w:p w14:paraId="089A3640" w14:textId="042A519F" w:rsidR="00293000" w:rsidRPr="001A04ED" w:rsidRDefault="00293000" w:rsidP="00FC10D1">
            <w:pPr>
              <w:pStyle w:val="1stParagraph"/>
              <w:jc w:val="center"/>
            </w:pPr>
            <w:r w:rsidRPr="001A04ED">
              <w:t>0.4</w:t>
            </w:r>
          </w:p>
        </w:tc>
      </w:tr>
      <w:tr w:rsidR="001A04ED" w:rsidRPr="001A04ED" w14:paraId="52BE2DFE" w14:textId="77777777" w:rsidTr="009E5EDE">
        <w:trPr>
          <w:trHeight w:val="144"/>
        </w:trPr>
        <w:tc>
          <w:tcPr>
            <w:tcW w:w="4089" w:type="dxa"/>
            <w:noWrap/>
            <w:vAlign w:val="center"/>
            <w:hideMark/>
          </w:tcPr>
          <w:p w14:paraId="27078F8B" w14:textId="77777777" w:rsidR="00293000" w:rsidRPr="001A04ED" w:rsidRDefault="00293000" w:rsidP="00FC10D1">
            <w:pPr>
              <w:pStyle w:val="1stParagraph"/>
            </w:pPr>
            <w:r w:rsidRPr="001A04ED">
              <w:t>Division: East North Central</w:t>
            </w:r>
          </w:p>
        </w:tc>
        <w:tc>
          <w:tcPr>
            <w:tcW w:w="1243" w:type="dxa"/>
            <w:noWrap/>
            <w:vAlign w:val="center"/>
            <w:hideMark/>
          </w:tcPr>
          <w:p w14:paraId="681A9EB6" w14:textId="0A5E7CD1" w:rsidR="00293000" w:rsidRPr="001A04ED" w:rsidRDefault="00293000" w:rsidP="00FC10D1">
            <w:pPr>
              <w:pStyle w:val="1stParagraph"/>
              <w:jc w:val="center"/>
            </w:pPr>
            <w:r w:rsidRPr="001A04ED">
              <w:t>0.0</w:t>
            </w:r>
          </w:p>
        </w:tc>
        <w:tc>
          <w:tcPr>
            <w:tcW w:w="1342" w:type="dxa"/>
            <w:noWrap/>
            <w:vAlign w:val="center"/>
            <w:hideMark/>
          </w:tcPr>
          <w:p w14:paraId="60479670" w14:textId="45C53525" w:rsidR="00293000" w:rsidRPr="001A04ED" w:rsidRDefault="00293000" w:rsidP="00FC10D1">
            <w:pPr>
              <w:pStyle w:val="1stParagraph"/>
              <w:jc w:val="center"/>
            </w:pPr>
            <w:r w:rsidRPr="001A04ED">
              <w:t>1.0</w:t>
            </w:r>
          </w:p>
        </w:tc>
        <w:tc>
          <w:tcPr>
            <w:tcW w:w="1242" w:type="dxa"/>
            <w:noWrap/>
            <w:vAlign w:val="center"/>
            <w:hideMark/>
          </w:tcPr>
          <w:p w14:paraId="35633D3A" w14:textId="6DDDF791" w:rsidR="00293000" w:rsidRPr="001A04ED" w:rsidRDefault="00293000" w:rsidP="00FC10D1">
            <w:pPr>
              <w:pStyle w:val="1stParagraph"/>
              <w:jc w:val="center"/>
            </w:pPr>
            <w:r w:rsidRPr="001A04ED">
              <w:t>0.1</w:t>
            </w:r>
          </w:p>
        </w:tc>
        <w:tc>
          <w:tcPr>
            <w:tcW w:w="1434" w:type="dxa"/>
            <w:noWrap/>
            <w:vAlign w:val="center"/>
            <w:hideMark/>
          </w:tcPr>
          <w:p w14:paraId="3B309B2F" w14:textId="52909A1F" w:rsidR="00293000" w:rsidRPr="001A04ED" w:rsidRDefault="00293000" w:rsidP="00FC10D1">
            <w:pPr>
              <w:pStyle w:val="1stParagraph"/>
              <w:jc w:val="center"/>
            </w:pPr>
            <w:r w:rsidRPr="001A04ED">
              <w:t>0.3</w:t>
            </w:r>
          </w:p>
        </w:tc>
      </w:tr>
      <w:tr w:rsidR="001A04ED" w:rsidRPr="001A04ED" w14:paraId="2E0557C9" w14:textId="77777777" w:rsidTr="009E5EDE">
        <w:trPr>
          <w:trHeight w:val="144"/>
        </w:trPr>
        <w:tc>
          <w:tcPr>
            <w:tcW w:w="4089" w:type="dxa"/>
            <w:noWrap/>
            <w:vAlign w:val="center"/>
            <w:hideMark/>
          </w:tcPr>
          <w:p w14:paraId="64F753E5" w14:textId="77777777" w:rsidR="00293000" w:rsidRPr="001A04ED" w:rsidRDefault="00293000" w:rsidP="00FC10D1">
            <w:pPr>
              <w:pStyle w:val="1stParagraph"/>
            </w:pPr>
            <w:r w:rsidRPr="001A04ED">
              <w:t>Division: East South Central</w:t>
            </w:r>
          </w:p>
        </w:tc>
        <w:tc>
          <w:tcPr>
            <w:tcW w:w="1243" w:type="dxa"/>
            <w:noWrap/>
            <w:vAlign w:val="center"/>
            <w:hideMark/>
          </w:tcPr>
          <w:p w14:paraId="7F5A643C" w14:textId="06FA3335" w:rsidR="00293000" w:rsidRPr="001A04ED" w:rsidRDefault="00293000" w:rsidP="00FC10D1">
            <w:pPr>
              <w:pStyle w:val="1stParagraph"/>
              <w:jc w:val="center"/>
            </w:pPr>
            <w:r w:rsidRPr="001A04ED">
              <w:t>0.0</w:t>
            </w:r>
          </w:p>
        </w:tc>
        <w:tc>
          <w:tcPr>
            <w:tcW w:w="1342" w:type="dxa"/>
            <w:noWrap/>
            <w:vAlign w:val="center"/>
            <w:hideMark/>
          </w:tcPr>
          <w:p w14:paraId="49C44F27" w14:textId="3983F2EB" w:rsidR="00293000" w:rsidRPr="001A04ED" w:rsidRDefault="00293000" w:rsidP="00FC10D1">
            <w:pPr>
              <w:pStyle w:val="1stParagraph"/>
              <w:jc w:val="center"/>
            </w:pPr>
            <w:r w:rsidRPr="001A04ED">
              <w:t>1.0</w:t>
            </w:r>
          </w:p>
        </w:tc>
        <w:tc>
          <w:tcPr>
            <w:tcW w:w="1242" w:type="dxa"/>
            <w:noWrap/>
            <w:vAlign w:val="center"/>
            <w:hideMark/>
          </w:tcPr>
          <w:p w14:paraId="0B1D60AA" w14:textId="35DB5C7D" w:rsidR="00293000" w:rsidRPr="001A04ED" w:rsidRDefault="00293000" w:rsidP="00FC10D1">
            <w:pPr>
              <w:pStyle w:val="1stParagraph"/>
              <w:jc w:val="center"/>
            </w:pPr>
            <w:r w:rsidRPr="001A04ED">
              <w:t>0.</w:t>
            </w:r>
            <w:r w:rsidR="00756031" w:rsidRPr="001A04ED">
              <w:t>1</w:t>
            </w:r>
          </w:p>
        </w:tc>
        <w:tc>
          <w:tcPr>
            <w:tcW w:w="1434" w:type="dxa"/>
            <w:noWrap/>
            <w:vAlign w:val="center"/>
            <w:hideMark/>
          </w:tcPr>
          <w:p w14:paraId="011216E7" w14:textId="1E22397B" w:rsidR="00293000" w:rsidRPr="001A04ED" w:rsidRDefault="00293000" w:rsidP="00FC10D1">
            <w:pPr>
              <w:pStyle w:val="1stParagraph"/>
              <w:jc w:val="center"/>
            </w:pPr>
            <w:r w:rsidRPr="001A04ED">
              <w:t>0.</w:t>
            </w:r>
            <w:r w:rsidR="00C93E70" w:rsidRPr="001A04ED">
              <w:t>3</w:t>
            </w:r>
          </w:p>
        </w:tc>
      </w:tr>
      <w:tr w:rsidR="001A04ED" w:rsidRPr="001A04ED" w14:paraId="51B4E437" w14:textId="77777777" w:rsidTr="009E5EDE">
        <w:trPr>
          <w:trHeight w:val="144"/>
        </w:trPr>
        <w:tc>
          <w:tcPr>
            <w:tcW w:w="4089" w:type="dxa"/>
            <w:noWrap/>
            <w:vAlign w:val="center"/>
            <w:hideMark/>
          </w:tcPr>
          <w:p w14:paraId="1E0598E2" w14:textId="77777777" w:rsidR="00293000" w:rsidRPr="001A04ED" w:rsidRDefault="00293000" w:rsidP="00FC10D1">
            <w:pPr>
              <w:pStyle w:val="1stParagraph"/>
            </w:pPr>
            <w:r w:rsidRPr="001A04ED">
              <w:t>Division: Middle Atlantic</w:t>
            </w:r>
          </w:p>
        </w:tc>
        <w:tc>
          <w:tcPr>
            <w:tcW w:w="1243" w:type="dxa"/>
            <w:noWrap/>
            <w:vAlign w:val="center"/>
            <w:hideMark/>
          </w:tcPr>
          <w:p w14:paraId="57C6D36E" w14:textId="5A0D44F6" w:rsidR="00293000" w:rsidRPr="001A04ED" w:rsidRDefault="00293000" w:rsidP="00FC10D1">
            <w:pPr>
              <w:pStyle w:val="1stParagraph"/>
              <w:jc w:val="center"/>
            </w:pPr>
            <w:r w:rsidRPr="001A04ED">
              <w:t>0.0</w:t>
            </w:r>
          </w:p>
        </w:tc>
        <w:tc>
          <w:tcPr>
            <w:tcW w:w="1342" w:type="dxa"/>
            <w:noWrap/>
            <w:vAlign w:val="center"/>
            <w:hideMark/>
          </w:tcPr>
          <w:p w14:paraId="01AA036F" w14:textId="149F0CC2" w:rsidR="00293000" w:rsidRPr="001A04ED" w:rsidRDefault="00293000" w:rsidP="00FC10D1">
            <w:pPr>
              <w:pStyle w:val="1stParagraph"/>
              <w:jc w:val="center"/>
            </w:pPr>
            <w:r w:rsidRPr="001A04ED">
              <w:t>1.0</w:t>
            </w:r>
          </w:p>
        </w:tc>
        <w:tc>
          <w:tcPr>
            <w:tcW w:w="1242" w:type="dxa"/>
            <w:noWrap/>
            <w:vAlign w:val="center"/>
            <w:hideMark/>
          </w:tcPr>
          <w:p w14:paraId="72527AA9" w14:textId="7927C37B" w:rsidR="00293000" w:rsidRPr="001A04ED" w:rsidRDefault="00293000" w:rsidP="00FC10D1">
            <w:pPr>
              <w:pStyle w:val="1stParagraph"/>
              <w:jc w:val="center"/>
            </w:pPr>
            <w:r w:rsidRPr="001A04ED">
              <w:t>0.1</w:t>
            </w:r>
          </w:p>
        </w:tc>
        <w:tc>
          <w:tcPr>
            <w:tcW w:w="1434" w:type="dxa"/>
            <w:noWrap/>
            <w:vAlign w:val="center"/>
            <w:hideMark/>
          </w:tcPr>
          <w:p w14:paraId="61388E38" w14:textId="2E2FC478" w:rsidR="00293000" w:rsidRPr="001A04ED" w:rsidRDefault="00293000" w:rsidP="00FC10D1">
            <w:pPr>
              <w:pStyle w:val="1stParagraph"/>
              <w:jc w:val="center"/>
            </w:pPr>
            <w:r w:rsidRPr="001A04ED">
              <w:t>0.3</w:t>
            </w:r>
          </w:p>
        </w:tc>
      </w:tr>
      <w:tr w:rsidR="001A04ED" w:rsidRPr="001A04ED" w14:paraId="26A591E4" w14:textId="77777777" w:rsidTr="009E5EDE">
        <w:trPr>
          <w:trHeight w:val="144"/>
        </w:trPr>
        <w:tc>
          <w:tcPr>
            <w:tcW w:w="4089" w:type="dxa"/>
            <w:noWrap/>
            <w:vAlign w:val="center"/>
            <w:hideMark/>
          </w:tcPr>
          <w:p w14:paraId="23A40513" w14:textId="77777777" w:rsidR="00293000" w:rsidRPr="001A04ED" w:rsidRDefault="00293000" w:rsidP="00FC10D1">
            <w:pPr>
              <w:pStyle w:val="1stParagraph"/>
            </w:pPr>
            <w:r w:rsidRPr="001A04ED">
              <w:t>Division: Mountain</w:t>
            </w:r>
          </w:p>
        </w:tc>
        <w:tc>
          <w:tcPr>
            <w:tcW w:w="1243" w:type="dxa"/>
            <w:noWrap/>
            <w:vAlign w:val="center"/>
            <w:hideMark/>
          </w:tcPr>
          <w:p w14:paraId="66635D60" w14:textId="303A6A60" w:rsidR="00293000" w:rsidRPr="001A04ED" w:rsidRDefault="00293000" w:rsidP="00FC10D1">
            <w:pPr>
              <w:pStyle w:val="1stParagraph"/>
              <w:jc w:val="center"/>
            </w:pPr>
            <w:r w:rsidRPr="001A04ED">
              <w:t>0.0</w:t>
            </w:r>
          </w:p>
        </w:tc>
        <w:tc>
          <w:tcPr>
            <w:tcW w:w="1342" w:type="dxa"/>
            <w:noWrap/>
            <w:vAlign w:val="center"/>
            <w:hideMark/>
          </w:tcPr>
          <w:p w14:paraId="0D0223EA" w14:textId="4EDD69F5" w:rsidR="00293000" w:rsidRPr="001A04ED" w:rsidRDefault="00293000" w:rsidP="00FC10D1">
            <w:pPr>
              <w:pStyle w:val="1stParagraph"/>
              <w:jc w:val="center"/>
            </w:pPr>
            <w:r w:rsidRPr="001A04ED">
              <w:t>1.0</w:t>
            </w:r>
          </w:p>
        </w:tc>
        <w:tc>
          <w:tcPr>
            <w:tcW w:w="1242" w:type="dxa"/>
            <w:noWrap/>
            <w:vAlign w:val="center"/>
            <w:hideMark/>
          </w:tcPr>
          <w:p w14:paraId="26287B09" w14:textId="4E58E859" w:rsidR="00293000" w:rsidRPr="001A04ED" w:rsidRDefault="00293000" w:rsidP="00FC10D1">
            <w:pPr>
              <w:pStyle w:val="1stParagraph"/>
              <w:jc w:val="center"/>
            </w:pPr>
            <w:r w:rsidRPr="001A04ED">
              <w:t>0.1</w:t>
            </w:r>
          </w:p>
        </w:tc>
        <w:tc>
          <w:tcPr>
            <w:tcW w:w="1434" w:type="dxa"/>
            <w:noWrap/>
            <w:vAlign w:val="center"/>
            <w:hideMark/>
          </w:tcPr>
          <w:p w14:paraId="7A04D67E" w14:textId="5B29D7C0" w:rsidR="00293000" w:rsidRPr="001A04ED" w:rsidRDefault="00293000" w:rsidP="00FC10D1">
            <w:pPr>
              <w:pStyle w:val="1stParagraph"/>
              <w:jc w:val="center"/>
            </w:pPr>
            <w:r w:rsidRPr="001A04ED">
              <w:t>0.3</w:t>
            </w:r>
          </w:p>
        </w:tc>
      </w:tr>
      <w:tr w:rsidR="001A04ED" w:rsidRPr="001A04ED" w14:paraId="3E05ED87" w14:textId="77777777" w:rsidTr="009E5EDE">
        <w:trPr>
          <w:trHeight w:val="144"/>
        </w:trPr>
        <w:tc>
          <w:tcPr>
            <w:tcW w:w="4089" w:type="dxa"/>
            <w:noWrap/>
            <w:vAlign w:val="center"/>
            <w:hideMark/>
          </w:tcPr>
          <w:p w14:paraId="38DAA3E2" w14:textId="77777777" w:rsidR="00293000" w:rsidRPr="001A04ED" w:rsidRDefault="00293000" w:rsidP="00FC10D1">
            <w:pPr>
              <w:pStyle w:val="1stParagraph"/>
            </w:pPr>
            <w:r w:rsidRPr="001A04ED">
              <w:t>Division: New England</w:t>
            </w:r>
          </w:p>
        </w:tc>
        <w:tc>
          <w:tcPr>
            <w:tcW w:w="1243" w:type="dxa"/>
            <w:noWrap/>
            <w:vAlign w:val="center"/>
            <w:hideMark/>
          </w:tcPr>
          <w:p w14:paraId="36CDD697" w14:textId="7E16985E" w:rsidR="00293000" w:rsidRPr="001A04ED" w:rsidRDefault="00293000" w:rsidP="00FC10D1">
            <w:pPr>
              <w:pStyle w:val="1stParagraph"/>
              <w:jc w:val="center"/>
            </w:pPr>
            <w:r w:rsidRPr="001A04ED">
              <w:t>0.0</w:t>
            </w:r>
          </w:p>
        </w:tc>
        <w:tc>
          <w:tcPr>
            <w:tcW w:w="1342" w:type="dxa"/>
            <w:noWrap/>
            <w:vAlign w:val="center"/>
            <w:hideMark/>
          </w:tcPr>
          <w:p w14:paraId="11AE2F42" w14:textId="0F37C431" w:rsidR="00293000" w:rsidRPr="001A04ED" w:rsidRDefault="00293000" w:rsidP="00FC10D1">
            <w:pPr>
              <w:pStyle w:val="1stParagraph"/>
              <w:jc w:val="center"/>
            </w:pPr>
            <w:r w:rsidRPr="001A04ED">
              <w:t>1.0</w:t>
            </w:r>
          </w:p>
        </w:tc>
        <w:tc>
          <w:tcPr>
            <w:tcW w:w="1242" w:type="dxa"/>
            <w:noWrap/>
            <w:vAlign w:val="center"/>
            <w:hideMark/>
          </w:tcPr>
          <w:p w14:paraId="6257A6A1" w14:textId="5E95F1A0" w:rsidR="00293000" w:rsidRPr="001A04ED" w:rsidRDefault="00293000" w:rsidP="00FC10D1">
            <w:pPr>
              <w:pStyle w:val="1stParagraph"/>
              <w:jc w:val="center"/>
            </w:pPr>
            <w:r w:rsidRPr="001A04ED">
              <w:t>0.</w:t>
            </w:r>
            <w:r w:rsidR="00756031" w:rsidRPr="001A04ED">
              <w:t>1</w:t>
            </w:r>
          </w:p>
        </w:tc>
        <w:tc>
          <w:tcPr>
            <w:tcW w:w="1434" w:type="dxa"/>
            <w:noWrap/>
            <w:vAlign w:val="center"/>
            <w:hideMark/>
          </w:tcPr>
          <w:p w14:paraId="57A05C68" w14:textId="37B57F16" w:rsidR="00293000" w:rsidRPr="001A04ED" w:rsidRDefault="00293000" w:rsidP="00FC10D1">
            <w:pPr>
              <w:pStyle w:val="1stParagraph"/>
              <w:jc w:val="center"/>
            </w:pPr>
            <w:r w:rsidRPr="001A04ED">
              <w:t>0.</w:t>
            </w:r>
            <w:r w:rsidR="00C93E70" w:rsidRPr="001A04ED">
              <w:t>3</w:t>
            </w:r>
          </w:p>
        </w:tc>
      </w:tr>
      <w:tr w:rsidR="001A04ED" w:rsidRPr="001A04ED" w14:paraId="32D10FC4" w14:textId="77777777" w:rsidTr="009E5EDE">
        <w:trPr>
          <w:trHeight w:val="144"/>
        </w:trPr>
        <w:tc>
          <w:tcPr>
            <w:tcW w:w="4089" w:type="dxa"/>
            <w:noWrap/>
            <w:vAlign w:val="center"/>
            <w:hideMark/>
          </w:tcPr>
          <w:p w14:paraId="04763587" w14:textId="77777777" w:rsidR="00293000" w:rsidRPr="001A04ED" w:rsidRDefault="00293000" w:rsidP="00FC10D1">
            <w:pPr>
              <w:pStyle w:val="1stParagraph"/>
            </w:pPr>
            <w:r w:rsidRPr="001A04ED">
              <w:t>Division: Pacific</w:t>
            </w:r>
          </w:p>
        </w:tc>
        <w:tc>
          <w:tcPr>
            <w:tcW w:w="1243" w:type="dxa"/>
            <w:noWrap/>
            <w:vAlign w:val="center"/>
            <w:hideMark/>
          </w:tcPr>
          <w:p w14:paraId="45F03B95" w14:textId="0623A060" w:rsidR="00293000" w:rsidRPr="001A04ED" w:rsidRDefault="00293000" w:rsidP="00FC10D1">
            <w:pPr>
              <w:pStyle w:val="1stParagraph"/>
              <w:jc w:val="center"/>
            </w:pPr>
            <w:r w:rsidRPr="001A04ED">
              <w:t>0.0</w:t>
            </w:r>
          </w:p>
        </w:tc>
        <w:tc>
          <w:tcPr>
            <w:tcW w:w="1342" w:type="dxa"/>
            <w:noWrap/>
            <w:vAlign w:val="center"/>
            <w:hideMark/>
          </w:tcPr>
          <w:p w14:paraId="2C2A9E2B" w14:textId="11A8C225" w:rsidR="00293000" w:rsidRPr="001A04ED" w:rsidRDefault="00293000" w:rsidP="00FC10D1">
            <w:pPr>
              <w:pStyle w:val="1stParagraph"/>
              <w:jc w:val="center"/>
            </w:pPr>
            <w:r w:rsidRPr="001A04ED">
              <w:t>1.0</w:t>
            </w:r>
          </w:p>
        </w:tc>
        <w:tc>
          <w:tcPr>
            <w:tcW w:w="1242" w:type="dxa"/>
            <w:noWrap/>
            <w:vAlign w:val="center"/>
            <w:hideMark/>
          </w:tcPr>
          <w:p w14:paraId="7A02A5B1" w14:textId="4F9669D8" w:rsidR="00293000" w:rsidRPr="001A04ED" w:rsidRDefault="00293000" w:rsidP="00FC10D1">
            <w:pPr>
              <w:pStyle w:val="1stParagraph"/>
              <w:jc w:val="center"/>
            </w:pPr>
            <w:r w:rsidRPr="001A04ED">
              <w:t>0.1</w:t>
            </w:r>
          </w:p>
        </w:tc>
        <w:tc>
          <w:tcPr>
            <w:tcW w:w="1434" w:type="dxa"/>
            <w:noWrap/>
            <w:vAlign w:val="center"/>
            <w:hideMark/>
          </w:tcPr>
          <w:p w14:paraId="529B81D8" w14:textId="66308EB4" w:rsidR="00293000" w:rsidRPr="001A04ED" w:rsidRDefault="00293000" w:rsidP="00FC10D1">
            <w:pPr>
              <w:pStyle w:val="1stParagraph"/>
              <w:jc w:val="center"/>
            </w:pPr>
            <w:r w:rsidRPr="001A04ED">
              <w:t>0.</w:t>
            </w:r>
            <w:r w:rsidR="00C93E70" w:rsidRPr="001A04ED">
              <w:t>4</w:t>
            </w:r>
          </w:p>
        </w:tc>
      </w:tr>
      <w:tr w:rsidR="001A04ED" w:rsidRPr="001A04ED" w14:paraId="759CA166" w14:textId="77777777" w:rsidTr="009E5EDE">
        <w:trPr>
          <w:trHeight w:val="144"/>
        </w:trPr>
        <w:tc>
          <w:tcPr>
            <w:tcW w:w="4089" w:type="dxa"/>
            <w:noWrap/>
            <w:vAlign w:val="center"/>
            <w:hideMark/>
          </w:tcPr>
          <w:p w14:paraId="195692F2" w14:textId="77777777" w:rsidR="00293000" w:rsidRPr="001A04ED" w:rsidRDefault="00293000" w:rsidP="00FC10D1">
            <w:pPr>
              <w:pStyle w:val="1stParagraph"/>
            </w:pPr>
            <w:r w:rsidRPr="001A04ED">
              <w:t>Division: South Atlantic</w:t>
            </w:r>
          </w:p>
        </w:tc>
        <w:tc>
          <w:tcPr>
            <w:tcW w:w="1243" w:type="dxa"/>
            <w:noWrap/>
            <w:vAlign w:val="center"/>
            <w:hideMark/>
          </w:tcPr>
          <w:p w14:paraId="294FFEFE" w14:textId="4275FBFB" w:rsidR="00293000" w:rsidRPr="001A04ED" w:rsidRDefault="00293000" w:rsidP="00FC10D1">
            <w:pPr>
              <w:pStyle w:val="1stParagraph"/>
              <w:jc w:val="center"/>
            </w:pPr>
            <w:r w:rsidRPr="001A04ED">
              <w:t>0.0</w:t>
            </w:r>
          </w:p>
        </w:tc>
        <w:tc>
          <w:tcPr>
            <w:tcW w:w="1342" w:type="dxa"/>
            <w:noWrap/>
            <w:vAlign w:val="center"/>
            <w:hideMark/>
          </w:tcPr>
          <w:p w14:paraId="7CF62F23" w14:textId="2F985623" w:rsidR="00293000" w:rsidRPr="001A04ED" w:rsidRDefault="00293000" w:rsidP="00FC10D1">
            <w:pPr>
              <w:pStyle w:val="1stParagraph"/>
              <w:jc w:val="center"/>
            </w:pPr>
            <w:r w:rsidRPr="001A04ED">
              <w:t>1.0</w:t>
            </w:r>
          </w:p>
        </w:tc>
        <w:tc>
          <w:tcPr>
            <w:tcW w:w="1242" w:type="dxa"/>
            <w:noWrap/>
            <w:vAlign w:val="center"/>
            <w:hideMark/>
          </w:tcPr>
          <w:p w14:paraId="0B7B3BE4" w14:textId="1A32D5C3" w:rsidR="00293000" w:rsidRPr="001A04ED" w:rsidRDefault="00293000" w:rsidP="00FC10D1">
            <w:pPr>
              <w:pStyle w:val="1stParagraph"/>
              <w:jc w:val="center"/>
            </w:pPr>
            <w:r w:rsidRPr="001A04ED">
              <w:t>0.</w:t>
            </w:r>
            <w:r w:rsidR="00756031" w:rsidRPr="001A04ED">
              <w:t>2</w:t>
            </w:r>
          </w:p>
        </w:tc>
        <w:tc>
          <w:tcPr>
            <w:tcW w:w="1434" w:type="dxa"/>
            <w:noWrap/>
            <w:vAlign w:val="center"/>
            <w:hideMark/>
          </w:tcPr>
          <w:p w14:paraId="11B55C25" w14:textId="085DEC1C" w:rsidR="00293000" w:rsidRPr="001A04ED" w:rsidRDefault="00293000" w:rsidP="00FC10D1">
            <w:pPr>
              <w:pStyle w:val="1stParagraph"/>
              <w:jc w:val="center"/>
            </w:pPr>
            <w:r w:rsidRPr="001A04ED">
              <w:t>0.</w:t>
            </w:r>
            <w:r w:rsidR="00C93E70" w:rsidRPr="001A04ED">
              <w:t>4</w:t>
            </w:r>
          </w:p>
        </w:tc>
      </w:tr>
      <w:tr w:rsidR="001A04ED" w:rsidRPr="001A04ED" w14:paraId="7A6B2CF2" w14:textId="77777777" w:rsidTr="009E5EDE">
        <w:trPr>
          <w:trHeight w:val="144"/>
        </w:trPr>
        <w:tc>
          <w:tcPr>
            <w:tcW w:w="4089" w:type="dxa"/>
            <w:noWrap/>
            <w:vAlign w:val="center"/>
            <w:hideMark/>
          </w:tcPr>
          <w:p w14:paraId="14E8BB78" w14:textId="77777777" w:rsidR="00293000" w:rsidRPr="001A04ED" w:rsidRDefault="00293000" w:rsidP="00FC10D1">
            <w:pPr>
              <w:pStyle w:val="1stParagraph"/>
            </w:pPr>
            <w:r w:rsidRPr="001A04ED">
              <w:t>Division: West North Central</w:t>
            </w:r>
          </w:p>
        </w:tc>
        <w:tc>
          <w:tcPr>
            <w:tcW w:w="1243" w:type="dxa"/>
            <w:noWrap/>
            <w:vAlign w:val="center"/>
            <w:hideMark/>
          </w:tcPr>
          <w:p w14:paraId="3F6CB659" w14:textId="07B14345" w:rsidR="00293000" w:rsidRPr="001A04ED" w:rsidRDefault="00293000" w:rsidP="00FC10D1">
            <w:pPr>
              <w:pStyle w:val="1stParagraph"/>
              <w:jc w:val="center"/>
            </w:pPr>
            <w:r w:rsidRPr="001A04ED">
              <w:t>0.0</w:t>
            </w:r>
          </w:p>
        </w:tc>
        <w:tc>
          <w:tcPr>
            <w:tcW w:w="1342" w:type="dxa"/>
            <w:noWrap/>
            <w:vAlign w:val="center"/>
            <w:hideMark/>
          </w:tcPr>
          <w:p w14:paraId="489C404F" w14:textId="54286576" w:rsidR="00293000" w:rsidRPr="001A04ED" w:rsidRDefault="00293000" w:rsidP="00FC10D1">
            <w:pPr>
              <w:pStyle w:val="1stParagraph"/>
              <w:jc w:val="center"/>
            </w:pPr>
            <w:r w:rsidRPr="001A04ED">
              <w:t>1.0</w:t>
            </w:r>
          </w:p>
        </w:tc>
        <w:tc>
          <w:tcPr>
            <w:tcW w:w="1242" w:type="dxa"/>
            <w:noWrap/>
            <w:vAlign w:val="center"/>
            <w:hideMark/>
          </w:tcPr>
          <w:p w14:paraId="2D5BF795" w14:textId="585E5C4E" w:rsidR="00293000" w:rsidRPr="001A04ED" w:rsidRDefault="00293000" w:rsidP="00FC10D1">
            <w:pPr>
              <w:pStyle w:val="1stParagraph"/>
              <w:jc w:val="center"/>
            </w:pPr>
            <w:r w:rsidRPr="001A04ED">
              <w:t>0.1</w:t>
            </w:r>
          </w:p>
        </w:tc>
        <w:tc>
          <w:tcPr>
            <w:tcW w:w="1434" w:type="dxa"/>
            <w:noWrap/>
            <w:vAlign w:val="center"/>
            <w:hideMark/>
          </w:tcPr>
          <w:p w14:paraId="3C35E3A6" w14:textId="5C0FE86C" w:rsidR="00293000" w:rsidRPr="001A04ED" w:rsidRDefault="00293000" w:rsidP="00FC10D1">
            <w:pPr>
              <w:pStyle w:val="1stParagraph"/>
              <w:jc w:val="center"/>
            </w:pPr>
            <w:r w:rsidRPr="001A04ED">
              <w:t>0.3</w:t>
            </w:r>
          </w:p>
        </w:tc>
      </w:tr>
      <w:tr w:rsidR="001A04ED" w:rsidRPr="001A04ED" w14:paraId="607B9AE4" w14:textId="77777777" w:rsidTr="009E5EDE">
        <w:trPr>
          <w:trHeight w:val="144"/>
        </w:trPr>
        <w:tc>
          <w:tcPr>
            <w:tcW w:w="4089" w:type="dxa"/>
            <w:noWrap/>
            <w:vAlign w:val="center"/>
            <w:hideMark/>
          </w:tcPr>
          <w:p w14:paraId="7CA8315A" w14:textId="77777777" w:rsidR="00293000" w:rsidRPr="001A04ED" w:rsidRDefault="00293000" w:rsidP="00FC10D1">
            <w:pPr>
              <w:pStyle w:val="1stParagraph"/>
            </w:pPr>
            <w:r w:rsidRPr="001A04ED">
              <w:t>Division: West South Central</w:t>
            </w:r>
          </w:p>
        </w:tc>
        <w:tc>
          <w:tcPr>
            <w:tcW w:w="1243" w:type="dxa"/>
            <w:noWrap/>
            <w:vAlign w:val="center"/>
            <w:hideMark/>
          </w:tcPr>
          <w:p w14:paraId="5B7A4A32" w14:textId="3830E9F7" w:rsidR="00293000" w:rsidRPr="001A04ED" w:rsidRDefault="00293000" w:rsidP="00FC10D1">
            <w:pPr>
              <w:pStyle w:val="1stParagraph"/>
              <w:jc w:val="center"/>
            </w:pPr>
            <w:r w:rsidRPr="001A04ED">
              <w:t>0.0</w:t>
            </w:r>
          </w:p>
        </w:tc>
        <w:tc>
          <w:tcPr>
            <w:tcW w:w="1342" w:type="dxa"/>
            <w:noWrap/>
            <w:vAlign w:val="center"/>
            <w:hideMark/>
          </w:tcPr>
          <w:p w14:paraId="7D7D4DC8" w14:textId="0ECD77AA" w:rsidR="00293000" w:rsidRPr="001A04ED" w:rsidRDefault="00293000" w:rsidP="00FC10D1">
            <w:pPr>
              <w:pStyle w:val="1stParagraph"/>
              <w:jc w:val="center"/>
            </w:pPr>
            <w:r w:rsidRPr="001A04ED">
              <w:t>1.0</w:t>
            </w:r>
          </w:p>
        </w:tc>
        <w:tc>
          <w:tcPr>
            <w:tcW w:w="1242" w:type="dxa"/>
            <w:noWrap/>
            <w:vAlign w:val="center"/>
            <w:hideMark/>
          </w:tcPr>
          <w:p w14:paraId="4B1DE7E5" w14:textId="0D8B98D9" w:rsidR="00293000" w:rsidRPr="001A04ED" w:rsidRDefault="00293000" w:rsidP="00FC10D1">
            <w:pPr>
              <w:pStyle w:val="1stParagraph"/>
              <w:jc w:val="center"/>
            </w:pPr>
            <w:r w:rsidRPr="001A04ED">
              <w:t>0.1</w:t>
            </w:r>
          </w:p>
        </w:tc>
        <w:tc>
          <w:tcPr>
            <w:tcW w:w="1434" w:type="dxa"/>
            <w:noWrap/>
            <w:vAlign w:val="center"/>
            <w:hideMark/>
          </w:tcPr>
          <w:p w14:paraId="555607F1" w14:textId="6F5C7DA2" w:rsidR="00293000" w:rsidRPr="001A04ED" w:rsidRDefault="00293000" w:rsidP="00FC10D1">
            <w:pPr>
              <w:pStyle w:val="1stParagraph"/>
              <w:jc w:val="center"/>
            </w:pPr>
            <w:r w:rsidRPr="001A04ED">
              <w:t>0.3</w:t>
            </w:r>
          </w:p>
        </w:tc>
      </w:tr>
      <w:tr w:rsidR="001A04ED" w:rsidRPr="001A04ED" w14:paraId="7F5EBFF0" w14:textId="77777777" w:rsidTr="009E5EDE">
        <w:trPr>
          <w:trHeight w:val="144"/>
        </w:trPr>
        <w:tc>
          <w:tcPr>
            <w:tcW w:w="4089" w:type="dxa"/>
            <w:noWrap/>
            <w:vAlign w:val="center"/>
            <w:hideMark/>
          </w:tcPr>
          <w:p w14:paraId="00F1FDB7" w14:textId="77777777" w:rsidR="00293000" w:rsidRPr="001A04ED" w:rsidRDefault="00293000" w:rsidP="00FC10D1">
            <w:pPr>
              <w:pStyle w:val="1stParagraph"/>
            </w:pPr>
            <w:r w:rsidRPr="001A04ED">
              <w:t>Household ownership: Yes</w:t>
            </w:r>
          </w:p>
        </w:tc>
        <w:tc>
          <w:tcPr>
            <w:tcW w:w="1243" w:type="dxa"/>
            <w:noWrap/>
            <w:vAlign w:val="center"/>
            <w:hideMark/>
          </w:tcPr>
          <w:p w14:paraId="5E9F03A2" w14:textId="003A3EB9" w:rsidR="00293000" w:rsidRPr="001A04ED" w:rsidRDefault="00293000" w:rsidP="00FC10D1">
            <w:pPr>
              <w:pStyle w:val="1stParagraph"/>
              <w:jc w:val="center"/>
            </w:pPr>
            <w:r w:rsidRPr="001A04ED">
              <w:t>0.0</w:t>
            </w:r>
          </w:p>
        </w:tc>
        <w:tc>
          <w:tcPr>
            <w:tcW w:w="1342" w:type="dxa"/>
            <w:noWrap/>
            <w:vAlign w:val="center"/>
            <w:hideMark/>
          </w:tcPr>
          <w:p w14:paraId="155B59DD" w14:textId="061C0D10" w:rsidR="00293000" w:rsidRPr="001A04ED" w:rsidRDefault="00293000" w:rsidP="00FC10D1">
            <w:pPr>
              <w:pStyle w:val="1stParagraph"/>
              <w:jc w:val="center"/>
            </w:pPr>
            <w:r w:rsidRPr="001A04ED">
              <w:t>1.0</w:t>
            </w:r>
          </w:p>
        </w:tc>
        <w:tc>
          <w:tcPr>
            <w:tcW w:w="1242" w:type="dxa"/>
            <w:noWrap/>
            <w:vAlign w:val="center"/>
            <w:hideMark/>
          </w:tcPr>
          <w:p w14:paraId="6C932376" w14:textId="28DC6500" w:rsidR="00293000" w:rsidRPr="001A04ED" w:rsidRDefault="00293000" w:rsidP="00FC10D1">
            <w:pPr>
              <w:pStyle w:val="1stParagraph"/>
              <w:jc w:val="center"/>
            </w:pPr>
            <w:r w:rsidRPr="001A04ED">
              <w:t>0.7</w:t>
            </w:r>
          </w:p>
        </w:tc>
        <w:tc>
          <w:tcPr>
            <w:tcW w:w="1434" w:type="dxa"/>
            <w:noWrap/>
            <w:vAlign w:val="center"/>
            <w:hideMark/>
          </w:tcPr>
          <w:p w14:paraId="63C45E33" w14:textId="1385F148" w:rsidR="00293000" w:rsidRPr="001A04ED" w:rsidRDefault="00293000" w:rsidP="00FC10D1">
            <w:pPr>
              <w:pStyle w:val="1stParagraph"/>
              <w:jc w:val="center"/>
            </w:pPr>
            <w:r w:rsidRPr="001A04ED">
              <w:t>0.4</w:t>
            </w:r>
          </w:p>
        </w:tc>
      </w:tr>
      <w:tr w:rsidR="001A04ED" w:rsidRPr="001A04ED" w14:paraId="33D73898" w14:textId="77777777" w:rsidTr="009E5EDE">
        <w:trPr>
          <w:trHeight w:val="144"/>
        </w:trPr>
        <w:tc>
          <w:tcPr>
            <w:tcW w:w="9350" w:type="dxa"/>
            <w:gridSpan w:val="5"/>
            <w:noWrap/>
            <w:vAlign w:val="center"/>
            <w:hideMark/>
          </w:tcPr>
          <w:p w14:paraId="70F64C3A" w14:textId="77777777" w:rsidR="00293000" w:rsidRPr="001A04ED" w:rsidRDefault="00293000" w:rsidP="00FC10D1">
            <w:pPr>
              <w:pStyle w:val="1stParagraph"/>
              <w:jc w:val="center"/>
              <w:rPr>
                <w:b/>
                <w:bCs/>
                <w:i/>
                <w:iCs/>
              </w:rPr>
            </w:pPr>
            <w:r w:rsidRPr="001A04ED">
              <w:rPr>
                <w:b/>
                <w:bCs/>
                <w:i/>
                <w:iCs/>
              </w:rPr>
              <w:t>NHTS Data (N = 7,417)</w:t>
            </w:r>
          </w:p>
        </w:tc>
      </w:tr>
      <w:tr w:rsidR="001A04ED" w:rsidRPr="001A04ED" w14:paraId="2E078C5C" w14:textId="77777777" w:rsidTr="009E5EDE">
        <w:trPr>
          <w:trHeight w:val="144"/>
        </w:trPr>
        <w:tc>
          <w:tcPr>
            <w:tcW w:w="4089" w:type="dxa"/>
            <w:noWrap/>
            <w:vAlign w:val="center"/>
            <w:hideMark/>
          </w:tcPr>
          <w:p w14:paraId="62A2EBDE" w14:textId="77777777" w:rsidR="00293000" w:rsidRPr="001A04ED" w:rsidRDefault="00293000" w:rsidP="00FC10D1">
            <w:pPr>
              <w:pStyle w:val="1stParagraph"/>
            </w:pPr>
            <w:r w:rsidRPr="001A04ED">
              <w:lastRenderedPageBreak/>
              <w:t>Number of drivers in the household</w:t>
            </w:r>
          </w:p>
        </w:tc>
        <w:tc>
          <w:tcPr>
            <w:tcW w:w="1243" w:type="dxa"/>
            <w:noWrap/>
            <w:vAlign w:val="center"/>
            <w:hideMark/>
          </w:tcPr>
          <w:p w14:paraId="1F3F9CE2" w14:textId="4DC079B1" w:rsidR="00293000" w:rsidRPr="001A04ED" w:rsidRDefault="00293000" w:rsidP="00FC10D1">
            <w:pPr>
              <w:pStyle w:val="1stParagraph"/>
              <w:jc w:val="center"/>
            </w:pPr>
            <w:r w:rsidRPr="001A04ED">
              <w:t>1.0</w:t>
            </w:r>
          </w:p>
        </w:tc>
        <w:tc>
          <w:tcPr>
            <w:tcW w:w="1342" w:type="dxa"/>
            <w:noWrap/>
            <w:vAlign w:val="center"/>
            <w:hideMark/>
          </w:tcPr>
          <w:p w14:paraId="66725FE4" w14:textId="45C97073" w:rsidR="00293000" w:rsidRPr="001A04ED" w:rsidRDefault="00293000" w:rsidP="00FC10D1">
            <w:pPr>
              <w:pStyle w:val="1stParagraph"/>
              <w:jc w:val="center"/>
            </w:pPr>
            <w:r w:rsidRPr="001A04ED">
              <w:t>7.0</w:t>
            </w:r>
          </w:p>
        </w:tc>
        <w:tc>
          <w:tcPr>
            <w:tcW w:w="1242" w:type="dxa"/>
            <w:noWrap/>
            <w:vAlign w:val="center"/>
            <w:hideMark/>
          </w:tcPr>
          <w:p w14:paraId="4CD5AD35" w14:textId="44012320" w:rsidR="00293000" w:rsidRPr="001A04ED" w:rsidRDefault="00293000" w:rsidP="00FC10D1">
            <w:pPr>
              <w:pStyle w:val="1stParagraph"/>
              <w:jc w:val="center"/>
            </w:pPr>
            <w:r w:rsidRPr="001A04ED">
              <w:t>1.</w:t>
            </w:r>
            <w:r w:rsidR="00756031" w:rsidRPr="001A04ED">
              <w:t>8</w:t>
            </w:r>
          </w:p>
        </w:tc>
        <w:tc>
          <w:tcPr>
            <w:tcW w:w="1434" w:type="dxa"/>
            <w:noWrap/>
            <w:vAlign w:val="center"/>
            <w:hideMark/>
          </w:tcPr>
          <w:p w14:paraId="3C629C00" w14:textId="59ADA656" w:rsidR="00293000" w:rsidRPr="001A04ED" w:rsidRDefault="00293000" w:rsidP="00FC10D1">
            <w:pPr>
              <w:pStyle w:val="1stParagraph"/>
              <w:jc w:val="center"/>
            </w:pPr>
            <w:r w:rsidRPr="001A04ED">
              <w:t>0.7</w:t>
            </w:r>
          </w:p>
        </w:tc>
      </w:tr>
      <w:tr w:rsidR="001A04ED" w:rsidRPr="001A04ED" w14:paraId="780E17AD" w14:textId="77777777" w:rsidTr="009E5EDE">
        <w:trPr>
          <w:trHeight w:val="144"/>
        </w:trPr>
        <w:tc>
          <w:tcPr>
            <w:tcW w:w="4089" w:type="dxa"/>
            <w:noWrap/>
            <w:vAlign w:val="center"/>
            <w:hideMark/>
          </w:tcPr>
          <w:p w14:paraId="72A06F86" w14:textId="77777777" w:rsidR="00293000" w:rsidRPr="001A04ED" w:rsidRDefault="00293000" w:rsidP="00FC10D1">
            <w:pPr>
              <w:pStyle w:val="1stParagraph"/>
            </w:pPr>
            <w:r w:rsidRPr="001A04ED">
              <w:t>Number of vehicles in the household</w:t>
            </w:r>
          </w:p>
        </w:tc>
        <w:tc>
          <w:tcPr>
            <w:tcW w:w="1243" w:type="dxa"/>
            <w:noWrap/>
            <w:vAlign w:val="center"/>
            <w:hideMark/>
          </w:tcPr>
          <w:p w14:paraId="0FE35A2C" w14:textId="6F67DBAF" w:rsidR="00293000" w:rsidRPr="001A04ED" w:rsidRDefault="00293000" w:rsidP="00FC10D1">
            <w:pPr>
              <w:pStyle w:val="1stParagraph"/>
              <w:jc w:val="center"/>
            </w:pPr>
            <w:r w:rsidRPr="001A04ED">
              <w:t>1.0</w:t>
            </w:r>
          </w:p>
        </w:tc>
        <w:tc>
          <w:tcPr>
            <w:tcW w:w="1342" w:type="dxa"/>
            <w:noWrap/>
            <w:vAlign w:val="center"/>
            <w:hideMark/>
          </w:tcPr>
          <w:p w14:paraId="20071271" w14:textId="268DCE66" w:rsidR="00293000" w:rsidRPr="001A04ED" w:rsidRDefault="00293000" w:rsidP="00FC10D1">
            <w:pPr>
              <w:pStyle w:val="1stParagraph"/>
              <w:jc w:val="center"/>
            </w:pPr>
            <w:r w:rsidRPr="001A04ED">
              <w:t>17.0</w:t>
            </w:r>
          </w:p>
        </w:tc>
        <w:tc>
          <w:tcPr>
            <w:tcW w:w="1242" w:type="dxa"/>
            <w:noWrap/>
            <w:vAlign w:val="center"/>
            <w:hideMark/>
          </w:tcPr>
          <w:p w14:paraId="4A5B4554" w14:textId="6F9835C6" w:rsidR="00293000" w:rsidRPr="001A04ED" w:rsidRDefault="00756031" w:rsidP="00FC10D1">
            <w:pPr>
              <w:pStyle w:val="1stParagraph"/>
              <w:jc w:val="center"/>
            </w:pPr>
            <w:r w:rsidRPr="001A04ED">
              <w:t>2.0</w:t>
            </w:r>
          </w:p>
        </w:tc>
        <w:tc>
          <w:tcPr>
            <w:tcW w:w="1434" w:type="dxa"/>
            <w:noWrap/>
            <w:vAlign w:val="center"/>
            <w:hideMark/>
          </w:tcPr>
          <w:p w14:paraId="2A7F7DE9" w14:textId="3BACC28D" w:rsidR="00293000" w:rsidRPr="001A04ED" w:rsidRDefault="00293000" w:rsidP="00FC10D1">
            <w:pPr>
              <w:pStyle w:val="1stParagraph"/>
              <w:jc w:val="center"/>
            </w:pPr>
            <w:r w:rsidRPr="001A04ED">
              <w:t>1.</w:t>
            </w:r>
            <w:r w:rsidR="00C93E70" w:rsidRPr="001A04ED">
              <w:t>1</w:t>
            </w:r>
          </w:p>
        </w:tc>
      </w:tr>
      <w:tr w:rsidR="001A04ED" w:rsidRPr="001A04ED" w14:paraId="79A0A3C6" w14:textId="77777777" w:rsidTr="009E5EDE">
        <w:trPr>
          <w:trHeight w:val="144"/>
        </w:trPr>
        <w:tc>
          <w:tcPr>
            <w:tcW w:w="4089" w:type="dxa"/>
            <w:noWrap/>
            <w:vAlign w:val="center"/>
            <w:hideMark/>
          </w:tcPr>
          <w:p w14:paraId="4FAF455A" w14:textId="77777777" w:rsidR="00293000" w:rsidRPr="001A04ED" w:rsidRDefault="00293000" w:rsidP="00FC10D1">
            <w:pPr>
              <w:pStyle w:val="1stParagraph"/>
            </w:pPr>
            <w:r w:rsidRPr="001A04ED">
              <w:t>Number of sedan cars</w:t>
            </w:r>
          </w:p>
        </w:tc>
        <w:tc>
          <w:tcPr>
            <w:tcW w:w="1243" w:type="dxa"/>
            <w:noWrap/>
            <w:vAlign w:val="center"/>
            <w:hideMark/>
          </w:tcPr>
          <w:p w14:paraId="12047121" w14:textId="0DF4418E" w:rsidR="00293000" w:rsidRPr="001A04ED" w:rsidRDefault="00293000" w:rsidP="00FC10D1">
            <w:pPr>
              <w:pStyle w:val="1stParagraph"/>
              <w:jc w:val="center"/>
            </w:pPr>
            <w:r w:rsidRPr="001A04ED">
              <w:t>0.0</w:t>
            </w:r>
          </w:p>
        </w:tc>
        <w:tc>
          <w:tcPr>
            <w:tcW w:w="1342" w:type="dxa"/>
            <w:noWrap/>
            <w:vAlign w:val="center"/>
            <w:hideMark/>
          </w:tcPr>
          <w:p w14:paraId="4F74B3E3" w14:textId="071B0423" w:rsidR="00293000" w:rsidRPr="001A04ED" w:rsidRDefault="00293000" w:rsidP="00FC10D1">
            <w:pPr>
              <w:pStyle w:val="1stParagraph"/>
              <w:jc w:val="center"/>
            </w:pPr>
            <w:r w:rsidRPr="001A04ED">
              <w:t>6.0</w:t>
            </w:r>
          </w:p>
        </w:tc>
        <w:tc>
          <w:tcPr>
            <w:tcW w:w="1242" w:type="dxa"/>
            <w:noWrap/>
            <w:vAlign w:val="center"/>
            <w:hideMark/>
          </w:tcPr>
          <w:p w14:paraId="4B25EE72" w14:textId="019F8744" w:rsidR="00293000" w:rsidRPr="001A04ED" w:rsidRDefault="00E534A0" w:rsidP="00FC10D1">
            <w:pPr>
              <w:pStyle w:val="1stParagraph"/>
              <w:jc w:val="center"/>
            </w:pPr>
            <w:r w:rsidRPr="001A04ED">
              <w:t>0.9</w:t>
            </w:r>
          </w:p>
        </w:tc>
        <w:tc>
          <w:tcPr>
            <w:tcW w:w="1434" w:type="dxa"/>
            <w:noWrap/>
            <w:vAlign w:val="center"/>
            <w:hideMark/>
          </w:tcPr>
          <w:p w14:paraId="0939633C" w14:textId="70C090F2" w:rsidR="00293000" w:rsidRPr="001A04ED" w:rsidRDefault="00293000" w:rsidP="00FC10D1">
            <w:pPr>
              <w:pStyle w:val="1stParagraph"/>
              <w:jc w:val="center"/>
            </w:pPr>
            <w:r w:rsidRPr="001A04ED">
              <w:t>0.8</w:t>
            </w:r>
          </w:p>
        </w:tc>
      </w:tr>
      <w:tr w:rsidR="001A04ED" w:rsidRPr="001A04ED" w14:paraId="017174DA" w14:textId="77777777" w:rsidTr="009E5EDE">
        <w:trPr>
          <w:trHeight w:val="144"/>
        </w:trPr>
        <w:tc>
          <w:tcPr>
            <w:tcW w:w="4089" w:type="dxa"/>
            <w:noWrap/>
            <w:vAlign w:val="center"/>
            <w:hideMark/>
          </w:tcPr>
          <w:p w14:paraId="22B7DEDD" w14:textId="77777777" w:rsidR="00293000" w:rsidRPr="001A04ED" w:rsidRDefault="00293000" w:rsidP="00FC10D1">
            <w:pPr>
              <w:pStyle w:val="1stParagraph"/>
            </w:pPr>
            <w:r w:rsidRPr="001A04ED">
              <w:t>Number of vans</w:t>
            </w:r>
          </w:p>
        </w:tc>
        <w:tc>
          <w:tcPr>
            <w:tcW w:w="1243" w:type="dxa"/>
            <w:noWrap/>
            <w:vAlign w:val="center"/>
            <w:hideMark/>
          </w:tcPr>
          <w:p w14:paraId="02ED888D" w14:textId="5B2903DA" w:rsidR="00293000" w:rsidRPr="001A04ED" w:rsidRDefault="00293000" w:rsidP="00FC10D1">
            <w:pPr>
              <w:pStyle w:val="1stParagraph"/>
              <w:jc w:val="center"/>
            </w:pPr>
            <w:r w:rsidRPr="001A04ED">
              <w:t>0.0</w:t>
            </w:r>
          </w:p>
        </w:tc>
        <w:tc>
          <w:tcPr>
            <w:tcW w:w="1342" w:type="dxa"/>
            <w:noWrap/>
            <w:vAlign w:val="center"/>
            <w:hideMark/>
          </w:tcPr>
          <w:p w14:paraId="6D9C288A" w14:textId="6DB985D1" w:rsidR="00293000" w:rsidRPr="001A04ED" w:rsidRDefault="00293000" w:rsidP="00FC10D1">
            <w:pPr>
              <w:pStyle w:val="1stParagraph"/>
              <w:jc w:val="center"/>
            </w:pPr>
            <w:r w:rsidRPr="001A04ED">
              <w:t>7.0</w:t>
            </w:r>
          </w:p>
        </w:tc>
        <w:tc>
          <w:tcPr>
            <w:tcW w:w="1242" w:type="dxa"/>
            <w:noWrap/>
            <w:vAlign w:val="center"/>
            <w:hideMark/>
          </w:tcPr>
          <w:p w14:paraId="1ACC337E" w14:textId="7B8E5E7E" w:rsidR="00293000" w:rsidRPr="001A04ED" w:rsidRDefault="00293000" w:rsidP="00FC10D1">
            <w:pPr>
              <w:pStyle w:val="1stParagraph"/>
              <w:jc w:val="center"/>
            </w:pPr>
            <w:r w:rsidRPr="001A04ED">
              <w:t>0.</w:t>
            </w:r>
            <w:r w:rsidR="00E534A0" w:rsidRPr="001A04ED">
              <w:t>1</w:t>
            </w:r>
          </w:p>
        </w:tc>
        <w:tc>
          <w:tcPr>
            <w:tcW w:w="1434" w:type="dxa"/>
            <w:noWrap/>
            <w:vAlign w:val="center"/>
            <w:hideMark/>
          </w:tcPr>
          <w:p w14:paraId="26E02ED5" w14:textId="7BCDCC10" w:rsidR="00293000" w:rsidRPr="001A04ED" w:rsidRDefault="00293000" w:rsidP="00FC10D1">
            <w:pPr>
              <w:pStyle w:val="1stParagraph"/>
              <w:jc w:val="center"/>
            </w:pPr>
            <w:r w:rsidRPr="001A04ED">
              <w:t>0.3</w:t>
            </w:r>
          </w:p>
        </w:tc>
      </w:tr>
      <w:tr w:rsidR="001A04ED" w:rsidRPr="001A04ED" w14:paraId="462202D0" w14:textId="77777777" w:rsidTr="009E5EDE">
        <w:trPr>
          <w:trHeight w:val="144"/>
        </w:trPr>
        <w:tc>
          <w:tcPr>
            <w:tcW w:w="4089" w:type="dxa"/>
            <w:noWrap/>
            <w:vAlign w:val="center"/>
            <w:hideMark/>
          </w:tcPr>
          <w:p w14:paraId="789C9001" w14:textId="77777777" w:rsidR="00293000" w:rsidRPr="001A04ED" w:rsidRDefault="00293000" w:rsidP="00FC10D1">
            <w:pPr>
              <w:pStyle w:val="1stParagraph"/>
            </w:pPr>
            <w:r w:rsidRPr="001A04ED">
              <w:t>Number of SUVs</w:t>
            </w:r>
          </w:p>
        </w:tc>
        <w:tc>
          <w:tcPr>
            <w:tcW w:w="1243" w:type="dxa"/>
            <w:noWrap/>
            <w:vAlign w:val="center"/>
            <w:hideMark/>
          </w:tcPr>
          <w:p w14:paraId="294D7B24" w14:textId="25922C72" w:rsidR="00293000" w:rsidRPr="001A04ED" w:rsidRDefault="00293000" w:rsidP="00FC10D1">
            <w:pPr>
              <w:pStyle w:val="1stParagraph"/>
              <w:jc w:val="center"/>
            </w:pPr>
            <w:r w:rsidRPr="001A04ED">
              <w:t>0.0</w:t>
            </w:r>
          </w:p>
        </w:tc>
        <w:tc>
          <w:tcPr>
            <w:tcW w:w="1342" w:type="dxa"/>
            <w:noWrap/>
            <w:vAlign w:val="center"/>
            <w:hideMark/>
          </w:tcPr>
          <w:p w14:paraId="1C79CE00" w14:textId="5B9D1300" w:rsidR="00293000" w:rsidRPr="001A04ED" w:rsidRDefault="00293000" w:rsidP="00FC10D1">
            <w:pPr>
              <w:pStyle w:val="1stParagraph"/>
              <w:jc w:val="center"/>
            </w:pPr>
            <w:r w:rsidRPr="001A04ED">
              <w:t>5.0</w:t>
            </w:r>
          </w:p>
        </w:tc>
        <w:tc>
          <w:tcPr>
            <w:tcW w:w="1242" w:type="dxa"/>
            <w:noWrap/>
            <w:vAlign w:val="center"/>
            <w:hideMark/>
          </w:tcPr>
          <w:p w14:paraId="07E09924" w14:textId="745A4868" w:rsidR="00293000" w:rsidRPr="001A04ED" w:rsidRDefault="00293000" w:rsidP="00FC10D1">
            <w:pPr>
              <w:pStyle w:val="1stParagraph"/>
              <w:jc w:val="center"/>
            </w:pPr>
            <w:r w:rsidRPr="001A04ED">
              <w:t>0.6</w:t>
            </w:r>
          </w:p>
        </w:tc>
        <w:tc>
          <w:tcPr>
            <w:tcW w:w="1434" w:type="dxa"/>
            <w:noWrap/>
            <w:vAlign w:val="center"/>
            <w:hideMark/>
          </w:tcPr>
          <w:p w14:paraId="4E5FA3F6" w14:textId="04325340" w:rsidR="00293000" w:rsidRPr="001A04ED" w:rsidRDefault="00293000" w:rsidP="00FC10D1">
            <w:pPr>
              <w:pStyle w:val="1stParagraph"/>
              <w:jc w:val="center"/>
            </w:pPr>
            <w:r w:rsidRPr="001A04ED">
              <w:t>0.</w:t>
            </w:r>
            <w:r w:rsidR="00C93E70" w:rsidRPr="001A04ED">
              <w:t>7</w:t>
            </w:r>
          </w:p>
        </w:tc>
      </w:tr>
      <w:tr w:rsidR="001A04ED" w:rsidRPr="001A04ED" w14:paraId="4B81C5E6" w14:textId="77777777" w:rsidTr="009E5EDE">
        <w:trPr>
          <w:trHeight w:val="144"/>
        </w:trPr>
        <w:tc>
          <w:tcPr>
            <w:tcW w:w="4089" w:type="dxa"/>
            <w:noWrap/>
            <w:vAlign w:val="center"/>
            <w:hideMark/>
          </w:tcPr>
          <w:p w14:paraId="21D2B55D" w14:textId="77777777" w:rsidR="00293000" w:rsidRPr="001A04ED" w:rsidRDefault="00293000" w:rsidP="00FC10D1">
            <w:pPr>
              <w:pStyle w:val="1stParagraph"/>
            </w:pPr>
            <w:r w:rsidRPr="001A04ED">
              <w:t>Number of pickup trucks</w:t>
            </w:r>
          </w:p>
        </w:tc>
        <w:tc>
          <w:tcPr>
            <w:tcW w:w="1243" w:type="dxa"/>
            <w:noWrap/>
            <w:vAlign w:val="center"/>
            <w:hideMark/>
          </w:tcPr>
          <w:p w14:paraId="2B84756C" w14:textId="6B9345FB" w:rsidR="00293000" w:rsidRPr="001A04ED" w:rsidRDefault="00293000" w:rsidP="00FC10D1">
            <w:pPr>
              <w:pStyle w:val="1stParagraph"/>
              <w:jc w:val="center"/>
            </w:pPr>
            <w:r w:rsidRPr="001A04ED">
              <w:t>0.0</w:t>
            </w:r>
          </w:p>
        </w:tc>
        <w:tc>
          <w:tcPr>
            <w:tcW w:w="1342" w:type="dxa"/>
            <w:noWrap/>
            <w:vAlign w:val="center"/>
            <w:hideMark/>
          </w:tcPr>
          <w:p w14:paraId="13997266" w14:textId="326B07B2" w:rsidR="00293000" w:rsidRPr="001A04ED" w:rsidRDefault="00293000" w:rsidP="00FC10D1">
            <w:pPr>
              <w:pStyle w:val="1stParagraph"/>
              <w:jc w:val="center"/>
            </w:pPr>
            <w:r w:rsidRPr="001A04ED">
              <w:t>5.0</w:t>
            </w:r>
          </w:p>
        </w:tc>
        <w:tc>
          <w:tcPr>
            <w:tcW w:w="1242" w:type="dxa"/>
            <w:noWrap/>
            <w:vAlign w:val="center"/>
            <w:hideMark/>
          </w:tcPr>
          <w:p w14:paraId="00C67572" w14:textId="5CEAA4AB" w:rsidR="00293000" w:rsidRPr="001A04ED" w:rsidRDefault="00293000" w:rsidP="00FC10D1">
            <w:pPr>
              <w:pStyle w:val="1stParagraph"/>
              <w:jc w:val="center"/>
            </w:pPr>
            <w:r w:rsidRPr="001A04ED">
              <w:t>0.3</w:t>
            </w:r>
          </w:p>
        </w:tc>
        <w:tc>
          <w:tcPr>
            <w:tcW w:w="1434" w:type="dxa"/>
            <w:noWrap/>
            <w:vAlign w:val="center"/>
            <w:hideMark/>
          </w:tcPr>
          <w:p w14:paraId="58944757" w14:textId="621D77AD" w:rsidR="00293000" w:rsidRPr="001A04ED" w:rsidRDefault="00293000" w:rsidP="00FC10D1">
            <w:pPr>
              <w:pStyle w:val="1stParagraph"/>
              <w:jc w:val="center"/>
            </w:pPr>
            <w:r w:rsidRPr="001A04ED">
              <w:t>0.</w:t>
            </w:r>
            <w:r w:rsidR="00C93E70" w:rsidRPr="001A04ED">
              <w:t>6</w:t>
            </w:r>
          </w:p>
        </w:tc>
      </w:tr>
      <w:tr w:rsidR="001A04ED" w:rsidRPr="001A04ED" w14:paraId="23F09E69" w14:textId="77777777" w:rsidTr="009E5EDE">
        <w:trPr>
          <w:trHeight w:val="144"/>
        </w:trPr>
        <w:tc>
          <w:tcPr>
            <w:tcW w:w="4089" w:type="dxa"/>
            <w:noWrap/>
            <w:vAlign w:val="center"/>
            <w:hideMark/>
          </w:tcPr>
          <w:p w14:paraId="4C91E012" w14:textId="77777777" w:rsidR="00293000" w:rsidRPr="001A04ED" w:rsidRDefault="00293000" w:rsidP="00FC10D1">
            <w:pPr>
              <w:pStyle w:val="1stParagraph"/>
            </w:pPr>
            <w:r w:rsidRPr="001A04ED">
              <w:t>Number of motorcycles</w:t>
            </w:r>
          </w:p>
        </w:tc>
        <w:tc>
          <w:tcPr>
            <w:tcW w:w="1243" w:type="dxa"/>
            <w:noWrap/>
            <w:vAlign w:val="center"/>
            <w:hideMark/>
          </w:tcPr>
          <w:p w14:paraId="134DF260" w14:textId="03C5EC30" w:rsidR="00293000" w:rsidRPr="001A04ED" w:rsidRDefault="00293000" w:rsidP="00FC10D1">
            <w:pPr>
              <w:pStyle w:val="1stParagraph"/>
              <w:jc w:val="center"/>
            </w:pPr>
            <w:r w:rsidRPr="001A04ED">
              <w:t>0.0</w:t>
            </w:r>
          </w:p>
        </w:tc>
        <w:tc>
          <w:tcPr>
            <w:tcW w:w="1342" w:type="dxa"/>
            <w:noWrap/>
            <w:vAlign w:val="center"/>
            <w:hideMark/>
          </w:tcPr>
          <w:p w14:paraId="30580C91" w14:textId="67EB0E74" w:rsidR="00293000" w:rsidRPr="001A04ED" w:rsidRDefault="00293000" w:rsidP="00FC10D1">
            <w:pPr>
              <w:pStyle w:val="1stParagraph"/>
              <w:jc w:val="center"/>
            </w:pPr>
            <w:r w:rsidRPr="001A04ED">
              <w:t>6.0</w:t>
            </w:r>
          </w:p>
        </w:tc>
        <w:tc>
          <w:tcPr>
            <w:tcW w:w="1242" w:type="dxa"/>
            <w:noWrap/>
            <w:vAlign w:val="center"/>
            <w:hideMark/>
          </w:tcPr>
          <w:p w14:paraId="3CE6D94A" w14:textId="7EEABF9B" w:rsidR="00293000" w:rsidRPr="001A04ED" w:rsidRDefault="00293000" w:rsidP="00FC10D1">
            <w:pPr>
              <w:pStyle w:val="1stParagraph"/>
              <w:jc w:val="center"/>
            </w:pPr>
            <w:r w:rsidRPr="001A04ED">
              <w:t>0.</w:t>
            </w:r>
            <w:r w:rsidR="00E534A0" w:rsidRPr="001A04ED">
              <w:t>1</w:t>
            </w:r>
          </w:p>
        </w:tc>
        <w:tc>
          <w:tcPr>
            <w:tcW w:w="1434" w:type="dxa"/>
            <w:noWrap/>
            <w:vAlign w:val="center"/>
            <w:hideMark/>
          </w:tcPr>
          <w:p w14:paraId="7F2AB1B6" w14:textId="3712C61E" w:rsidR="00293000" w:rsidRPr="001A04ED" w:rsidRDefault="00293000" w:rsidP="00FC10D1">
            <w:pPr>
              <w:pStyle w:val="1stParagraph"/>
              <w:jc w:val="center"/>
            </w:pPr>
            <w:r w:rsidRPr="001A04ED">
              <w:t>0.3</w:t>
            </w:r>
          </w:p>
        </w:tc>
      </w:tr>
      <w:tr w:rsidR="001A04ED" w:rsidRPr="001A04ED" w14:paraId="6649CEE8" w14:textId="77777777" w:rsidTr="009E5EDE">
        <w:trPr>
          <w:trHeight w:val="144"/>
        </w:trPr>
        <w:tc>
          <w:tcPr>
            <w:tcW w:w="4089" w:type="dxa"/>
            <w:noWrap/>
            <w:vAlign w:val="center"/>
            <w:hideMark/>
          </w:tcPr>
          <w:p w14:paraId="60F9EF65" w14:textId="77777777" w:rsidR="00293000" w:rsidRPr="001A04ED" w:rsidRDefault="00293000" w:rsidP="00FC10D1">
            <w:pPr>
              <w:pStyle w:val="1stParagraph"/>
            </w:pPr>
            <w:r w:rsidRPr="001A04ED">
              <w:t>Number of other type of vehicles</w:t>
            </w:r>
          </w:p>
        </w:tc>
        <w:tc>
          <w:tcPr>
            <w:tcW w:w="1243" w:type="dxa"/>
            <w:noWrap/>
            <w:vAlign w:val="center"/>
            <w:hideMark/>
          </w:tcPr>
          <w:p w14:paraId="6F61D9F1" w14:textId="045B601A" w:rsidR="00293000" w:rsidRPr="001A04ED" w:rsidRDefault="00293000" w:rsidP="00FC10D1">
            <w:pPr>
              <w:pStyle w:val="1stParagraph"/>
              <w:jc w:val="center"/>
            </w:pPr>
            <w:r w:rsidRPr="001A04ED">
              <w:t>0.0</w:t>
            </w:r>
          </w:p>
        </w:tc>
        <w:tc>
          <w:tcPr>
            <w:tcW w:w="1342" w:type="dxa"/>
            <w:noWrap/>
            <w:vAlign w:val="center"/>
            <w:hideMark/>
          </w:tcPr>
          <w:p w14:paraId="17F2F41B" w14:textId="1931AEC6" w:rsidR="00293000" w:rsidRPr="001A04ED" w:rsidRDefault="00293000" w:rsidP="00FC10D1">
            <w:pPr>
              <w:pStyle w:val="1stParagraph"/>
              <w:jc w:val="center"/>
            </w:pPr>
            <w:r w:rsidRPr="001A04ED">
              <w:t>17.0</w:t>
            </w:r>
          </w:p>
        </w:tc>
        <w:tc>
          <w:tcPr>
            <w:tcW w:w="1242" w:type="dxa"/>
            <w:noWrap/>
            <w:vAlign w:val="center"/>
            <w:hideMark/>
          </w:tcPr>
          <w:p w14:paraId="5E8B6588" w14:textId="4BCC141B" w:rsidR="00293000" w:rsidRPr="001A04ED" w:rsidRDefault="00E534A0" w:rsidP="00FC10D1">
            <w:pPr>
              <w:pStyle w:val="1stParagraph"/>
              <w:jc w:val="center"/>
            </w:pPr>
            <w:r w:rsidRPr="001A04ED">
              <w:t>&lt;</w:t>
            </w:r>
            <w:r w:rsidR="00293000" w:rsidRPr="001A04ED">
              <w:t>0.</w:t>
            </w:r>
            <w:r w:rsidRPr="001A04ED">
              <w:t>1</w:t>
            </w:r>
          </w:p>
        </w:tc>
        <w:tc>
          <w:tcPr>
            <w:tcW w:w="1434" w:type="dxa"/>
            <w:noWrap/>
            <w:vAlign w:val="center"/>
            <w:hideMark/>
          </w:tcPr>
          <w:p w14:paraId="24C2F550" w14:textId="228B50D8" w:rsidR="00293000" w:rsidRPr="001A04ED" w:rsidRDefault="00293000" w:rsidP="00FC10D1">
            <w:pPr>
              <w:pStyle w:val="1stParagraph"/>
              <w:jc w:val="center"/>
            </w:pPr>
            <w:r w:rsidRPr="001A04ED">
              <w:t>0.</w:t>
            </w:r>
            <w:r w:rsidR="00C93E70" w:rsidRPr="001A04ED">
              <w:t>3</w:t>
            </w:r>
          </w:p>
        </w:tc>
      </w:tr>
      <w:tr w:rsidR="001A04ED" w:rsidRPr="001A04ED" w14:paraId="35BDBB45" w14:textId="77777777" w:rsidTr="009E5EDE">
        <w:trPr>
          <w:trHeight w:val="144"/>
        </w:trPr>
        <w:tc>
          <w:tcPr>
            <w:tcW w:w="4089" w:type="dxa"/>
            <w:noWrap/>
            <w:vAlign w:val="center"/>
            <w:hideMark/>
          </w:tcPr>
          <w:p w14:paraId="38939A1C" w14:textId="77777777" w:rsidR="00293000" w:rsidRPr="001A04ED" w:rsidRDefault="00293000" w:rsidP="00FC10D1">
            <w:pPr>
              <w:pStyle w:val="1stParagraph"/>
            </w:pPr>
            <w:r w:rsidRPr="001A04ED">
              <w:t>Number of gasoline vehicles</w:t>
            </w:r>
          </w:p>
        </w:tc>
        <w:tc>
          <w:tcPr>
            <w:tcW w:w="1243" w:type="dxa"/>
            <w:noWrap/>
            <w:vAlign w:val="center"/>
            <w:hideMark/>
          </w:tcPr>
          <w:p w14:paraId="118BF95E" w14:textId="2054DE82" w:rsidR="00293000" w:rsidRPr="001A04ED" w:rsidRDefault="00293000" w:rsidP="00FC10D1">
            <w:pPr>
              <w:pStyle w:val="1stParagraph"/>
              <w:jc w:val="center"/>
            </w:pPr>
            <w:r w:rsidRPr="001A04ED">
              <w:t>0.0</w:t>
            </w:r>
          </w:p>
        </w:tc>
        <w:tc>
          <w:tcPr>
            <w:tcW w:w="1342" w:type="dxa"/>
            <w:noWrap/>
            <w:vAlign w:val="center"/>
            <w:hideMark/>
          </w:tcPr>
          <w:p w14:paraId="41EA52C8" w14:textId="5673861F" w:rsidR="00293000" w:rsidRPr="001A04ED" w:rsidRDefault="00293000" w:rsidP="00FC10D1">
            <w:pPr>
              <w:pStyle w:val="1stParagraph"/>
              <w:jc w:val="center"/>
            </w:pPr>
            <w:r w:rsidRPr="001A04ED">
              <w:t>14.0</w:t>
            </w:r>
          </w:p>
        </w:tc>
        <w:tc>
          <w:tcPr>
            <w:tcW w:w="1242" w:type="dxa"/>
            <w:noWrap/>
            <w:vAlign w:val="center"/>
            <w:hideMark/>
          </w:tcPr>
          <w:p w14:paraId="55768F02" w14:textId="15B4A00E" w:rsidR="00293000" w:rsidRPr="001A04ED" w:rsidRDefault="00293000" w:rsidP="00FC10D1">
            <w:pPr>
              <w:pStyle w:val="1stParagraph"/>
              <w:jc w:val="center"/>
            </w:pPr>
            <w:r w:rsidRPr="001A04ED">
              <w:t>1.8</w:t>
            </w:r>
          </w:p>
        </w:tc>
        <w:tc>
          <w:tcPr>
            <w:tcW w:w="1434" w:type="dxa"/>
            <w:noWrap/>
            <w:vAlign w:val="center"/>
            <w:hideMark/>
          </w:tcPr>
          <w:p w14:paraId="40591D16" w14:textId="7C34563D" w:rsidR="00293000" w:rsidRPr="001A04ED" w:rsidRDefault="00293000" w:rsidP="00FC10D1">
            <w:pPr>
              <w:pStyle w:val="1stParagraph"/>
              <w:jc w:val="center"/>
            </w:pPr>
            <w:r w:rsidRPr="001A04ED">
              <w:t>1.0</w:t>
            </w:r>
          </w:p>
        </w:tc>
      </w:tr>
      <w:tr w:rsidR="001A04ED" w:rsidRPr="001A04ED" w14:paraId="6983C4AF" w14:textId="77777777" w:rsidTr="009E5EDE">
        <w:trPr>
          <w:trHeight w:val="144"/>
        </w:trPr>
        <w:tc>
          <w:tcPr>
            <w:tcW w:w="4089" w:type="dxa"/>
            <w:noWrap/>
            <w:vAlign w:val="center"/>
            <w:hideMark/>
          </w:tcPr>
          <w:p w14:paraId="4AC61D95" w14:textId="77777777" w:rsidR="00293000" w:rsidRPr="001A04ED" w:rsidRDefault="00293000" w:rsidP="00FC10D1">
            <w:pPr>
              <w:pStyle w:val="1stParagraph"/>
            </w:pPr>
            <w:r w:rsidRPr="001A04ED">
              <w:t>Number of electric vehicles</w:t>
            </w:r>
          </w:p>
        </w:tc>
        <w:tc>
          <w:tcPr>
            <w:tcW w:w="1243" w:type="dxa"/>
            <w:noWrap/>
            <w:vAlign w:val="center"/>
            <w:hideMark/>
          </w:tcPr>
          <w:p w14:paraId="2D69BCF7" w14:textId="66E586A8" w:rsidR="00293000" w:rsidRPr="001A04ED" w:rsidRDefault="00293000" w:rsidP="00FC10D1">
            <w:pPr>
              <w:pStyle w:val="1stParagraph"/>
              <w:jc w:val="center"/>
            </w:pPr>
            <w:r w:rsidRPr="001A04ED">
              <w:t>0.0</w:t>
            </w:r>
          </w:p>
        </w:tc>
        <w:tc>
          <w:tcPr>
            <w:tcW w:w="1342" w:type="dxa"/>
            <w:noWrap/>
            <w:vAlign w:val="center"/>
            <w:hideMark/>
          </w:tcPr>
          <w:p w14:paraId="4C830F6B" w14:textId="12B411A4" w:rsidR="00293000" w:rsidRPr="001A04ED" w:rsidRDefault="00293000" w:rsidP="00FC10D1">
            <w:pPr>
              <w:pStyle w:val="1stParagraph"/>
              <w:jc w:val="center"/>
            </w:pPr>
            <w:r w:rsidRPr="001A04ED">
              <w:t>2.0</w:t>
            </w:r>
          </w:p>
        </w:tc>
        <w:tc>
          <w:tcPr>
            <w:tcW w:w="1242" w:type="dxa"/>
            <w:noWrap/>
            <w:vAlign w:val="center"/>
            <w:hideMark/>
          </w:tcPr>
          <w:p w14:paraId="5AF364D8" w14:textId="6D43AF40" w:rsidR="00293000" w:rsidRPr="001A04ED" w:rsidRDefault="00C93E70" w:rsidP="00FC10D1">
            <w:pPr>
              <w:pStyle w:val="1stParagraph"/>
              <w:jc w:val="center"/>
            </w:pPr>
            <w:r w:rsidRPr="001A04ED">
              <w:t>&lt;0.1</w:t>
            </w:r>
          </w:p>
        </w:tc>
        <w:tc>
          <w:tcPr>
            <w:tcW w:w="1434" w:type="dxa"/>
            <w:noWrap/>
            <w:vAlign w:val="center"/>
            <w:hideMark/>
          </w:tcPr>
          <w:p w14:paraId="46709EAA" w14:textId="7EDAF75D" w:rsidR="00293000" w:rsidRPr="001A04ED" w:rsidRDefault="00293000" w:rsidP="00FC10D1">
            <w:pPr>
              <w:pStyle w:val="1stParagraph"/>
              <w:jc w:val="center"/>
            </w:pPr>
            <w:r w:rsidRPr="001A04ED">
              <w:t>0.</w:t>
            </w:r>
            <w:r w:rsidR="00C93E70" w:rsidRPr="001A04ED">
              <w:t>2</w:t>
            </w:r>
          </w:p>
        </w:tc>
      </w:tr>
      <w:tr w:rsidR="001A04ED" w:rsidRPr="001A04ED" w14:paraId="0444DF54" w14:textId="77777777" w:rsidTr="009E5EDE">
        <w:trPr>
          <w:trHeight w:val="144"/>
        </w:trPr>
        <w:tc>
          <w:tcPr>
            <w:tcW w:w="4089" w:type="dxa"/>
            <w:noWrap/>
            <w:vAlign w:val="center"/>
            <w:hideMark/>
          </w:tcPr>
          <w:p w14:paraId="7F1D611C" w14:textId="77777777" w:rsidR="00293000" w:rsidRPr="001A04ED" w:rsidRDefault="00293000" w:rsidP="00FC10D1">
            <w:pPr>
              <w:pStyle w:val="1stParagraph"/>
            </w:pPr>
            <w:r w:rsidRPr="001A04ED">
              <w:t>Number of hybrid cars</w:t>
            </w:r>
          </w:p>
        </w:tc>
        <w:tc>
          <w:tcPr>
            <w:tcW w:w="1243" w:type="dxa"/>
            <w:noWrap/>
            <w:vAlign w:val="center"/>
            <w:hideMark/>
          </w:tcPr>
          <w:p w14:paraId="252372D3" w14:textId="25843F85" w:rsidR="00293000" w:rsidRPr="001A04ED" w:rsidRDefault="00293000" w:rsidP="00FC10D1">
            <w:pPr>
              <w:pStyle w:val="1stParagraph"/>
              <w:jc w:val="center"/>
            </w:pPr>
            <w:r w:rsidRPr="001A04ED">
              <w:t>0.0</w:t>
            </w:r>
          </w:p>
        </w:tc>
        <w:tc>
          <w:tcPr>
            <w:tcW w:w="1342" w:type="dxa"/>
            <w:noWrap/>
            <w:vAlign w:val="center"/>
            <w:hideMark/>
          </w:tcPr>
          <w:p w14:paraId="5BF8C1AC" w14:textId="70B7F8C6" w:rsidR="00293000" w:rsidRPr="001A04ED" w:rsidRDefault="00293000" w:rsidP="00FC10D1">
            <w:pPr>
              <w:pStyle w:val="1stParagraph"/>
              <w:jc w:val="center"/>
            </w:pPr>
            <w:r w:rsidRPr="001A04ED">
              <w:t>4.0</w:t>
            </w:r>
          </w:p>
        </w:tc>
        <w:tc>
          <w:tcPr>
            <w:tcW w:w="1242" w:type="dxa"/>
            <w:noWrap/>
            <w:vAlign w:val="center"/>
            <w:hideMark/>
          </w:tcPr>
          <w:p w14:paraId="712AC616" w14:textId="79C10D3D" w:rsidR="00293000" w:rsidRPr="001A04ED" w:rsidRDefault="00293000" w:rsidP="00FC10D1">
            <w:pPr>
              <w:pStyle w:val="1stParagraph"/>
              <w:jc w:val="center"/>
            </w:pPr>
            <w:r w:rsidRPr="001A04ED">
              <w:t>0.</w:t>
            </w:r>
            <w:r w:rsidR="00C93E70" w:rsidRPr="001A04ED">
              <w:t>1</w:t>
            </w:r>
          </w:p>
        </w:tc>
        <w:tc>
          <w:tcPr>
            <w:tcW w:w="1434" w:type="dxa"/>
            <w:noWrap/>
            <w:vAlign w:val="center"/>
            <w:hideMark/>
          </w:tcPr>
          <w:p w14:paraId="10FE3BB2" w14:textId="173F15AF" w:rsidR="00293000" w:rsidRPr="001A04ED" w:rsidRDefault="00293000" w:rsidP="00FC10D1">
            <w:pPr>
              <w:pStyle w:val="1stParagraph"/>
              <w:jc w:val="center"/>
            </w:pPr>
            <w:r w:rsidRPr="001A04ED">
              <w:t>0.</w:t>
            </w:r>
            <w:r w:rsidR="00C93E70" w:rsidRPr="001A04ED">
              <w:t>3</w:t>
            </w:r>
          </w:p>
        </w:tc>
      </w:tr>
      <w:tr w:rsidR="001A04ED" w:rsidRPr="001A04ED" w14:paraId="260EA420" w14:textId="77777777" w:rsidTr="009E5EDE">
        <w:trPr>
          <w:trHeight w:val="144"/>
        </w:trPr>
        <w:tc>
          <w:tcPr>
            <w:tcW w:w="4089" w:type="dxa"/>
            <w:noWrap/>
            <w:vAlign w:val="center"/>
            <w:hideMark/>
          </w:tcPr>
          <w:p w14:paraId="61384DD0" w14:textId="77777777" w:rsidR="00293000" w:rsidRPr="001A04ED" w:rsidRDefault="00293000" w:rsidP="00FC10D1">
            <w:pPr>
              <w:pStyle w:val="1stParagraph"/>
            </w:pPr>
            <w:r w:rsidRPr="001A04ED">
              <w:t>Number of other fuel vehicles</w:t>
            </w:r>
          </w:p>
        </w:tc>
        <w:tc>
          <w:tcPr>
            <w:tcW w:w="1243" w:type="dxa"/>
            <w:noWrap/>
            <w:vAlign w:val="center"/>
            <w:hideMark/>
          </w:tcPr>
          <w:p w14:paraId="480E1C86" w14:textId="7B61FFA4" w:rsidR="00293000" w:rsidRPr="001A04ED" w:rsidRDefault="00293000" w:rsidP="00FC10D1">
            <w:pPr>
              <w:pStyle w:val="1stParagraph"/>
              <w:jc w:val="center"/>
            </w:pPr>
            <w:r w:rsidRPr="001A04ED">
              <w:t>0.0</w:t>
            </w:r>
          </w:p>
        </w:tc>
        <w:tc>
          <w:tcPr>
            <w:tcW w:w="1342" w:type="dxa"/>
            <w:noWrap/>
            <w:vAlign w:val="center"/>
            <w:hideMark/>
          </w:tcPr>
          <w:p w14:paraId="60691319" w14:textId="3305731F" w:rsidR="00293000" w:rsidRPr="001A04ED" w:rsidRDefault="00293000" w:rsidP="00FC10D1">
            <w:pPr>
              <w:pStyle w:val="1stParagraph"/>
              <w:jc w:val="center"/>
            </w:pPr>
            <w:r w:rsidRPr="001A04ED">
              <w:t>17.0</w:t>
            </w:r>
          </w:p>
        </w:tc>
        <w:tc>
          <w:tcPr>
            <w:tcW w:w="1242" w:type="dxa"/>
            <w:noWrap/>
            <w:vAlign w:val="center"/>
            <w:hideMark/>
          </w:tcPr>
          <w:p w14:paraId="3A0E9ECB" w14:textId="666686D3" w:rsidR="00293000" w:rsidRPr="001A04ED" w:rsidRDefault="00293000" w:rsidP="00FC10D1">
            <w:pPr>
              <w:pStyle w:val="1stParagraph"/>
              <w:jc w:val="center"/>
            </w:pPr>
            <w:r w:rsidRPr="001A04ED">
              <w:t>0.</w:t>
            </w:r>
            <w:r w:rsidR="00C93E70" w:rsidRPr="001A04ED">
              <w:t>1</w:t>
            </w:r>
          </w:p>
        </w:tc>
        <w:tc>
          <w:tcPr>
            <w:tcW w:w="1434" w:type="dxa"/>
            <w:noWrap/>
            <w:vAlign w:val="center"/>
            <w:hideMark/>
          </w:tcPr>
          <w:p w14:paraId="5DEE9D1F" w14:textId="537726F8" w:rsidR="00293000" w:rsidRPr="001A04ED" w:rsidRDefault="00293000" w:rsidP="00FC10D1">
            <w:pPr>
              <w:pStyle w:val="1stParagraph"/>
              <w:jc w:val="center"/>
            </w:pPr>
            <w:r w:rsidRPr="001A04ED">
              <w:t>0.3</w:t>
            </w:r>
          </w:p>
        </w:tc>
      </w:tr>
      <w:tr w:rsidR="001A04ED" w:rsidRPr="001A04ED" w14:paraId="6FA62C8D" w14:textId="77777777" w:rsidTr="009E5EDE">
        <w:trPr>
          <w:trHeight w:val="144"/>
        </w:trPr>
        <w:tc>
          <w:tcPr>
            <w:tcW w:w="4089" w:type="dxa"/>
            <w:noWrap/>
            <w:vAlign w:val="center"/>
            <w:hideMark/>
          </w:tcPr>
          <w:p w14:paraId="1ABB2EC0" w14:textId="77777777" w:rsidR="00293000" w:rsidRPr="001A04ED" w:rsidRDefault="00293000" w:rsidP="00FC10D1">
            <w:pPr>
              <w:pStyle w:val="1stParagraph"/>
            </w:pPr>
            <w:r w:rsidRPr="001A04ED">
              <w:t>Household total annual mileage</w:t>
            </w:r>
          </w:p>
        </w:tc>
        <w:tc>
          <w:tcPr>
            <w:tcW w:w="1243" w:type="dxa"/>
            <w:noWrap/>
            <w:vAlign w:val="center"/>
            <w:hideMark/>
          </w:tcPr>
          <w:p w14:paraId="19FD4E66" w14:textId="2E9413D9" w:rsidR="00293000" w:rsidRPr="001A04ED" w:rsidRDefault="00293000" w:rsidP="00FC10D1">
            <w:pPr>
              <w:pStyle w:val="1stParagraph"/>
              <w:jc w:val="center"/>
            </w:pPr>
            <w:r w:rsidRPr="001A04ED">
              <w:t>2100</w:t>
            </w:r>
            <w:r w:rsidR="00F0191D" w:rsidRPr="001A04ED">
              <w:t>.0</w:t>
            </w:r>
          </w:p>
        </w:tc>
        <w:tc>
          <w:tcPr>
            <w:tcW w:w="1342" w:type="dxa"/>
            <w:noWrap/>
            <w:vAlign w:val="center"/>
            <w:hideMark/>
          </w:tcPr>
          <w:p w14:paraId="25B55FF2" w14:textId="5B0C44FF" w:rsidR="00293000" w:rsidRPr="001A04ED" w:rsidRDefault="00293000" w:rsidP="00FC10D1">
            <w:pPr>
              <w:pStyle w:val="1stParagraph"/>
              <w:jc w:val="center"/>
            </w:pPr>
            <w:r w:rsidRPr="001A04ED">
              <w:t>1300000</w:t>
            </w:r>
            <w:r w:rsidR="00F0191D" w:rsidRPr="001A04ED">
              <w:t>.0</w:t>
            </w:r>
          </w:p>
        </w:tc>
        <w:tc>
          <w:tcPr>
            <w:tcW w:w="1242" w:type="dxa"/>
            <w:noWrap/>
            <w:vAlign w:val="center"/>
            <w:hideMark/>
          </w:tcPr>
          <w:p w14:paraId="3A2E85EE" w14:textId="72895198" w:rsidR="00293000" w:rsidRPr="001A04ED" w:rsidRDefault="00293000" w:rsidP="00FC10D1">
            <w:pPr>
              <w:pStyle w:val="1stParagraph"/>
              <w:jc w:val="center"/>
            </w:pPr>
            <w:r w:rsidRPr="001A04ED">
              <w:t>85678.9</w:t>
            </w:r>
          </w:p>
        </w:tc>
        <w:tc>
          <w:tcPr>
            <w:tcW w:w="1434" w:type="dxa"/>
            <w:noWrap/>
            <w:vAlign w:val="center"/>
            <w:hideMark/>
          </w:tcPr>
          <w:p w14:paraId="25D4CC16" w14:textId="13C0BB10" w:rsidR="00293000" w:rsidRPr="001A04ED" w:rsidRDefault="00293000" w:rsidP="00FC10D1">
            <w:pPr>
              <w:pStyle w:val="1stParagraph"/>
              <w:jc w:val="center"/>
            </w:pPr>
            <w:r w:rsidRPr="001A04ED">
              <w:t>219656.</w:t>
            </w:r>
            <w:r w:rsidR="00C93E70" w:rsidRPr="001A04ED">
              <w:t>8</w:t>
            </w:r>
          </w:p>
        </w:tc>
      </w:tr>
      <w:tr w:rsidR="001A04ED" w:rsidRPr="001A04ED" w14:paraId="1A74E8CB" w14:textId="77777777" w:rsidTr="009E5EDE">
        <w:trPr>
          <w:trHeight w:val="144"/>
        </w:trPr>
        <w:tc>
          <w:tcPr>
            <w:tcW w:w="4089" w:type="dxa"/>
            <w:noWrap/>
            <w:vAlign w:val="center"/>
            <w:hideMark/>
          </w:tcPr>
          <w:p w14:paraId="5507FEC7" w14:textId="77777777" w:rsidR="00293000" w:rsidRPr="001A04ED" w:rsidRDefault="00293000" w:rsidP="00FC10D1">
            <w:pPr>
              <w:pStyle w:val="1stParagraph"/>
              <w:jc w:val="left"/>
            </w:pPr>
            <w:r w:rsidRPr="001A04ED">
              <w:t>Number of long-distance trips in a month</w:t>
            </w:r>
          </w:p>
        </w:tc>
        <w:tc>
          <w:tcPr>
            <w:tcW w:w="1243" w:type="dxa"/>
            <w:noWrap/>
            <w:vAlign w:val="center"/>
            <w:hideMark/>
          </w:tcPr>
          <w:p w14:paraId="2EC60551" w14:textId="0C8579A9" w:rsidR="00293000" w:rsidRPr="001A04ED" w:rsidRDefault="00293000" w:rsidP="00FC10D1">
            <w:pPr>
              <w:pStyle w:val="1stParagraph"/>
              <w:jc w:val="center"/>
            </w:pPr>
            <w:r w:rsidRPr="001A04ED">
              <w:t>0.0</w:t>
            </w:r>
          </w:p>
        </w:tc>
        <w:tc>
          <w:tcPr>
            <w:tcW w:w="1342" w:type="dxa"/>
            <w:noWrap/>
            <w:vAlign w:val="center"/>
            <w:hideMark/>
          </w:tcPr>
          <w:p w14:paraId="7DC6B2EA" w14:textId="1A22F46E" w:rsidR="00293000" w:rsidRPr="001A04ED" w:rsidRDefault="00293000" w:rsidP="00FC10D1">
            <w:pPr>
              <w:pStyle w:val="1stParagraph"/>
              <w:jc w:val="center"/>
            </w:pPr>
            <w:r w:rsidRPr="001A04ED">
              <w:t>414.0</w:t>
            </w:r>
          </w:p>
        </w:tc>
        <w:tc>
          <w:tcPr>
            <w:tcW w:w="1242" w:type="dxa"/>
            <w:noWrap/>
            <w:vAlign w:val="center"/>
            <w:hideMark/>
          </w:tcPr>
          <w:p w14:paraId="4ACAA794" w14:textId="2DD62F39" w:rsidR="00293000" w:rsidRPr="001A04ED" w:rsidRDefault="00293000" w:rsidP="00FC10D1">
            <w:pPr>
              <w:pStyle w:val="1stParagraph"/>
              <w:jc w:val="center"/>
            </w:pPr>
            <w:r w:rsidRPr="001A04ED">
              <w:t>3.7</w:t>
            </w:r>
          </w:p>
        </w:tc>
        <w:tc>
          <w:tcPr>
            <w:tcW w:w="1434" w:type="dxa"/>
            <w:noWrap/>
            <w:vAlign w:val="center"/>
            <w:hideMark/>
          </w:tcPr>
          <w:p w14:paraId="5B8BBA3F" w14:textId="0CA69B18" w:rsidR="00293000" w:rsidRPr="001A04ED" w:rsidRDefault="00293000" w:rsidP="00FC10D1">
            <w:pPr>
              <w:pStyle w:val="1stParagraph"/>
              <w:jc w:val="center"/>
            </w:pPr>
            <w:r w:rsidRPr="001A04ED">
              <w:t>13.</w:t>
            </w:r>
            <w:r w:rsidR="00C93E70" w:rsidRPr="001A04ED">
              <w:t>5</w:t>
            </w:r>
          </w:p>
        </w:tc>
      </w:tr>
      <w:tr w:rsidR="001A04ED" w:rsidRPr="001A04ED" w14:paraId="01428F48" w14:textId="77777777" w:rsidTr="009E5EDE">
        <w:trPr>
          <w:trHeight w:val="144"/>
        </w:trPr>
        <w:tc>
          <w:tcPr>
            <w:tcW w:w="4089" w:type="dxa"/>
            <w:noWrap/>
            <w:vAlign w:val="center"/>
            <w:hideMark/>
          </w:tcPr>
          <w:p w14:paraId="1213686C" w14:textId="77777777" w:rsidR="00293000" w:rsidRPr="001A04ED" w:rsidRDefault="00293000" w:rsidP="00FC10D1">
            <w:pPr>
              <w:pStyle w:val="1stParagraph"/>
            </w:pPr>
            <w:r w:rsidRPr="001A04ED">
              <w:t>Frequency of intercity (Amtrak) train trips in a year</w:t>
            </w:r>
          </w:p>
        </w:tc>
        <w:tc>
          <w:tcPr>
            <w:tcW w:w="1243" w:type="dxa"/>
            <w:noWrap/>
            <w:vAlign w:val="center"/>
            <w:hideMark/>
          </w:tcPr>
          <w:p w14:paraId="0D99C550" w14:textId="6B79B9FF" w:rsidR="00293000" w:rsidRPr="001A04ED" w:rsidRDefault="00293000" w:rsidP="00FC10D1">
            <w:pPr>
              <w:pStyle w:val="1stParagraph"/>
              <w:jc w:val="center"/>
            </w:pPr>
            <w:r w:rsidRPr="001A04ED">
              <w:t>0.0</w:t>
            </w:r>
          </w:p>
        </w:tc>
        <w:tc>
          <w:tcPr>
            <w:tcW w:w="1342" w:type="dxa"/>
            <w:noWrap/>
            <w:vAlign w:val="center"/>
            <w:hideMark/>
          </w:tcPr>
          <w:p w14:paraId="5F334BE0" w14:textId="75B551D8" w:rsidR="00293000" w:rsidRPr="001A04ED" w:rsidRDefault="00293000" w:rsidP="00FC10D1">
            <w:pPr>
              <w:pStyle w:val="1stParagraph"/>
              <w:jc w:val="center"/>
            </w:pPr>
            <w:r w:rsidRPr="001A04ED">
              <w:t>24.0</w:t>
            </w:r>
          </w:p>
        </w:tc>
        <w:tc>
          <w:tcPr>
            <w:tcW w:w="1242" w:type="dxa"/>
            <w:noWrap/>
            <w:vAlign w:val="center"/>
            <w:hideMark/>
          </w:tcPr>
          <w:p w14:paraId="4DF2CAF5" w14:textId="1A24DF7A" w:rsidR="00293000" w:rsidRPr="001A04ED" w:rsidRDefault="00293000" w:rsidP="00FC10D1">
            <w:pPr>
              <w:pStyle w:val="1stParagraph"/>
              <w:jc w:val="center"/>
            </w:pPr>
            <w:r w:rsidRPr="001A04ED">
              <w:t>0.1</w:t>
            </w:r>
          </w:p>
        </w:tc>
        <w:tc>
          <w:tcPr>
            <w:tcW w:w="1434" w:type="dxa"/>
            <w:noWrap/>
            <w:vAlign w:val="center"/>
            <w:hideMark/>
          </w:tcPr>
          <w:p w14:paraId="7660F922" w14:textId="00446665" w:rsidR="00293000" w:rsidRPr="001A04ED" w:rsidRDefault="00293000" w:rsidP="00FC10D1">
            <w:pPr>
              <w:pStyle w:val="1stParagraph"/>
              <w:jc w:val="center"/>
            </w:pPr>
            <w:r w:rsidRPr="001A04ED">
              <w:t>0.8</w:t>
            </w:r>
          </w:p>
        </w:tc>
      </w:tr>
      <w:tr w:rsidR="001A04ED" w:rsidRPr="001A04ED" w14:paraId="2CAE43B5" w14:textId="77777777" w:rsidTr="009E5EDE">
        <w:trPr>
          <w:trHeight w:val="144"/>
        </w:trPr>
        <w:tc>
          <w:tcPr>
            <w:tcW w:w="4089" w:type="dxa"/>
            <w:noWrap/>
            <w:vAlign w:val="center"/>
            <w:hideMark/>
          </w:tcPr>
          <w:p w14:paraId="717F6F6E" w14:textId="77777777" w:rsidR="00293000" w:rsidRPr="001A04ED" w:rsidRDefault="00293000" w:rsidP="00FC10D1">
            <w:pPr>
              <w:pStyle w:val="1stParagraph"/>
            </w:pPr>
            <w:r w:rsidRPr="001A04ED">
              <w:t>Frequency of usage of intercity buses in a year</w:t>
            </w:r>
          </w:p>
        </w:tc>
        <w:tc>
          <w:tcPr>
            <w:tcW w:w="1243" w:type="dxa"/>
            <w:noWrap/>
            <w:vAlign w:val="center"/>
            <w:hideMark/>
          </w:tcPr>
          <w:p w14:paraId="40E2CA98" w14:textId="6947D863" w:rsidR="00293000" w:rsidRPr="001A04ED" w:rsidRDefault="00293000" w:rsidP="00FC10D1">
            <w:pPr>
              <w:pStyle w:val="1stParagraph"/>
              <w:jc w:val="center"/>
            </w:pPr>
            <w:r w:rsidRPr="001A04ED">
              <w:t>0.0</w:t>
            </w:r>
          </w:p>
        </w:tc>
        <w:tc>
          <w:tcPr>
            <w:tcW w:w="1342" w:type="dxa"/>
            <w:noWrap/>
            <w:vAlign w:val="center"/>
            <w:hideMark/>
          </w:tcPr>
          <w:p w14:paraId="5783035B" w14:textId="6AC6F0F0" w:rsidR="00293000" w:rsidRPr="001A04ED" w:rsidRDefault="00293000" w:rsidP="00FC10D1">
            <w:pPr>
              <w:pStyle w:val="1stParagraph"/>
              <w:jc w:val="center"/>
            </w:pPr>
            <w:r w:rsidRPr="001A04ED">
              <w:t>61.0</w:t>
            </w:r>
          </w:p>
        </w:tc>
        <w:tc>
          <w:tcPr>
            <w:tcW w:w="1242" w:type="dxa"/>
            <w:noWrap/>
            <w:vAlign w:val="center"/>
            <w:hideMark/>
          </w:tcPr>
          <w:p w14:paraId="5824A79A" w14:textId="7131FCC5" w:rsidR="00293000" w:rsidRPr="001A04ED" w:rsidRDefault="00293000" w:rsidP="00FC10D1">
            <w:pPr>
              <w:pStyle w:val="1stParagraph"/>
              <w:jc w:val="center"/>
            </w:pPr>
            <w:r w:rsidRPr="001A04ED">
              <w:t>0.</w:t>
            </w:r>
            <w:r w:rsidR="00C93E70" w:rsidRPr="001A04ED">
              <w:t>1</w:t>
            </w:r>
          </w:p>
        </w:tc>
        <w:tc>
          <w:tcPr>
            <w:tcW w:w="1434" w:type="dxa"/>
            <w:noWrap/>
            <w:vAlign w:val="center"/>
            <w:hideMark/>
          </w:tcPr>
          <w:p w14:paraId="113EAE38" w14:textId="64AE5291" w:rsidR="00293000" w:rsidRPr="001A04ED" w:rsidRDefault="00293000" w:rsidP="00FC10D1">
            <w:pPr>
              <w:pStyle w:val="1stParagraph"/>
              <w:jc w:val="center"/>
            </w:pPr>
            <w:r w:rsidRPr="001A04ED">
              <w:t>1.1</w:t>
            </w:r>
          </w:p>
        </w:tc>
      </w:tr>
      <w:tr w:rsidR="001A04ED" w:rsidRPr="001A04ED" w14:paraId="063BECE8" w14:textId="77777777" w:rsidTr="009E5EDE">
        <w:trPr>
          <w:trHeight w:val="144"/>
        </w:trPr>
        <w:tc>
          <w:tcPr>
            <w:tcW w:w="4089" w:type="dxa"/>
            <w:noWrap/>
            <w:vAlign w:val="center"/>
          </w:tcPr>
          <w:p w14:paraId="3468346C" w14:textId="77777777" w:rsidR="00293000" w:rsidRPr="001A04ED" w:rsidRDefault="00293000" w:rsidP="00FC10D1">
            <w:pPr>
              <w:pStyle w:val="1stParagraph"/>
            </w:pPr>
            <w:r w:rsidRPr="001A04ED">
              <w:t>Number of workers in the household</w:t>
            </w:r>
          </w:p>
        </w:tc>
        <w:tc>
          <w:tcPr>
            <w:tcW w:w="1243" w:type="dxa"/>
            <w:noWrap/>
            <w:vAlign w:val="center"/>
          </w:tcPr>
          <w:p w14:paraId="1CAFD985" w14:textId="794DCED4" w:rsidR="00293000" w:rsidRPr="001A04ED" w:rsidRDefault="00293000" w:rsidP="00FC10D1">
            <w:pPr>
              <w:pStyle w:val="1stParagraph"/>
              <w:jc w:val="center"/>
            </w:pPr>
            <w:r w:rsidRPr="001A04ED">
              <w:t>0.0</w:t>
            </w:r>
          </w:p>
        </w:tc>
        <w:tc>
          <w:tcPr>
            <w:tcW w:w="1342" w:type="dxa"/>
            <w:noWrap/>
            <w:vAlign w:val="center"/>
          </w:tcPr>
          <w:p w14:paraId="21388555" w14:textId="68A92F53" w:rsidR="00293000" w:rsidRPr="001A04ED" w:rsidRDefault="00293000" w:rsidP="00FC10D1">
            <w:pPr>
              <w:pStyle w:val="1stParagraph"/>
              <w:jc w:val="center"/>
            </w:pPr>
            <w:r w:rsidRPr="001A04ED">
              <w:t>6.0</w:t>
            </w:r>
          </w:p>
        </w:tc>
        <w:tc>
          <w:tcPr>
            <w:tcW w:w="1242" w:type="dxa"/>
            <w:noWrap/>
            <w:vAlign w:val="center"/>
          </w:tcPr>
          <w:p w14:paraId="105FC255" w14:textId="63E256DA" w:rsidR="00293000" w:rsidRPr="001A04ED" w:rsidRDefault="00293000" w:rsidP="00FC10D1">
            <w:pPr>
              <w:pStyle w:val="1stParagraph"/>
              <w:jc w:val="center"/>
            </w:pPr>
            <w:r w:rsidRPr="001A04ED">
              <w:t>1.0</w:t>
            </w:r>
          </w:p>
        </w:tc>
        <w:tc>
          <w:tcPr>
            <w:tcW w:w="1434" w:type="dxa"/>
            <w:noWrap/>
            <w:vAlign w:val="center"/>
          </w:tcPr>
          <w:p w14:paraId="44AEF00D" w14:textId="12E585A5" w:rsidR="00293000" w:rsidRPr="001A04ED" w:rsidRDefault="00293000" w:rsidP="00FC10D1">
            <w:pPr>
              <w:pStyle w:val="1stParagraph"/>
              <w:jc w:val="center"/>
            </w:pPr>
            <w:r w:rsidRPr="001A04ED">
              <w:t>0.9</w:t>
            </w:r>
          </w:p>
        </w:tc>
      </w:tr>
      <w:tr w:rsidR="001A04ED" w:rsidRPr="001A04ED" w14:paraId="7FC2D206" w14:textId="77777777" w:rsidTr="009E5EDE">
        <w:trPr>
          <w:trHeight w:val="144"/>
        </w:trPr>
        <w:tc>
          <w:tcPr>
            <w:tcW w:w="4089" w:type="dxa"/>
            <w:noWrap/>
            <w:vAlign w:val="center"/>
          </w:tcPr>
          <w:p w14:paraId="43FC2D03" w14:textId="77777777" w:rsidR="00293000" w:rsidRPr="001A04ED" w:rsidRDefault="00293000" w:rsidP="00FC10D1">
            <w:pPr>
              <w:pStyle w:val="1stParagraph"/>
            </w:pPr>
            <w:r w:rsidRPr="001A04ED">
              <w:t>Number of males</w:t>
            </w:r>
          </w:p>
        </w:tc>
        <w:tc>
          <w:tcPr>
            <w:tcW w:w="1243" w:type="dxa"/>
            <w:noWrap/>
            <w:vAlign w:val="center"/>
          </w:tcPr>
          <w:p w14:paraId="3C57B6CA" w14:textId="443A7601" w:rsidR="00293000" w:rsidRPr="001A04ED" w:rsidRDefault="00293000" w:rsidP="00FC10D1">
            <w:pPr>
              <w:pStyle w:val="1stParagraph"/>
              <w:jc w:val="center"/>
            </w:pPr>
            <w:r w:rsidRPr="001A04ED">
              <w:t>0.0</w:t>
            </w:r>
          </w:p>
        </w:tc>
        <w:tc>
          <w:tcPr>
            <w:tcW w:w="1342" w:type="dxa"/>
            <w:noWrap/>
            <w:vAlign w:val="center"/>
          </w:tcPr>
          <w:p w14:paraId="0C0C300A" w14:textId="14991EB0" w:rsidR="00293000" w:rsidRPr="001A04ED" w:rsidRDefault="00293000" w:rsidP="00FC10D1">
            <w:pPr>
              <w:pStyle w:val="1stParagraph"/>
              <w:jc w:val="center"/>
            </w:pPr>
            <w:r w:rsidRPr="001A04ED">
              <w:t>8.0</w:t>
            </w:r>
          </w:p>
        </w:tc>
        <w:tc>
          <w:tcPr>
            <w:tcW w:w="1242" w:type="dxa"/>
            <w:noWrap/>
            <w:vAlign w:val="center"/>
          </w:tcPr>
          <w:p w14:paraId="4A9B9C24" w14:textId="1942DDA7" w:rsidR="00293000" w:rsidRPr="001A04ED" w:rsidRDefault="00293000" w:rsidP="00FC10D1">
            <w:pPr>
              <w:pStyle w:val="1stParagraph"/>
              <w:jc w:val="center"/>
            </w:pPr>
            <w:r w:rsidRPr="001A04ED">
              <w:t>1.</w:t>
            </w:r>
            <w:r w:rsidR="00C93E70" w:rsidRPr="001A04ED">
              <w:t>1</w:t>
            </w:r>
          </w:p>
        </w:tc>
        <w:tc>
          <w:tcPr>
            <w:tcW w:w="1434" w:type="dxa"/>
            <w:noWrap/>
            <w:vAlign w:val="center"/>
          </w:tcPr>
          <w:p w14:paraId="4EC1E6DF" w14:textId="69F2A686" w:rsidR="00293000" w:rsidRPr="001A04ED" w:rsidRDefault="00293000" w:rsidP="00FC10D1">
            <w:pPr>
              <w:pStyle w:val="1stParagraph"/>
              <w:jc w:val="center"/>
            </w:pPr>
            <w:r w:rsidRPr="001A04ED">
              <w:t>0.</w:t>
            </w:r>
            <w:r w:rsidR="00C93E70" w:rsidRPr="001A04ED">
              <w:t>8</w:t>
            </w:r>
          </w:p>
        </w:tc>
      </w:tr>
      <w:tr w:rsidR="001A04ED" w:rsidRPr="001A04ED" w14:paraId="7475A568" w14:textId="77777777" w:rsidTr="009E5EDE">
        <w:trPr>
          <w:trHeight w:val="144"/>
        </w:trPr>
        <w:tc>
          <w:tcPr>
            <w:tcW w:w="4089" w:type="dxa"/>
            <w:noWrap/>
            <w:vAlign w:val="center"/>
          </w:tcPr>
          <w:p w14:paraId="7000284A" w14:textId="77777777" w:rsidR="00293000" w:rsidRPr="001A04ED" w:rsidRDefault="00293000" w:rsidP="00FC10D1">
            <w:pPr>
              <w:pStyle w:val="1stParagraph"/>
            </w:pPr>
            <w:r w:rsidRPr="001A04ED">
              <w:t>Number of females</w:t>
            </w:r>
          </w:p>
        </w:tc>
        <w:tc>
          <w:tcPr>
            <w:tcW w:w="1243" w:type="dxa"/>
            <w:noWrap/>
            <w:vAlign w:val="center"/>
          </w:tcPr>
          <w:p w14:paraId="51167F51" w14:textId="134FD6B4" w:rsidR="00293000" w:rsidRPr="001A04ED" w:rsidRDefault="00293000" w:rsidP="00FC10D1">
            <w:pPr>
              <w:pStyle w:val="1stParagraph"/>
              <w:jc w:val="center"/>
            </w:pPr>
            <w:r w:rsidRPr="001A04ED">
              <w:t>0.0</w:t>
            </w:r>
          </w:p>
        </w:tc>
        <w:tc>
          <w:tcPr>
            <w:tcW w:w="1342" w:type="dxa"/>
            <w:noWrap/>
            <w:vAlign w:val="center"/>
          </w:tcPr>
          <w:p w14:paraId="671F1792" w14:textId="33582C96" w:rsidR="00293000" w:rsidRPr="001A04ED" w:rsidRDefault="00293000" w:rsidP="00FC10D1">
            <w:pPr>
              <w:pStyle w:val="1stParagraph"/>
              <w:jc w:val="center"/>
            </w:pPr>
            <w:r w:rsidRPr="001A04ED">
              <w:t>7.0</w:t>
            </w:r>
          </w:p>
        </w:tc>
        <w:tc>
          <w:tcPr>
            <w:tcW w:w="1242" w:type="dxa"/>
            <w:noWrap/>
            <w:vAlign w:val="center"/>
          </w:tcPr>
          <w:p w14:paraId="2ED83161" w14:textId="0618B366" w:rsidR="00293000" w:rsidRPr="001A04ED" w:rsidRDefault="00293000" w:rsidP="00FC10D1">
            <w:pPr>
              <w:pStyle w:val="1stParagraph"/>
              <w:jc w:val="center"/>
            </w:pPr>
            <w:r w:rsidRPr="001A04ED">
              <w:t>1.1</w:t>
            </w:r>
          </w:p>
        </w:tc>
        <w:tc>
          <w:tcPr>
            <w:tcW w:w="1434" w:type="dxa"/>
            <w:noWrap/>
            <w:vAlign w:val="center"/>
          </w:tcPr>
          <w:p w14:paraId="36EB1AF3" w14:textId="1E886253" w:rsidR="00293000" w:rsidRPr="001A04ED" w:rsidRDefault="00293000" w:rsidP="00FC10D1">
            <w:pPr>
              <w:pStyle w:val="1stParagraph"/>
              <w:jc w:val="center"/>
            </w:pPr>
            <w:r w:rsidRPr="001A04ED">
              <w:t>0.</w:t>
            </w:r>
            <w:r w:rsidR="00C93E70" w:rsidRPr="001A04ED">
              <w:t>8</w:t>
            </w:r>
          </w:p>
        </w:tc>
      </w:tr>
      <w:tr w:rsidR="001A04ED" w:rsidRPr="001A04ED" w14:paraId="046DA61B" w14:textId="77777777" w:rsidTr="009E5EDE">
        <w:trPr>
          <w:trHeight w:val="144"/>
        </w:trPr>
        <w:tc>
          <w:tcPr>
            <w:tcW w:w="4089" w:type="dxa"/>
            <w:noWrap/>
            <w:vAlign w:val="center"/>
          </w:tcPr>
          <w:p w14:paraId="60576B69" w14:textId="77777777" w:rsidR="00293000" w:rsidRPr="001A04ED" w:rsidRDefault="00293000" w:rsidP="00FC10D1">
            <w:pPr>
              <w:pStyle w:val="1stParagraph"/>
            </w:pPr>
            <w:r w:rsidRPr="001A04ED">
              <w:t>Caucasian American households</w:t>
            </w:r>
          </w:p>
        </w:tc>
        <w:tc>
          <w:tcPr>
            <w:tcW w:w="1243" w:type="dxa"/>
            <w:noWrap/>
          </w:tcPr>
          <w:p w14:paraId="14C072E3" w14:textId="52D34F7E" w:rsidR="00293000" w:rsidRPr="001A04ED" w:rsidRDefault="00293000" w:rsidP="00FC10D1">
            <w:pPr>
              <w:pStyle w:val="1stParagraph"/>
              <w:jc w:val="center"/>
            </w:pPr>
            <w:r w:rsidRPr="001A04ED">
              <w:t>0.0</w:t>
            </w:r>
          </w:p>
        </w:tc>
        <w:tc>
          <w:tcPr>
            <w:tcW w:w="1342" w:type="dxa"/>
            <w:noWrap/>
          </w:tcPr>
          <w:p w14:paraId="36043CD7" w14:textId="6F9EA895" w:rsidR="00293000" w:rsidRPr="001A04ED" w:rsidRDefault="00293000" w:rsidP="00FC10D1">
            <w:pPr>
              <w:pStyle w:val="1stParagraph"/>
              <w:jc w:val="center"/>
            </w:pPr>
            <w:r w:rsidRPr="001A04ED">
              <w:t>1.0</w:t>
            </w:r>
          </w:p>
        </w:tc>
        <w:tc>
          <w:tcPr>
            <w:tcW w:w="1242" w:type="dxa"/>
            <w:noWrap/>
          </w:tcPr>
          <w:p w14:paraId="5B9EDDCB" w14:textId="2B2E7E09" w:rsidR="00293000" w:rsidRPr="001A04ED" w:rsidRDefault="00293000" w:rsidP="00FC10D1">
            <w:pPr>
              <w:pStyle w:val="1stParagraph"/>
              <w:jc w:val="center"/>
            </w:pPr>
            <w:r w:rsidRPr="001A04ED">
              <w:t>.8</w:t>
            </w:r>
          </w:p>
        </w:tc>
        <w:tc>
          <w:tcPr>
            <w:tcW w:w="1434" w:type="dxa"/>
            <w:noWrap/>
          </w:tcPr>
          <w:p w14:paraId="78AF9ED7" w14:textId="11BA2070" w:rsidR="00293000" w:rsidRPr="001A04ED" w:rsidRDefault="00293000" w:rsidP="00FC10D1">
            <w:pPr>
              <w:pStyle w:val="1stParagraph"/>
              <w:jc w:val="center"/>
            </w:pPr>
            <w:r w:rsidRPr="001A04ED">
              <w:t>0.</w:t>
            </w:r>
            <w:r w:rsidR="00C93E70" w:rsidRPr="001A04ED">
              <w:t>4</w:t>
            </w:r>
          </w:p>
        </w:tc>
      </w:tr>
      <w:tr w:rsidR="001A04ED" w:rsidRPr="001A04ED" w14:paraId="2D9FA156" w14:textId="77777777" w:rsidTr="009E5EDE">
        <w:trPr>
          <w:trHeight w:val="144"/>
        </w:trPr>
        <w:tc>
          <w:tcPr>
            <w:tcW w:w="4089" w:type="dxa"/>
            <w:noWrap/>
            <w:vAlign w:val="center"/>
          </w:tcPr>
          <w:p w14:paraId="7D8A00FE" w14:textId="77777777" w:rsidR="00293000" w:rsidRPr="001A04ED" w:rsidRDefault="00293000" w:rsidP="00FC10D1">
            <w:pPr>
              <w:pStyle w:val="1stParagraph"/>
            </w:pPr>
            <w:r w:rsidRPr="001A04ED">
              <w:t>African American households</w:t>
            </w:r>
          </w:p>
        </w:tc>
        <w:tc>
          <w:tcPr>
            <w:tcW w:w="1243" w:type="dxa"/>
            <w:noWrap/>
          </w:tcPr>
          <w:p w14:paraId="32551067" w14:textId="052EF72A" w:rsidR="00293000" w:rsidRPr="001A04ED" w:rsidRDefault="00293000" w:rsidP="00FC10D1">
            <w:pPr>
              <w:pStyle w:val="1stParagraph"/>
              <w:jc w:val="center"/>
            </w:pPr>
            <w:r w:rsidRPr="001A04ED">
              <w:t>0.0</w:t>
            </w:r>
          </w:p>
        </w:tc>
        <w:tc>
          <w:tcPr>
            <w:tcW w:w="1342" w:type="dxa"/>
            <w:noWrap/>
          </w:tcPr>
          <w:p w14:paraId="04630A46" w14:textId="5C455281" w:rsidR="00293000" w:rsidRPr="001A04ED" w:rsidRDefault="00293000" w:rsidP="00FC10D1">
            <w:pPr>
              <w:pStyle w:val="1stParagraph"/>
              <w:jc w:val="center"/>
            </w:pPr>
            <w:r w:rsidRPr="001A04ED">
              <w:t>1.0</w:t>
            </w:r>
          </w:p>
        </w:tc>
        <w:tc>
          <w:tcPr>
            <w:tcW w:w="1242" w:type="dxa"/>
            <w:noWrap/>
          </w:tcPr>
          <w:p w14:paraId="668DE483" w14:textId="6F1F8576" w:rsidR="00293000" w:rsidRPr="001A04ED" w:rsidRDefault="00293000" w:rsidP="00FC10D1">
            <w:pPr>
              <w:pStyle w:val="1stParagraph"/>
              <w:jc w:val="center"/>
            </w:pPr>
            <w:r w:rsidRPr="001A04ED">
              <w:t>.</w:t>
            </w:r>
            <w:r w:rsidR="00C93E70" w:rsidRPr="001A04ED">
              <w:t>1</w:t>
            </w:r>
          </w:p>
        </w:tc>
        <w:tc>
          <w:tcPr>
            <w:tcW w:w="1434" w:type="dxa"/>
            <w:noWrap/>
          </w:tcPr>
          <w:p w14:paraId="6C84618F" w14:textId="03BB5169" w:rsidR="00293000" w:rsidRPr="001A04ED" w:rsidRDefault="00293000" w:rsidP="00FC10D1">
            <w:pPr>
              <w:pStyle w:val="1stParagraph"/>
              <w:jc w:val="center"/>
            </w:pPr>
            <w:r w:rsidRPr="001A04ED">
              <w:t>0.</w:t>
            </w:r>
            <w:r w:rsidR="00C93E70" w:rsidRPr="001A04ED">
              <w:t>3</w:t>
            </w:r>
          </w:p>
        </w:tc>
      </w:tr>
      <w:tr w:rsidR="001A04ED" w:rsidRPr="001A04ED" w14:paraId="5F1F1AD2" w14:textId="77777777" w:rsidTr="009E5EDE">
        <w:trPr>
          <w:trHeight w:val="144"/>
        </w:trPr>
        <w:tc>
          <w:tcPr>
            <w:tcW w:w="4089" w:type="dxa"/>
            <w:noWrap/>
            <w:vAlign w:val="center"/>
          </w:tcPr>
          <w:p w14:paraId="5FFD39C8" w14:textId="77777777" w:rsidR="00293000" w:rsidRPr="001A04ED" w:rsidRDefault="00293000" w:rsidP="00FC10D1">
            <w:pPr>
              <w:pStyle w:val="1stParagraph"/>
            </w:pPr>
            <w:r w:rsidRPr="001A04ED">
              <w:t>Households of other races</w:t>
            </w:r>
          </w:p>
        </w:tc>
        <w:tc>
          <w:tcPr>
            <w:tcW w:w="1243" w:type="dxa"/>
            <w:noWrap/>
          </w:tcPr>
          <w:p w14:paraId="109E89D2" w14:textId="1CCA4371" w:rsidR="00293000" w:rsidRPr="001A04ED" w:rsidRDefault="00293000" w:rsidP="00FC10D1">
            <w:pPr>
              <w:pStyle w:val="1stParagraph"/>
              <w:jc w:val="center"/>
            </w:pPr>
            <w:r w:rsidRPr="001A04ED">
              <w:t>0.0</w:t>
            </w:r>
          </w:p>
        </w:tc>
        <w:tc>
          <w:tcPr>
            <w:tcW w:w="1342" w:type="dxa"/>
            <w:noWrap/>
          </w:tcPr>
          <w:p w14:paraId="2D1A00CD" w14:textId="2DC98991" w:rsidR="00293000" w:rsidRPr="001A04ED" w:rsidRDefault="00293000" w:rsidP="00FC10D1">
            <w:pPr>
              <w:pStyle w:val="1stParagraph"/>
              <w:jc w:val="center"/>
            </w:pPr>
            <w:r w:rsidRPr="001A04ED">
              <w:t>1.0</w:t>
            </w:r>
          </w:p>
        </w:tc>
        <w:tc>
          <w:tcPr>
            <w:tcW w:w="1242" w:type="dxa"/>
            <w:noWrap/>
          </w:tcPr>
          <w:p w14:paraId="599D8533" w14:textId="63ED3E65" w:rsidR="00293000" w:rsidRPr="001A04ED" w:rsidRDefault="00293000" w:rsidP="00FC10D1">
            <w:pPr>
              <w:pStyle w:val="1stParagraph"/>
              <w:jc w:val="center"/>
            </w:pPr>
            <w:r w:rsidRPr="001A04ED">
              <w:t>.</w:t>
            </w:r>
            <w:r w:rsidR="00C93E70" w:rsidRPr="001A04ED">
              <w:t>1</w:t>
            </w:r>
          </w:p>
        </w:tc>
        <w:tc>
          <w:tcPr>
            <w:tcW w:w="1434" w:type="dxa"/>
            <w:noWrap/>
          </w:tcPr>
          <w:p w14:paraId="0B0BCF5F" w14:textId="3F9ECB20" w:rsidR="00293000" w:rsidRPr="001A04ED" w:rsidRDefault="00293000" w:rsidP="00FC10D1">
            <w:pPr>
              <w:pStyle w:val="1stParagraph"/>
              <w:jc w:val="center"/>
            </w:pPr>
            <w:r w:rsidRPr="001A04ED">
              <w:t>0.2</w:t>
            </w:r>
          </w:p>
        </w:tc>
      </w:tr>
      <w:tr w:rsidR="00293000" w:rsidRPr="001A04ED" w14:paraId="23E6321E" w14:textId="77777777" w:rsidTr="009E5EDE">
        <w:trPr>
          <w:trHeight w:val="144"/>
        </w:trPr>
        <w:tc>
          <w:tcPr>
            <w:tcW w:w="4089" w:type="dxa"/>
            <w:noWrap/>
            <w:vAlign w:val="center"/>
          </w:tcPr>
          <w:p w14:paraId="4754C3AE" w14:textId="77777777" w:rsidR="00293000" w:rsidRPr="001A04ED" w:rsidRDefault="00293000" w:rsidP="00FC10D1">
            <w:pPr>
              <w:pStyle w:val="1stParagraph"/>
            </w:pPr>
            <w:r w:rsidRPr="001A04ED">
              <w:t>Mixed race households</w:t>
            </w:r>
          </w:p>
        </w:tc>
        <w:tc>
          <w:tcPr>
            <w:tcW w:w="1243" w:type="dxa"/>
            <w:noWrap/>
          </w:tcPr>
          <w:p w14:paraId="19E3B870" w14:textId="234D2D4B" w:rsidR="00293000" w:rsidRPr="001A04ED" w:rsidRDefault="00293000" w:rsidP="00FC10D1">
            <w:pPr>
              <w:pStyle w:val="1stParagraph"/>
              <w:jc w:val="center"/>
            </w:pPr>
            <w:r w:rsidRPr="001A04ED">
              <w:t>0.0</w:t>
            </w:r>
          </w:p>
        </w:tc>
        <w:tc>
          <w:tcPr>
            <w:tcW w:w="1342" w:type="dxa"/>
            <w:noWrap/>
          </w:tcPr>
          <w:p w14:paraId="50276C70" w14:textId="1ED05E3C" w:rsidR="00293000" w:rsidRPr="001A04ED" w:rsidRDefault="00293000" w:rsidP="00FC10D1">
            <w:pPr>
              <w:pStyle w:val="1stParagraph"/>
              <w:jc w:val="center"/>
            </w:pPr>
            <w:r w:rsidRPr="001A04ED">
              <w:t>1.0</w:t>
            </w:r>
          </w:p>
        </w:tc>
        <w:tc>
          <w:tcPr>
            <w:tcW w:w="1242" w:type="dxa"/>
            <w:noWrap/>
          </w:tcPr>
          <w:p w14:paraId="1377F708" w14:textId="7694F3CE" w:rsidR="00293000" w:rsidRPr="001A04ED" w:rsidRDefault="00293000" w:rsidP="00FC10D1">
            <w:pPr>
              <w:pStyle w:val="1stParagraph"/>
              <w:jc w:val="center"/>
            </w:pPr>
            <w:r w:rsidRPr="001A04ED">
              <w:t>.</w:t>
            </w:r>
            <w:r w:rsidR="00C93E70" w:rsidRPr="001A04ED">
              <w:t>1</w:t>
            </w:r>
          </w:p>
        </w:tc>
        <w:tc>
          <w:tcPr>
            <w:tcW w:w="1434" w:type="dxa"/>
            <w:noWrap/>
          </w:tcPr>
          <w:p w14:paraId="7C4CA86C" w14:textId="7DB7E1D5" w:rsidR="00293000" w:rsidRPr="001A04ED" w:rsidRDefault="00293000" w:rsidP="00FC10D1">
            <w:pPr>
              <w:pStyle w:val="1stParagraph"/>
              <w:jc w:val="center"/>
            </w:pPr>
            <w:r w:rsidRPr="001A04ED">
              <w:t>0.</w:t>
            </w:r>
            <w:r w:rsidR="00C93E70" w:rsidRPr="001A04ED">
              <w:t>3</w:t>
            </w:r>
          </w:p>
        </w:tc>
      </w:tr>
    </w:tbl>
    <w:p w14:paraId="0630E45F" w14:textId="77777777" w:rsidR="00293000" w:rsidRPr="001A04ED" w:rsidRDefault="00293000" w:rsidP="00DE3E4E">
      <w:pPr>
        <w:ind w:firstLine="0"/>
      </w:pPr>
    </w:p>
    <w:p w14:paraId="24D96032" w14:textId="59EFA87F" w:rsidR="00DE3E4E" w:rsidRPr="001A04ED" w:rsidRDefault="004B1C01" w:rsidP="004B1C01">
      <w:pPr>
        <w:pStyle w:val="Heading1"/>
        <w:rPr>
          <w:szCs w:val="22"/>
        </w:rPr>
      </w:pPr>
      <w:r w:rsidRPr="001A04ED">
        <w:rPr>
          <w:szCs w:val="22"/>
        </w:rPr>
        <w:t>Model Selection with Fused Data</w:t>
      </w:r>
    </w:p>
    <w:p w14:paraId="4C1879E5" w14:textId="7ED20759" w:rsidR="00856369" w:rsidRPr="001A04ED" w:rsidRDefault="00E504BE" w:rsidP="00791A24">
      <w:pPr>
        <w:pStyle w:val="1stParagraph"/>
      </w:pPr>
      <w:r w:rsidRPr="001A04ED">
        <w:t>In this section, the optimal</w:t>
      </w:r>
      <w:r w:rsidR="00CD4255" w:rsidRPr="001A04ED">
        <w:t xml:space="preserve"> fusion model is selected following the </w:t>
      </w:r>
      <w:r w:rsidR="00F47ADE" w:rsidRPr="001A04ED">
        <w:t xml:space="preserve">algorithm </w:t>
      </w:r>
      <w:r w:rsidR="00CA2DFF" w:rsidRPr="001A04ED">
        <w:t xml:space="preserve">presented in Figure </w:t>
      </w:r>
      <w:r w:rsidR="000F095C" w:rsidRPr="001A04ED">
        <w:t>1</w:t>
      </w:r>
      <w:r w:rsidR="00CA2DFF" w:rsidRPr="001A04ED">
        <w:t xml:space="preserve">. </w:t>
      </w:r>
      <w:r w:rsidR="00CA2DFF" w:rsidRPr="001A04ED">
        <w:rPr>
          <w:i/>
          <w:iCs/>
        </w:rPr>
        <w:t>In the first step</w:t>
      </w:r>
      <w:r w:rsidR="00CA2DFF" w:rsidRPr="001A04ED">
        <w:t xml:space="preserve">, </w:t>
      </w:r>
      <w:r w:rsidR="00062637" w:rsidRPr="001A04ED">
        <w:t>various</w:t>
      </w:r>
      <w:r w:rsidR="00142086" w:rsidRPr="001A04ED">
        <w:t xml:space="preserve"> variable combinations using the</w:t>
      </w:r>
      <w:r w:rsidRPr="001A04ED">
        <w:t xml:space="preserve"> 7 </w:t>
      </w:r>
      <w:r w:rsidR="00FC7535" w:rsidRPr="001A04ED">
        <w:t xml:space="preserve">common </w:t>
      </w:r>
      <w:r w:rsidRPr="001A04ED">
        <w:t>variables</w:t>
      </w:r>
      <w:r w:rsidR="00C21E9A" w:rsidRPr="001A04ED">
        <w:t xml:space="preserve"> present in </w:t>
      </w:r>
      <w:r w:rsidR="00063286" w:rsidRPr="001A04ED">
        <w:t>both RECS and NHTS datasets</w:t>
      </w:r>
      <w:r w:rsidR="00B664E2" w:rsidRPr="001A04ED">
        <w:t xml:space="preserve"> </w:t>
      </w:r>
      <w:r w:rsidR="0080195B" w:rsidRPr="001A04ED">
        <w:t>a</w:t>
      </w:r>
      <w:r w:rsidR="00B664E2" w:rsidRPr="001A04ED">
        <w:t>re identified</w:t>
      </w:r>
      <w:r w:rsidR="00063286" w:rsidRPr="001A04ED">
        <w:t>.</w:t>
      </w:r>
      <w:r w:rsidR="00330364" w:rsidRPr="001A04ED">
        <w:t xml:space="preserve"> These variables include </w:t>
      </w:r>
      <w:r w:rsidR="00003850" w:rsidRPr="001A04ED">
        <w:t xml:space="preserve">household </w:t>
      </w:r>
      <w:r w:rsidR="00AB2B21" w:rsidRPr="001A04ED">
        <w:t>D</w:t>
      </w:r>
      <w:r w:rsidR="00003850" w:rsidRPr="001A04ED">
        <w:t xml:space="preserve">ivision (D), household Income (I), household </w:t>
      </w:r>
      <w:r w:rsidR="00AB2B21" w:rsidRPr="001A04ED">
        <w:t>L</w:t>
      </w:r>
      <w:r w:rsidR="00003850" w:rsidRPr="001A04ED">
        <w:t xml:space="preserve">ocation (L), household </w:t>
      </w:r>
      <w:r w:rsidR="00AB2B21" w:rsidRPr="001A04ED">
        <w:t>O</w:t>
      </w:r>
      <w:r w:rsidR="00003850" w:rsidRPr="001A04ED">
        <w:t xml:space="preserve">wnership (O), household </w:t>
      </w:r>
      <w:r w:rsidR="00AB2B21" w:rsidRPr="001A04ED">
        <w:t>R</w:t>
      </w:r>
      <w:r w:rsidR="00003850" w:rsidRPr="001A04ED">
        <w:t xml:space="preserve">egion (R), household </w:t>
      </w:r>
      <w:r w:rsidR="00AB2B21" w:rsidRPr="001A04ED">
        <w:t>S</w:t>
      </w:r>
      <w:r w:rsidR="00003850" w:rsidRPr="001A04ED">
        <w:t xml:space="preserve">ize (S) and housing </w:t>
      </w:r>
      <w:r w:rsidR="00AB2B21" w:rsidRPr="001A04ED">
        <w:t>T</w:t>
      </w:r>
      <w:r w:rsidR="00003850" w:rsidRPr="001A04ED">
        <w:t>ype (T)</w:t>
      </w:r>
      <w:r w:rsidRPr="001A04ED">
        <w:t>.</w:t>
      </w:r>
      <w:r w:rsidR="0030431D" w:rsidRPr="001A04ED">
        <w:t xml:space="preserve"> Based on these common variables,</w:t>
      </w:r>
      <w:r w:rsidRPr="001A04ED">
        <w:t xml:space="preserve"> </w:t>
      </w:r>
      <w:r w:rsidR="0030431D" w:rsidRPr="001A04ED">
        <w:t>i</w:t>
      </w:r>
      <w:r w:rsidR="00EF2218" w:rsidRPr="001A04ED">
        <w:t>n</w:t>
      </w:r>
      <w:r w:rsidR="00062637" w:rsidRPr="001A04ED">
        <w:t xml:space="preserve"> our study, </w:t>
      </w:r>
      <w:r w:rsidR="0080079B" w:rsidRPr="001A04ED">
        <w:t>9</w:t>
      </w:r>
      <w:r w:rsidR="00062637" w:rsidRPr="001A04ED">
        <w:t xml:space="preserve"> </w:t>
      </w:r>
      <w:r w:rsidR="00251FA9" w:rsidRPr="001A04ED">
        <w:t xml:space="preserve">variable combinations </w:t>
      </w:r>
      <w:r w:rsidR="0080195B" w:rsidRPr="001A04ED">
        <w:t xml:space="preserve">are examined </w:t>
      </w:r>
      <w:r w:rsidR="00251FA9" w:rsidRPr="001A04ED">
        <w:t xml:space="preserve">for data fusion: </w:t>
      </w:r>
      <w:r w:rsidR="00EF2218" w:rsidRPr="001A04ED">
        <w:t>(</w:t>
      </w:r>
      <w:r w:rsidR="00242F0E" w:rsidRPr="001A04ED">
        <w:t>1</w:t>
      </w:r>
      <w:r w:rsidR="00EF2218" w:rsidRPr="001A04ED">
        <w:t xml:space="preserve">) </w:t>
      </w:r>
      <w:r w:rsidR="005978C8" w:rsidRPr="001A04ED">
        <w:t>D-I-L-O-R-S</w:t>
      </w:r>
      <w:r w:rsidR="00EF2218" w:rsidRPr="001A04ED">
        <w:t>, (</w:t>
      </w:r>
      <w:r w:rsidR="00242F0E" w:rsidRPr="001A04ED">
        <w:t>2</w:t>
      </w:r>
      <w:r w:rsidR="00EF2218" w:rsidRPr="001A04ED">
        <w:t xml:space="preserve">) </w:t>
      </w:r>
      <w:r w:rsidR="006E22D5" w:rsidRPr="001A04ED">
        <w:t>D-I-L-O-S-T</w:t>
      </w:r>
      <w:r w:rsidR="00EF2218" w:rsidRPr="001A04ED">
        <w:t>, (</w:t>
      </w:r>
      <w:r w:rsidR="00242F0E" w:rsidRPr="001A04ED">
        <w:t>3</w:t>
      </w:r>
      <w:r w:rsidR="00EF2218" w:rsidRPr="001A04ED">
        <w:t xml:space="preserve">) </w:t>
      </w:r>
      <w:r w:rsidR="006E22D5" w:rsidRPr="001A04ED">
        <w:t>D-I-L-O-R-T</w:t>
      </w:r>
      <w:r w:rsidR="00EF2218" w:rsidRPr="001A04ED">
        <w:t>, (</w:t>
      </w:r>
      <w:r w:rsidR="00242F0E" w:rsidRPr="001A04ED">
        <w:t>4</w:t>
      </w:r>
      <w:r w:rsidR="00EF2218" w:rsidRPr="001A04ED">
        <w:t xml:space="preserve">) </w:t>
      </w:r>
      <w:r w:rsidR="00233EE4" w:rsidRPr="001A04ED">
        <w:t>D-I-L-R-S-T</w:t>
      </w:r>
      <w:r w:rsidR="00EF2218" w:rsidRPr="001A04ED">
        <w:t>, (</w:t>
      </w:r>
      <w:r w:rsidR="00242F0E" w:rsidRPr="001A04ED">
        <w:t>5</w:t>
      </w:r>
      <w:r w:rsidR="00EF2218" w:rsidRPr="001A04ED">
        <w:t xml:space="preserve">) </w:t>
      </w:r>
      <w:r w:rsidR="00233EE4" w:rsidRPr="001A04ED">
        <w:t>D-I-R-S-T</w:t>
      </w:r>
      <w:r w:rsidR="00EF2218" w:rsidRPr="001A04ED">
        <w:t>, (</w:t>
      </w:r>
      <w:r w:rsidR="00242F0E" w:rsidRPr="001A04ED">
        <w:t>6</w:t>
      </w:r>
      <w:r w:rsidR="00EF2218" w:rsidRPr="001A04ED">
        <w:t xml:space="preserve">) </w:t>
      </w:r>
      <w:r w:rsidR="00233EE4" w:rsidRPr="001A04ED">
        <w:t>D-L-O-R-S</w:t>
      </w:r>
      <w:r w:rsidR="00EF2218" w:rsidRPr="001A04ED">
        <w:t>, (</w:t>
      </w:r>
      <w:r w:rsidR="00242F0E" w:rsidRPr="001A04ED">
        <w:t>7</w:t>
      </w:r>
      <w:r w:rsidR="00EF2218" w:rsidRPr="001A04ED">
        <w:t xml:space="preserve">) </w:t>
      </w:r>
      <w:r w:rsidR="00EB7A9C" w:rsidRPr="001A04ED">
        <w:t>D-L-O-R-S-T</w:t>
      </w:r>
      <w:r w:rsidR="00EF2218" w:rsidRPr="001A04ED">
        <w:t>, (</w:t>
      </w:r>
      <w:r w:rsidR="00242F0E" w:rsidRPr="001A04ED">
        <w:t>8</w:t>
      </w:r>
      <w:r w:rsidR="00EF2218" w:rsidRPr="001A04ED">
        <w:t xml:space="preserve">) </w:t>
      </w:r>
      <w:r w:rsidR="00EB7A9C" w:rsidRPr="001A04ED">
        <w:t xml:space="preserve">D-L-O-S-T </w:t>
      </w:r>
      <w:r w:rsidR="00EF2218" w:rsidRPr="001A04ED">
        <w:t>and (</w:t>
      </w:r>
      <w:r w:rsidR="00242F0E" w:rsidRPr="001A04ED">
        <w:t>9</w:t>
      </w:r>
      <w:r w:rsidR="00EF2218" w:rsidRPr="001A04ED">
        <w:t xml:space="preserve">) </w:t>
      </w:r>
      <w:r w:rsidR="00EB7A9C" w:rsidRPr="001A04ED">
        <w:t>I-L-O-R-S-T</w:t>
      </w:r>
      <w:r w:rsidR="00EF2218" w:rsidRPr="001A04ED">
        <w:t>.</w:t>
      </w:r>
      <w:r w:rsidR="00EB7A9C" w:rsidRPr="001A04ED">
        <w:t xml:space="preserve"> </w:t>
      </w:r>
      <w:r w:rsidR="00A92C60" w:rsidRPr="001A04ED">
        <w:rPr>
          <w:i/>
          <w:iCs/>
        </w:rPr>
        <w:t>In the second step</w:t>
      </w:r>
      <w:r w:rsidR="00A92C60" w:rsidRPr="001A04ED">
        <w:t xml:space="preserve">, </w:t>
      </w:r>
      <w:r w:rsidRPr="001A04ED">
        <w:t>for each combination 5-, 10-, 15-</w:t>
      </w:r>
      <w:r w:rsidR="00A92C60" w:rsidRPr="001A04ED">
        <w:t>,</w:t>
      </w:r>
      <w:r w:rsidRPr="001A04ED">
        <w:t xml:space="preserve"> 20</w:t>
      </w:r>
      <w:r w:rsidR="00E17687" w:rsidRPr="001A04ED">
        <w:t xml:space="preserve"> and </w:t>
      </w:r>
      <w:r w:rsidR="00A92C60" w:rsidRPr="001A04ED">
        <w:t>25</w:t>
      </w:r>
      <w:r w:rsidRPr="001A04ED">
        <w:t xml:space="preserve"> NHTS records were randomly fused to each RECS record, and the MDCEV model was developed with the fused data</w:t>
      </w:r>
      <w:r w:rsidR="00930F87" w:rsidRPr="001A04ED">
        <w:rPr>
          <w:rStyle w:val="FootnoteReference"/>
        </w:rPr>
        <w:footnoteReference w:id="5"/>
      </w:r>
      <w:r w:rsidRPr="001A04ED">
        <w:t>.</w:t>
      </w:r>
      <w:r w:rsidR="009732B5" w:rsidRPr="001A04ED">
        <w:t xml:space="preserve"> </w:t>
      </w:r>
      <w:r w:rsidR="001834BC" w:rsidRPr="001A04ED">
        <w:rPr>
          <w:i/>
          <w:iCs/>
        </w:rPr>
        <w:t>In the third step</w:t>
      </w:r>
      <w:r w:rsidR="001834BC" w:rsidRPr="001A04ED">
        <w:t xml:space="preserve">, </w:t>
      </w:r>
      <w:r w:rsidRPr="001A04ED">
        <w:t xml:space="preserve">the improvement of the model </w:t>
      </w:r>
      <w:r w:rsidR="0032671E" w:rsidRPr="001A04ED">
        <w:t>log-likelihood (</w:t>
      </w:r>
      <w:r w:rsidRPr="001A04ED">
        <w:t>LL</w:t>
      </w:r>
      <w:r w:rsidR="0032671E" w:rsidRPr="001A04ED">
        <w:t>)</w:t>
      </w:r>
      <w:r w:rsidRPr="001A04ED">
        <w:t xml:space="preserve"> (relative to the model with only RECS dataset) at each combination was compared</w:t>
      </w:r>
      <w:r w:rsidR="0002240C" w:rsidRPr="001A04ED">
        <w:t>.</w:t>
      </w:r>
      <w:r w:rsidR="00C0018E" w:rsidRPr="001A04ED">
        <w:t xml:space="preserve"> The LL improvement of the fusion model is computed</w:t>
      </w:r>
      <w:r w:rsidR="00660642" w:rsidRPr="001A04ED">
        <w:t xml:space="preserve"> as follows: </w:t>
      </w:r>
      <m:oMath>
        <m:r>
          <w:rPr>
            <w:rFonts w:ascii="Cambria Math" w:hAnsi="Cambria Math"/>
          </w:rPr>
          <m:t xml:space="preserve">LL improvement= </m:t>
        </m:r>
        <m:sSub>
          <m:sSubPr>
            <m:ctrlPr>
              <w:rPr>
                <w:rFonts w:ascii="Cambria Math" w:hAnsi="Cambria Math"/>
                <w:i/>
              </w:rPr>
            </m:ctrlPr>
          </m:sSubPr>
          <m:e>
            <m:r>
              <w:rPr>
                <w:rFonts w:ascii="Cambria Math" w:hAnsi="Cambria Math"/>
              </w:rPr>
              <m:t>LL</m:t>
            </m:r>
          </m:e>
          <m:sub>
            <m:r>
              <w:rPr>
                <w:rFonts w:ascii="Cambria Math" w:hAnsi="Cambria Math"/>
              </w:rPr>
              <m:t>fusion model</m:t>
            </m:r>
          </m:sub>
        </m:sSub>
        <m:r>
          <w:rPr>
            <w:rFonts w:ascii="Cambria Math" w:hAnsi="Cambria Math"/>
          </w:rPr>
          <m:t>-</m:t>
        </m:r>
        <m:sSub>
          <m:sSubPr>
            <m:ctrlPr>
              <w:rPr>
                <w:rFonts w:ascii="Cambria Math" w:hAnsi="Cambria Math"/>
                <w:i/>
              </w:rPr>
            </m:ctrlPr>
          </m:sSubPr>
          <m:e>
            <m:r>
              <w:rPr>
                <w:rFonts w:ascii="Cambria Math" w:hAnsi="Cambria Math"/>
              </w:rPr>
              <m:t>LL</m:t>
            </m:r>
          </m:e>
          <m:sub>
            <m:r>
              <w:rPr>
                <w:rFonts w:ascii="Cambria Math" w:hAnsi="Cambria Math"/>
              </w:rPr>
              <m:t>RECS only model</m:t>
            </m:r>
          </m:sub>
        </m:sSub>
      </m:oMath>
      <w:r w:rsidR="00E26FB0" w:rsidRPr="001A04ED">
        <w:rPr>
          <w:rFonts w:eastAsiaTheme="minorEastAsia"/>
        </w:rPr>
        <w:t>.</w:t>
      </w:r>
      <w:r w:rsidRPr="001A04ED">
        <w:t xml:space="preserve"> Based on the LL improvement, the </w:t>
      </w:r>
      <w:r w:rsidR="006F3750" w:rsidRPr="001A04ED">
        <w:t>optimal</w:t>
      </w:r>
      <w:r w:rsidRPr="001A04ED">
        <w:t xml:space="preserve"> number of fusion records for each variable combination was selected</w:t>
      </w:r>
      <w:r w:rsidR="00732EB5" w:rsidRPr="001A04ED">
        <w:t xml:space="preserve">. </w:t>
      </w:r>
      <w:r w:rsidR="004A7447" w:rsidRPr="001A04ED">
        <w:t>Figure 4</w:t>
      </w:r>
      <w:r w:rsidR="00281E4E" w:rsidRPr="001A04ED">
        <w:t xml:space="preserve"> represents the LL improvement</w:t>
      </w:r>
      <w:r w:rsidR="00445313" w:rsidRPr="001A04ED">
        <w:t>s</w:t>
      </w:r>
      <w:r w:rsidR="00281E4E" w:rsidRPr="001A04ED">
        <w:t xml:space="preserve"> </w:t>
      </w:r>
      <w:r w:rsidR="00640823" w:rsidRPr="001A04ED">
        <w:t xml:space="preserve">for different number of matching variables </w:t>
      </w:r>
      <w:r w:rsidR="0073637E" w:rsidRPr="001A04ED">
        <w:t xml:space="preserve">for </w:t>
      </w:r>
      <w:r w:rsidR="00640823" w:rsidRPr="001A04ED">
        <w:t xml:space="preserve">different </w:t>
      </w:r>
      <w:r w:rsidR="00445313" w:rsidRPr="001A04ED">
        <w:t>variable combinations.</w:t>
      </w:r>
      <w:r w:rsidR="00F34F0E" w:rsidRPr="001A04ED">
        <w:t xml:space="preserve"> The </w:t>
      </w:r>
      <w:r w:rsidR="004A7447" w:rsidRPr="001A04ED">
        <w:t>figure</w:t>
      </w:r>
      <w:r w:rsidR="00F34F0E" w:rsidRPr="001A04ED">
        <w:t xml:space="preserve"> </w:t>
      </w:r>
      <w:r w:rsidR="007C6C0E" w:rsidRPr="001A04ED">
        <w:t>indicates</w:t>
      </w:r>
      <w:r w:rsidR="006C2D2F" w:rsidRPr="001A04ED">
        <w:t xml:space="preserve"> the </w:t>
      </w:r>
      <w:r w:rsidR="000E4038" w:rsidRPr="001A04ED">
        <w:t>optimal number</w:t>
      </w:r>
      <w:r w:rsidR="007C6C0E" w:rsidRPr="001A04ED">
        <w:t xml:space="preserve"> of fusion records </w:t>
      </w:r>
      <w:r w:rsidR="00A77162" w:rsidRPr="001A04ED">
        <w:t>for all variable combinations</w:t>
      </w:r>
      <w:r w:rsidR="004A7447" w:rsidRPr="001A04ED">
        <w:t>.</w:t>
      </w:r>
    </w:p>
    <w:p w14:paraId="23A8B475" w14:textId="77777777" w:rsidR="009E5EDE" w:rsidRPr="001A04ED" w:rsidRDefault="009E5EDE" w:rsidP="00791A24">
      <w:pPr>
        <w:pStyle w:val="1stParagraph"/>
      </w:pPr>
    </w:p>
    <w:p w14:paraId="1A91C947" w14:textId="70A2C2A4" w:rsidR="00856369" w:rsidRPr="001A04ED" w:rsidRDefault="00242F0E" w:rsidP="00856369">
      <w:pPr>
        <w:pStyle w:val="1stParagraph"/>
        <w:jc w:val="center"/>
      </w:pPr>
      <w:r w:rsidRPr="001A04ED">
        <w:rPr>
          <w:noProof/>
          <w14:ligatures w14:val="standardContextual"/>
        </w:rPr>
        <w:lastRenderedPageBreak/>
        <w:drawing>
          <wp:inline distT="0" distB="0" distL="0" distR="0" wp14:anchorId="2F11F3DB" wp14:editId="6E82DF6B">
            <wp:extent cx="4970584" cy="3088658"/>
            <wp:effectExtent l="0" t="0" r="1905" b="0"/>
            <wp:docPr id="1733785725" name="Picture 1" descr="A graph of a number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85725" name="Picture 1" descr="A graph of a number of different colored bar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2807" cy="3096253"/>
                    </a:xfrm>
                    <a:prstGeom prst="rect">
                      <a:avLst/>
                    </a:prstGeom>
                  </pic:spPr>
                </pic:pic>
              </a:graphicData>
            </a:graphic>
          </wp:inline>
        </w:drawing>
      </w:r>
    </w:p>
    <w:p w14:paraId="1FE57C37" w14:textId="60A7BB13" w:rsidR="00856369" w:rsidRPr="001A04ED" w:rsidRDefault="00856369" w:rsidP="00856369">
      <w:pPr>
        <w:ind w:firstLine="0"/>
        <w:jc w:val="center"/>
        <w:rPr>
          <w:b/>
          <w:bCs/>
        </w:rPr>
      </w:pPr>
      <w:r w:rsidRPr="001A04ED">
        <w:rPr>
          <w:b/>
          <w:bCs/>
        </w:rPr>
        <w:t>Figure 4</w:t>
      </w:r>
      <w:r w:rsidR="00F9721E" w:rsidRPr="001A04ED">
        <w:rPr>
          <w:b/>
          <w:bCs/>
        </w:rPr>
        <w:t>:</w:t>
      </w:r>
      <w:r w:rsidRPr="001A04ED">
        <w:rPr>
          <w:b/>
          <w:bCs/>
        </w:rPr>
        <w:t xml:space="preserve"> Selection of optimal number of fusion records for all combinations</w:t>
      </w:r>
    </w:p>
    <w:p w14:paraId="56CC307C" w14:textId="77777777" w:rsidR="0024385B" w:rsidRPr="001A04ED" w:rsidRDefault="0024385B" w:rsidP="00856369">
      <w:pPr>
        <w:ind w:firstLine="0"/>
        <w:jc w:val="center"/>
        <w:rPr>
          <w:b/>
          <w:bCs/>
        </w:rPr>
      </w:pPr>
    </w:p>
    <w:p w14:paraId="6707F4A4" w14:textId="1179682A" w:rsidR="004A186B" w:rsidRPr="001A04ED" w:rsidRDefault="00EB7A9C" w:rsidP="00791A24">
      <w:pPr>
        <w:pStyle w:val="1stParagraph"/>
      </w:pPr>
      <w:r w:rsidRPr="001A04ED">
        <w:rPr>
          <w:i/>
          <w:iCs/>
        </w:rPr>
        <w:t>In the fourth step</w:t>
      </w:r>
      <w:r w:rsidRPr="001A04ED">
        <w:t xml:space="preserve">, the optimal models for all variable combinations were compared, and the </w:t>
      </w:r>
      <w:r w:rsidR="00BC34E8" w:rsidRPr="001A04ED">
        <w:t xml:space="preserve">final </w:t>
      </w:r>
      <w:r w:rsidRPr="001A04ED">
        <w:t>optimal fusion model was selected. Figure 5 shows the LL improvement of all the optimal models for all variable combinations.</w:t>
      </w:r>
    </w:p>
    <w:p w14:paraId="54E0704C" w14:textId="14B4615D" w:rsidR="004A186B" w:rsidRPr="001A04ED" w:rsidRDefault="00EB7A9C" w:rsidP="00791A24">
      <w:pPr>
        <w:pStyle w:val="1stParagraph"/>
      </w:pPr>
      <w:r w:rsidRPr="001A04ED">
        <w:t xml:space="preserve"> </w:t>
      </w:r>
    </w:p>
    <w:p w14:paraId="5A923961" w14:textId="41DED820" w:rsidR="004A186B" w:rsidRPr="001A04ED" w:rsidRDefault="00AE7BC0" w:rsidP="004A186B">
      <w:pPr>
        <w:pStyle w:val="1stParagraph"/>
        <w:jc w:val="center"/>
      </w:pPr>
      <w:r w:rsidRPr="001A04ED">
        <w:rPr>
          <w:noProof/>
          <w14:ligatures w14:val="standardContextual"/>
        </w:rPr>
        <w:drawing>
          <wp:inline distT="0" distB="0" distL="0" distR="0" wp14:anchorId="1D160869" wp14:editId="54216A0A">
            <wp:extent cx="4161692" cy="2501550"/>
            <wp:effectExtent l="0" t="0" r="0" b="0"/>
            <wp:docPr id="228831954" name="Picture 2" descr="A graph of a number of brown and black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31954" name="Picture 2" descr="A graph of a number of brown and black bar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73807" cy="2508832"/>
                    </a:xfrm>
                    <a:prstGeom prst="rect">
                      <a:avLst/>
                    </a:prstGeom>
                  </pic:spPr>
                </pic:pic>
              </a:graphicData>
            </a:graphic>
          </wp:inline>
        </w:drawing>
      </w:r>
    </w:p>
    <w:p w14:paraId="6650EBBC" w14:textId="64946CFE" w:rsidR="004A186B" w:rsidRPr="001A04ED" w:rsidRDefault="004A186B" w:rsidP="004A186B">
      <w:pPr>
        <w:ind w:firstLine="0"/>
        <w:jc w:val="center"/>
        <w:rPr>
          <w:b/>
          <w:bCs/>
        </w:rPr>
      </w:pPr>
      <w:r w:rsidRPr="001A04ED">
        <w:rPr>
          <w:b/>
          <w:bCs/>
        </w:rPr>
        <w:t>Figure 5</w:t>
      </w:r>
      <w:r w:rsidR="000D2540" w:rsidRPr="001A04ED">
        <w:rPr>
          <w:b/>
          <w:bCs/>
        </w:rPr>
        <w:t xml:space="preserve">: </w:t>
      </w:r>
      <w:r w:rsidRPr="001A04ED">
        <w:rPr>
          <w:b/>
          <w:bCs/>
        </w:rPr>
        <w:t>Selection of optimal model combination</w:t>
      </w:r>
    </w:p>
    <w:p w14:paraId="1639260C" w14:textId="77777777" w:rsidR="004A226C" w:rsidRPr="001A04ED" w:rsidRDefault="004A226C" w:rsidP="004A186B">
      <w:pPr>
        <w:ind w:firstLine="0"/>
        <w:jc w:val="center"/>
        <w:rPr>
          <w:b/>
          <w:bCs/>
        </w:rPr>
      </w:pPr>
    </w:p>
    <w:p w14:paraId="1E48FA83" w14:textId="267F984F" w:rsidR="00D6770A" w:rsidRPr="001A04ED" w:rsidRDefault="00B17684" w:rsidP="00791A24">
      <w:pPr>
        <w:pStyle w:val="1stParagraph"/>
      </w:pPr>
      <w:r w:rsidRPr="001A04ED">
        <w:t>The</w:t>
      </w:r>
      <w:r w:rsidR="0034183B" w:rsidRPr="001A04ED">
        <w:t xml:space="preserve"> optimal model for the combination D-L-O-</w:t>
      </w:r>
      <w:r w:rsidR="00AE7BC0" w:rsidRPr="001A04ED">
        <w:t>R-</w:t>
      </w:r>
      <w:r w:rsidR="0034183B" w:rsidRPr="001A04ED">
        <w:t xml:space="preserve">S is found to offer </w:t>
      </w:r>
      <w:r w:rsidR="00572BB9" w:rsidRPr="001A04ED">
        <w:t xml:space="preserve">the best model with the highest </w:t>
      </w:r>
      <w:r w:rsidRPr="001A04ED">
        <w:t>LL improvement</w:t>
      </w:r>
      <w:r w:rsidR="00572BB9" w:rsidRPr="001A04ED">
        <w:t>.</w:t>
      </w:r>
      <w:r w:rsidR="00EB7A9C" w:rsidRPr="001A04ED">
        <w:t xml:space="preserve"> From the </w:t>
      </w:r>
      <w:r w:rsidR="00EE5D8F" w:rsidRPr="001A04ED">
        <w:t>F</w:t>
      </w:r>
      <w:r w:rsidR="00EB7A9C" w:rsidRPr="001A04ED">
        <w:t xml:space="preserve">igure 4 it is noticeable that, for the combination </w:t>
      </w:r>
      <w:r w:rsidR="00572BB9" w:rsidRPr="001A04ED">
        <w:t>D-L-O-</w:t>
      </w:r>
      <w:r w:rsidR="00AE7BC0" w:rsidRPr="001A04ED">
        <w:t>R-</w:t>
      </w:r>
      <w:r w:rsidR="00572BB9" w:rsidRPr="001A04ED">
        <w:t xml:space="preserve">S </w:t>
      </w:r>
      <w:r w:rsidR="00EB7A9C" w:rsidRPr="001A04ED">
        <w:t xml:space="preserve">the model provides the highest LL improvement </w:t>
      </w:r>
      <w:r w:rsidR="00896CA8" w:rsidRPr="001A04ED">
        <w:t>with 2</w:t>
      </w:r>
      <w:r w:rsidR="00AE7BC0" w:rsidRPr="001A04ED">
        <w:t>0</w:t>
      </w:r>
      <w:r w:rsidR="00896CA8" w:rsidRPr="001A04ED">
        <w:t xml:space="preserve"> fusion records</w:t>
      </w:r>
      <w:r w:rsidR="00EB7A9C" w:rsidRPr="001A04ED">
        <w:t xml:space="preserve">. It </w:t>
      </w:r>
      <w:r w:rsidR="004D6340" w:rsidRPr="001A04ED">
        <w:t>is noticeable</w:t>
      </w:r>
      <w:r w:rsidR="00EB7A9C" w:rsidRPr="001A04ED">
        <w:t xml:space="preserve"> that, with an increase in the number of fusion sizes the LL improvement also increases. However, increasing the number of fusion records requires increased computational time. </w:t>
      </w:r>
      <w:r w:rsidR="008D37E0" w:rsidRPr="001A04ED">
        <w:t>It is also noticeable that</w:t>
      </w:r>
      <w:r w:rsidR="00EB7A9C" w:rsidRPr="001A04ED">
        <w:t>, at fusion size = 2</w:t>
      </w:r>
      <w:r w:rsidR="00AE7BC0" w:rsidRPr="001A04ED">
        <w:t>0</w:t>
      </w:r>
      <w:r w:rsidR="00EB7A9C" w:rsidRPr="001A04ED">
        <w:t xml:space="preserve"> for the combination </w:t>
      </w:r>
      <w:r w:rsidR="008D37E0" w:rsidRPr="001A04ED">
        <w:t>D-L-O-</w:t>
      </w:r>
      <w:r w:rsidR="00AE7BC0" w:rsidRPr="001A04ED">
        <w:t>R-</w:t>
      </w:r>
      <w:r w:rsidR="008D37E0" w:rsidRPr="001A04ED">
        <w:t>S</w:t>
      </w:r>
      <w:r w:rsidR="00EB7A9C" w:rsidRPr="001A04ED">
        <w:t xml:space="preserve">, the model provides the highest LL improvement across all the models </w:t>
      </w:r>
      <w:r w:rsidR="00760B19" w:rsidRPr="001A04ED">
        <w:t xml:space="preserve">for </w:t>
      </w:r>
      <w:r w:rsidR="00EB7A9C" w:rsidRPr="001A04ED">
        <w:t xml:space="preserve">different variable </w:t>
      </w:r>
      <w:r w:rsidR="00EB7A9C" w:rsidRPr="001A04ED">
        <w:lastRenderedPageBreak/>
        <w:t>combinations</w:t>
      </w:r>
      <w:r w:rsidR="00C60BA4" w:rsidRPr="001A04ED">
        <w:rPr>
          <w:rStyle w:val="FootnoteReference"/>
        </w:rPr>
        <w:footnoteReference w:id="6"/>
      </w:r>
      <w:r w:rsidR="00EB7A9C" w:rsidRPr="001A04ED">
        <w:t xml:space="preserve">. </w:t>
      </w:r>
      <w:r w:rsidR="008D37E0" w:rsidRPr="001A04ED">
        <w:t>Thus</w:t>
      </w:r>
      <w:r w:rsidR="00EB7A9C" w:rsidRPr="001A04ED">
        <w:t>, the proposed model framework was estimated fusing 2</w:t>
      </w:r>
      <w:r w:rsidR="00607DAE" w:rsidRPr="001A04ED">
        <w:t>0</w:t>
      </w:r>
      <w:r w:rsidR="00EB7A9C" w:rsidRPr="001A04ED">
        <w:t xml:space="preserve"> NHTS records to each RECS record based on the</w:t>
      </w:r>
      <w:r w:rsidR="00607DAE" w:rsidRPr="001A04ED">
        <w:t xml:space="preserve"> </w:t>
      </w:r>
      <w:r w:rsidR="0000167F" w:rsidRPr="001A04ED">
        <w:t>D-L-O-</w:t>
      </w:r>
      <w:r w:rsidR="00607DAE" w:rsidRPr="001A04ED">
        <w:t>R-</w:t>
      </w:r>
      <w:r w:rsidR="0000167F" w:rsidRPr="001A04ED">
        <w:t xml:space="preserve">S </w:t>
      </w:r>
      <w:r w:rsidR="00EB7A9C" w:rsidRPr="001A04ED">
        <w:t>combination.</w:t>
      </w:r>
      <w:r w:rsidR="0000167F" w:rsidRPr="001A04ED">
        <w:t xml:space="preserve"> </w:t>
      </w:r>
      <w:r w:rsidR="0000167F" w:rsidRPr="001A04ED">
        <w:rPr>
          <w:i/>
          <w:iCs/>
        </w:rPr>
        <w:t>In the final step</w:t>
      </w:r>
      <w:r w:rsidR="0000167F" w:rsidRPr="001A04ED">
        <w:t>, the parameter stability of the optimal model is examined. Since the 2</w:t>
      </w:r>
      <w:r w:rsidR="00607DAE" w:rsidRPr="001A04ED">
        <w:t>0</w:t>
      </w:r>
      <w:r w:rsidR="0000167F" w:rsidRPr="001A04ED">
        <w:t xml:space="preserve"> NHTS records were selected randomly for data fusion, it is important to ensure the random sampling does not impact the stability of estimates. For this reason, </w:t>
      </w:r>
      <w:r w:rsidR="00AD7086" w:rsidRPr="001A04ED">
        <w:t>five</w:t>
      </w:r>
      <w:r w:rsidR="002B1667" w:rsidRPr="001A04ED">
        <w:t xml:space="preserve"> random samples</w:t>
      </w:r>
      <w:r w:rsidR="00D40626" w:rsidRPr="001A04ED">
        <w:t xml:space="preserve"> </w:t>
      </w:r>
      <w:r w:rsidR="009F563E" w:rsidRPr="001A04ED">
        <w:t>are created</w:t>
      </w:r>
      <w:r w:rsidR="00600BC2" w:rsidRPr="001A04ED">
        <w:t>, each</w:t>
      </w:r>
      <w:r w:rsidR="00D746D1" w:rsidRPr="001A04ED">
        <w:t xml:space="preserve"> consist</w:t>
      </w:r>
      <w:r w:rsidR="00600BC2" w:rsidRPr="001A04ED">
        <w:t>ing</w:t>
      </w:r>
      <w:r w:rsidR="00D746D1" w:rsidRPr="001A04ED">
        <w:t xml:space="preserve"> of</w:t>
      </w:r>
      <w:r w:rsidR="00175EA7" w:rsidRPr="001A04ED">
        <w:t xml:space="preserve"> 5,000 </w:t>
      </w:r>
      <w:r w:rsidR="00D746D1" w:rsidRPr="001A04ED">
        <w:t xml:space="preserve">random </w:t>
      </w:r>
      <w:r w:rsidR="00175EA7" w:rsidRPr="001A04ED">
        <w:t xml:space="preserve">cases </w:t>
      </w:r>
      <w:r w:rsidR="00600BC2" w:rsidRPr="001A04ED">
        <w:t xml:space="preserve">drawn </w:t>
      </w:r>
      <w:r w:rsidR="00D40626" w:rsidRPr="001A04ED">
        <w:t>from</w:t>
      </w:r>
      <w:r w:rsidR="004F163E" w:rsidRPr="001A04ED">
        <w:t xml:space="preserve"> the</w:t>
      </w:r>
      <w:r w:rsidR="00D40626" w:rsidRPr="001A04ED">
        <w:t xml:space="preserve"> 13,496 </w:t>
      </w:r>
      <w:r w:rsidR="00A97BC7" w:rsidRPr="001A04ED">
        <w:t xml:space="preserve">RECS </w:t>
      </w:r>
      <w:r w:rsidR="00D40626" w:rsidRPr="001A04ED">
        <w:t>records</w:t>
      </w:r>
      <w:r w:rsidR="00A97BC7" w:rsidRPr="001A04ED">
        <w:t xml:space="preserve"> that </w:t>
      </w:r>
      <w:r w:rsidR="004F163E" w:rsidRPr="001A04ED">
        <w:t>were</w:t>
      </w:r>
      <w:r w:rsidR="00A97BC7" w:rsidRPr="001A04ED">
        <w:t xml:space="preserve"> not utilized for model estimation.</w:t>
      </w:r>
      <w:r w:rsidR="00C46421" w:rsidRPr="001A04ED">
        <w:t xml:space="preserve"> </w:t>
      </w:r>
      <w:r w:rsidR="004F163E" w:rsidRPr="001A04ED">
        <w:t xml:space="preserve">The random samples were created </w:t>
      </w:r>
      <w:r w:rsidR="0000167F" w:rsidRPr="001A04ED">
        <w:t xml:space="preserve">following the same process used for the estimation sample. For all these samples the optimal fusion model specifications were estimated. </w:t>
      </w:r>
      <w:r w:rsidR="000D4A5B" w:rsidRPr="001A04ED">
        <w:t>T</w:t>
      </w:r>
      <w:r w:rsidR="0000167F" w:rsidRPr="001A04ED">
        <w:t xml:space="preserve">he </w:t>
      </w:r>
      <w:r w:rsidR="00015099" w:rsidRPr="001A04ED">
        <w:t xml:space="preserve">average </w:t>
      </w:r>
      <w:r w:rsidR="0000167F" w:rsidRPr="001A04ED">
        <w:t xml:space="preserve">of the parameters across the samples </w:t>
      </w:r>
      <w:r w:rsidR="000D4A5B" w:rsidRPr="001A04ED">
        <w:t xml:space="preserve">is considered </w:t>
      </w:r>
      <w:r w:rsidR="0000167F" w:rsidRPr="001A04ED">
        <w:t xml:space="preserve">the population estimate. Subsequently, a revised Wald t-test statistic is </w:t>
      </w:r>
      <w:r w:rsidR="00C46421" w:rsidRPr="001A04ED">
        <w:t>computed</w:t>
      </w:r>
      <w:r w:rsidR="0000167F" w:rsidRPr="001A04ED">
        <w:t xml:space="preserve"> for each sample parameter relative to population mean parameter as follows:</w:t>
      </w:r>
    </w:p>
    <w:p w14:paraId="75908F19" w14:textId="77777777" w:rsidR="0000167F" w:rsidRPr="001A04ED" w:rsidRDefault="0000167F" w:rsidP="0000167F">
      <w:pPr>
        <w:ind w:firstLine="0"/>
      </w:pPr>
    </w:p>
    <w:p w14:paraId="45CEA04D" w14:textId="59A668DD" w:rsidR="0000167F" w:rsidRPr="001A04ED" w:rsidRDefault="0000167F" w:rsidP="0000167F">
      <w:pPr>
        <w:ind w:firstLine="0"/>
        <w:rPr>
          <w:rFonts w:eastAsiaTheme="minorEastAsia"/>
        </w:rPr>
      </w:pPr>
      <m:oMathPara>
        <m:oMath>
          <m:r>
            <w:rPr>
              <w:rFonts w:ascii="Cambria Math" w:hAnsi="Cambria Math"/>
            </w:rPr>
            <m:t>t-statistic=</m:t>
          </m:r>
          <m:d>
            <m:dPr>
              <m:begChr m:val="|"/>
              <m:endChr m:val="|"/>
              <m:ctrlPr>
                <w:rPr>
                  <w:rFonts w:ascii="Cambria Math" w:hAnsi="Cambria Math"/>
                  <w:i/>
                </w:rPr>
              </m:ctrlPr>
            </m:dPr>
            <m:e>
              <m:f>
                <m:fPr>
                  <m:ctrlPr>
                    <w:rPr>
                      <w:rFonts w:ascii="Cambria Math" w:hAnsi="Cambria Math"/>
                      <w:i/>
                    </w:rPr>
                  </m:ctrlPr>
                </m:fPr>
                <m:num>
                  <m:r>
                    <w:rPr>
                      <w:rFonts w:ascii="Cambria Math" w:hAnsi="Cambria Math"/>
                    </w:rPr>
                    <m:t>β-</m:t>
                  </m:r>
                  <m:acc>
                    <m:accPr>
                      <m:chr m:val="̅"/>
                      <m:ctrlPr>
                        <w:rPr>
                          <w:rFonts w:ascii="Cambria Math" w:hAnsi="Cambria Math"/>
                          <w:i/>
                        </w:rPr>
                      </m:ctrlPr>
                    </m:accPr>
                    <m:e>
                      <m:r>
                        <w:rPr>
                          <w:rFonts w:ascii="Cambria Math" w:hAnsi="Cambria Math"/>
                        </w:rPr>
                        <m:t>β</m:t>
                      </m:r>
                    </m:e>
                  </m:acc>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σ</m:t>
                              </m:r>
                            </m:e>
                          </m:acc>
                        </m:e>
                        <m:sup>
                          <m:r>
                            <w:rPr>
                              <w:rFonts w:ascii="Cambria Math" w:hAnsi="Cambria Math"/>
                            </w:rPr>
                            <m:t>2</m:t>
                          </m:r>
                        </m:sup>
                      </m:sSup>
                    </m:e>
                  </m:rad>
                </m:den>
              </m:f>
            </m:e>
          </m:d>
          <m:r>
            <w:rPr>
              <w:rFonts w:ascii="Cambria Math" w:eastAsiaTheme="minorEastAsia" w:hAnsi="Cambria Math"/>
            </w:rPr>
            <m:t xml:space="preserve">                                                                                                                                   (10)</m:t>
          </m:r>
        </m:oMath>
      </m:oMathPara>
    </w:p>
    <w:p w14:paraId="22E88B4E" w14:textId="77777777" w:rsidR="0000167F" w:rsidRPr="001A04ED" w:rsidRDefault="0000167F" w:rsidP="0000167F">
      <w:pPr>
        <w:ind w:firstLine="0"/>
        <w:rPr>
          <w:rFonts w:eastAsiaTheme="minorEastAsia"/>
        </w:rPr>
      </w:pPr>
    </w:p>
    <w:p w14:paraId="4E35074D" w14:textId="70095FFA" w:rsidR="0000167F" w:rsidRPr="001A04ED" w:rsidRDefault="0000167F" w:rsidP="0000167F">
      <w:pPr>
        <w:ind w:firstLine="0"/>
        <w:rPr>
          <w:rFonts w:eastAsiaTheme="minorEastAsia"/>
        </w:rPr>
      </w:pPr>
      <w:r w:rsidRPr="001A04ED">
        <w:rPr>
          <w:rFonts w:eastAsiaTheme="minorEastAsia"/>
        </w:rPr>
        <w:t xml:space="preserve">where, </w:t>
      </w:r>
      <m:oMath>
        <m:r>
          <w:rPr>
            <w:rFonts w:ascii="Cambria Math" w:eastAsiaTheme="minorEastAsia" w:hAnsi="Cambria Math"/>
          </w:rPr>
          <m:t>β</m:t>
        </m:r>
      </m:oMath>
      <w:r w:rsidRPr="001A04ED">
        <w:rPr>
          <w:rFonts w:eastAsiaTheme="minorEastAsia"/>
        </w:rPr>
        <w:t xml:space="preserve"> is the sample parameter</w:t>
      </w:r>
      <w:r w:rsidR="003937DA" w:rsidRPr="001A04ED">
        <w:rPr>
          <w:rFonts w:eastAsiaTheme="minorEastAsia"/>
        </w:rPr>
        <w:t xml:space="preserve"> </w:t>
      </w:r>
      <w:r w:rsidR="00F31413" w:rsidRPr="001A04ED">
        <w:rPr>
          <w:rFonts w:eastAsiaTheme="minorEastAsia"/>
        </w:rPr>
        <w:t>vector</w:t>
      </w:r>
      <w:r w:rsidRPr="001A04ED">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β</m:t>
            </m:r>
          </m:e>
        </m:acc>
      </m:oMath>
      <w:r w:rsidRPr="001A04ED">
        <w:rPr>
          <w:rFonts w:eastAsiaTheme="minorEastAsia"/>
        </w:rPr>
        <w:t xml:space="preserve"> is the mean of the parameter</w:t>
      </w:r>
      <w:r w:rsidR="00F31413" w:rsidRPr="001A04ED">
        <w:rPr>
          <w:rFonts w:eastAsiaTheme="minorEastAsia"/>
        </w:rPr>
        <w:t xml:space="preserve"> vector</w:t>
      </w:r>
      <w:r w:rsidRPr="001A04ED">
        <w:rPr>
          <w:rFonts w:eastAsiaTheme="minorEastAsia"/>
        </w:rPr>
        <w:t xml:space="preserve">s across the samples, </w:t>
      </w:r>
      <m:oMath>
        <m:r>
          <w:rPr>
            <w:rFonts w:ascii="Cambria Math" w:eastAsiaTheme="minorEastAsia" w:hAnsi="Cambria Math"/>
          </w:rPr>
          <m:t xml:space="preserve">σ </m:t>
        </m:r>
      </m:oMath>
      <w:r w:rsidRPr="001A04ED">
        <w:rPr>
          <w:rFonts w:eastAsiaTheme="minorEastAsia"/>
        </w:rPr>
        <w:t xml:space="preserve">is the </w:t>
      </w:r>
      <w:r w:rsidR="00FF697E" w:rsidRPr="001A04ED">
        <w:rPr>
          <w:rFonts w:eastAsiaTheme="minorEastAsia"/>
        </w:rPr>
        <w:t>S</w:t>
      </w:r>
      <w:r w:rsidRPr="001A04ED">
        <w:rPr>
          <w:rFonts w:eastAsiaTheme="minorEastAsia"/>
        </w:rPr>
        <w:t xml:space="preserve">tandard </w:t>
      </w:r>
      <w:r w:rsidR="00FF697E" w:rsidRPr="001A04ED">
        <w:rPr>
          <w:rFonts w:eastAsiaTheme="minorEastAsia"/>
        </w:rPr>
        <w:t>D</w:t>
      </w:r>
      <w:r w:rsidRPr="001A04ED">
        <w:rPr>
          <w:rFonts w:eastAsiaTheme="minorEastAsia"/>
        </w:rPr>
        <w:t>eviation</w:t>
      </w:r>
      <w:r w:rsidR="00FF697E" w:rsidRPr="001A04ED">
        <w:rPr>
          <w:rFonts w:eastAsiaTheme="minorEastAsia"/>
        </w:rPr>
        <w:t xml:space="preserve"> (SD)</w:t>
      </w:r>
      <w:r w:rsidR="00F31413" w:rsidRPr="001A04ED">
        <w:rPr>
          <w:rFonts w:eastAsiaTheme="minorEastAsia"/>
        </w:rPr>
        <w:t xml:space="preserve"> vector </w:t>
      </w:r>
      <w:r w:rsidRPr="001A04ED">
        <w:rPr>
          <w:rFonts w:eastAsiaTheme="minorEastAsia"/>
        </w:rPr>
        <w:t xml:space="preserve">and </w:t>
      </w:r>
      <m:oMath>
        <m:acc>
          <m:accPr>
            <m:chr m:val="̅"/>
            <m:ctrlPr>
              <w:rPr>
                <w:rFonts w:ascii="Cambria Math" w:eastAsiaTheme="minorEastAsia" w:hAnsi="Cambria Math"/>
                <w:i/>
              </w:rPr>
            </m:ctrlPr>
          </m:accPr>
          <m:e>
            <m:r>
              <w:rPr>
                <w:rFonts w:ascii="Cambria Math" w:eastAsiaTheme="minorEastAsia" w:hAnsi="Cambria Math"/>
              </w:rPr>
              <m:t>σ</m:t>
            </m:r>
          </m:e>
        </m:acc>
      </m:oMath>
      <w:r w:rsidRPr="001A04ED">
        <w:rPr>
          <w:rFonts w:eastAsiaTheme="minorEastAsia"/>
        </w:rPr>
        <w:t xml:space="preserve"> is the population </w:t>
      </w:r>
      <w:r w:rsidR="00FF697E" w:rsidRPr="001A04ED">
        <w:rPr>
          <w:rFonts w:eastAsiaTheme="minorEastAsia"/>
        </w:rPr>
        <w:t>SD</w:t>
      </w:r>
      <w:r w:rsidR="005D4503" w:rsidRPr="001A04ED">
        <w:rPr>
          <w:rFonts w:eastAsiaTheme="minorEastAsia"/>
        </w:rPr>
        <w:t xml:space="preserve"> </w:t>
      </w:r>
      <w:r w:rsidR="00F31413" w:rsidRPr="001A04ED">
        <w:rPr>
          <w:rFonts w:eastAsiaTheme="minorEastAsia"/>
        </w:rPr>
        <w:t xml:space="preserve">vector </w:t>
      </w:r>
      <w:r w:rsidR="0017607D" w:rsidRPr="001A04ED">
        <w:rPr>
          <w:rFonts w:eastAsiaTheme="minorEastAsia"/>
        </w:rPr>
        <w:t xml:space="preserve">computed as the mean </w:t>
      </w:r>
      <w:r w:rsidR="00FF697E" w:rsidRPr="001A04ED">
        <w:rPr>
          <w:rFonts w:eastAsiaTheme="minorEastAsia"/>
        </w:rPr>
        <w:t>of the SD</w:t>
      </w:r>
      <w:r w:rsidR="00F31413" w:rsidRPr="001A04ED">
        <w:rPr>
          <w:rFonts w:eastAsiaTheme="minorEastAsia"/>
        </w:rPr>
        <w:t xml:space="preserve"> vector</w:t>
      </w:r>
      <w:r w:rsidR="00FF697E" w:rsidRPr="001A04ED">
        <w:rPr>
          <w:rFonts w:eastAsiaTheme="minorEastAsia"/>
        </w:rPr>
        <w:t>s across the samples</w:t>
      </w:r>
      <w:r w:rsidRPr="001A04ED">
        <w:rPr>
          <w:rFonts w:eastAsiaTheme="minorEastAsia"/>
        </w:rPr>
        <w:t xml:space="preserve">. </w:t>
      </w:r>
    </w:p>
    <w:p w14:paraId="71A1B073" w14:textId="3085D23F" w:rsidR="00E526A3" w:rsidRPr="001A04ED" w:rsidRDefault="0000167F" w:rsidP="00121FA2">
      <w:pPr>
        <w:ind w:firstLine="0"/>
      </w:pPr>
      <w:r w:rsidRPr="001A04ED">
        <w:t>The distribution of t-statistics of all the variables estimated</w:t>
      </w:r>
      <w:r w:rsidR="00D6770A" w:rsidRPr="001A04ED">
        <w:t xml:space="preserve"> are presented in Figure 6</w:t>
      </w:r>
      <w:r w:rsidRPr="001A04ED">
        <w:t>.</w:t>
      </w:r>
      <w:r w:rsidR="00350C24" w:rsidRPr="001A04ED">
        <w:t xml:space="preserve"> </w:t>
      </w:r>
      <w:r w:rsidR="00162464" w:rsidRPr="001A04ED">
        <w:t xml:space="preserve">To be sure, it is not expected that </w:t>
      </w:r>
      <w:r w:rsidR="00C46421" w:rsidRPr="001A04ED">
        <w:t>the parameter estimate</w:t>
      </w:r>
      <w:r w:rsidR="0059482F" w:rsidRPr="001A04ED">
        <w:t>s</w:t>
      </w:r>
      <w:r w:rsidR="00C46421" w:rsidRPr="001A04ED">
        <w:t xml:space="preserve"> </w:t>
      </w:r>
      <w:r w:rsidR="00761C5A" w:rsidRPr="001A04ED">
        <w:t xml:space="preserve">are </w:t>
      </w:r>
      <w:r w:rsidR="00C46421" w:rsidRPr="001A04ED">
        <w:t xml:space="preserve">identical. However, the focus is on examining if the parameters across these multiple samples exhibit statistically significant variability. </w:t>
      </w:r>
      <w:r w:rsidR="008B099D" w:rsidRPr="001A04ED">
        <w:t>The figure shows that</w:t>
      </w:r>
      <w:r w:rsidR="00C46421" w:rsidRPr="001A04ED">
        <w:t>,</w:t>
      </w:r>
      <w:r w:rsidR="00B17A3C" w:rsidRPr="001A04ED">
        <w:t xml:space="preserve"> the parameter test statistic</w:t>
      </w:r>
      <w:r w:rsidR="001914A9" w:rsidRPr="001A04ED">
        <w:t>s for all variables</w:t>
      </w:r>
      <w:r w:rsidR="00B17A3C" w:rsidRPr="001A04ED">
        <w:t xml:space="preserve"> </w:t>
      </w:r>
      <w:r w:rsidR="001914A9" w:rsidRPr="001A04ED">
        <w:t>are</w:t>
      </w:r>
      <w:r w:rsidR="00B17A3C" w:rsidRPr="001A04ED">
        <w:t xml:space="preserve"> less than critical t statistic value for 90% confidence interval</w:t>
      </w:r>
      <w:r w:rsidR="006D20C7" w:rsidRPr="001A04ED">
        <w:t xml:space="preserve"> (1.65)</w:t>
      </w:r>
      <w:r w:rsidR="001914A9" w:rsidRPr="001A04ED">
        <w:t xml:space="preserve">. </w:t>
      </w:r>
      <w:r w:rsidR="00B17A3C" w:rsidRPr="001A04ED">
        <w:t>This implies that sample randomness does not affect the parameter stability across the samples</w:t>
      </w:r>
      <w:r w:rsidR="001914A9" w:rsidRPr="001A04ED">
        <w:t>.</w:t>
      </w:r>
    </w:p>
    <w:p w14:paraId="6A391C02" w14:textId="77777777" w:rsidR="001914A9" w:rsidRPr="001A04ED" w:rsidRDefault="001914A9" w:rsidP="00121FA2">
      <w:pPr>
        <w:ind w:firstLine="0"/>
        <w:rPr>
          <w:b/>
          <w:bCs/>
        </w:rPr>
        <w:sectPr w:rsidR="001914A9" w:rsidRPr="001A04ED" w:rsidSect="003B3AC2">
          <w:type w:val="continuous"/>
          <w:pgSz w:w="12240" w:h="15840"/>
          <w:pgMar w:top="1440" w:right="1440" w:bottom="1440" w:left="1440" w:header="720" w:footer="720" w:gutter="0"/>
          <w:cols w:space="720"/>
          <w:docGrid w:linePitch="360"/>
        </w:sectPr>
      </w:pPr>
    </w:p>
    <w:p w14:paraId="0FF8E3FF" w14:textId="40EE8C95" w:rsidR="00B03E4B" w:rsidRPr="001A04ED" w:rsidRDefault="00607DAE" w:rsidP="004A186B">
      <w:pPr>
        <w:ind w:firstLine="0"/>
        <w:jc w:val="center"/>
        <w:rPr>
          <w:b/>
          <w:bCs/>
        </w:rPr>
      </w:pPr>
      <w:r w:rsidRPr="001A04ED">
        <w:rPr>
          <w:b/>
          <w:bCs/>
          <w:noProof/>
        </w:rPr>
        <w:lastRenderedPageBreak/>
        <w:drawing>
          <wp:inline distT="0" distB="0" distL="0" distR="0" wp14:anchorId="1A93FF1B" wp14:editId="5F6185E2">
            <wp:extent cx="8229600" cy="5675630"/>
            <wp:effectExtent l="0" t="0" r="0" b="1270"/>
            <wp:docPr id="1307740719" name="Picture 3" descr="A group of graphs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40719" name="Picture 3" descr="A group of graphs on a white background&#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8229600" cy="5675630"/>
                    </a:xfrm>
                    <a:prstGeom prst="rect">
                      <a:avLst/>
                    </a:prstGeom>
                  </pic:spPr>
                </pic:pic>
              </a:graphicData>
            </a:graphic>
          </wp:inline>
        </w:drawing>
      </w:r>
    </w:p>
    <w:p w14:paraId="26B5C0BF" w14:textId="6627FAD1" w:rsidR="00624567" w:rsidRPr="001A04ED" w:rsidRDefault="008568BB" w:rsidP="00882C6D">
      <w:pPr>
        <w:ind w:firstLine="0"/>
        <w:jc w:val="center"/>
        <w:rPr>
          <w:b/>
          <w:bCs/>
        </w:rPr>
      </w:pPr>
      <w:r w:rsidRPr="001A04ED">
        <w:rPr>
          <w:b/>
          <w:bCs/>
        </w:rPr>
        <w:t>F</w:t>
      </w:r>
      <w:r w:rsidR="000B4ECD" w:rsidRPr="001A04ED">
        <w:rPr>
          <w:b/>
          <w:bCs/>
        </w:rPr>
        <w:t xml:space="preserve">igure </w:t>
      </w:r>
      <w:r w:rsidR="00CD4F0A" w:rsidRPr="001A04ED">
        <w:rPr>
          <w:b/>
          <w:bCs/>
        </w:rPr>
        <w:t>6</w:t>
      </w:r>
      <w:r w:rsidR="000D2540" w:rsidRPr="001A04ED">
        <w:rPr>
          <w:b/>
          <w:bCs/>
        </w:rPr>
        <w:t xml:space="preserve">: </w:t>
      </w:r>
      <w:r w:rsidR="00CD4F0A" w:rsidRPr="001A04ED">
        <w:rPr>
          <w:b/>
          <w:bCs/>
        </w:rPr>
        <w:t>Test statistics for parameter estimates across samples</w:t>
      </w:r>
    </w:p>
    <w:p w14:paraId="2FDE7118" w14:textId="77777777" w:rsidR="00624567" w:rsidRPr="001A04ED" w:rsidRDefault="00624567" w:rsidP="00624567">
      <w:pPr>
        <w:ind w:firstLine="0"/>
        <w:rPr>
          <w:b/>
          <w:bCs/>
        </w:rPr>
      </w:pPr>
      <w:r w:rsidRPr="001A04ED">
        <w:rPr>
          <w:b/>
          <w:bCs/>
        </w:rPr>
        <w:lastRenderedPageBreak/>
        <w:t>Table 3: Estimation results of the optimal MDCEV fusion model</w:t>
      </w:r>
    </w:p>
    <w:tbl>
      <w:tblPr>
        <w:tblStyle w:val="TableGrid"/>
        <w:tblW w:w="0" w:type="auto"/>
        <w:tblLook w:val="04A0" w:firstRow="1" w:lastRow="0" w:firstColumn="1" w:lastColumn="0" w:noHBand="0" w:noVBand="1"/>
      </w:tblPr>
      <w:tblGrid>
        <w:gridCol w:w="2335"/>
        <w:gridCol w:w="1080"/>
        <w:gridCol w:w="990"/>
        <w:gridCol w:w="1440"/>
        <w:gridCol w:w="1350"/>
        <w:gridCol w:w="990"/>
        <w:gridCol w:w="1170"/>
        <w:gridCol w:w="1080"/>
        <w:gridCol w:w="1080"/>
        <w:gridCol w:w="1435"/>
      </w:tblGrid>
      <w:tr w:rsidR="001A04ED" w:rsidRPr="001A04ED" w14:paraId="79A2BF77" w14:textId="77777777" w:rsidTr="00224621">
        <w:trPr>
          <w:trHeight w:val="20"/>
        </w:trPr>
        <w:tc>
          <w:tcPr>
            <w:tcW w:w="2335" w:type="dxa"/>
            <w:vMerge w:val="restart"/>
            <w:noWrap/>
            <w:vAlign w:val="center"/>
            <w:hideMark/>
          </w:tcPr>
          <w:p w14:paraId="7631CFFD"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Parameter</w:t>
            </w:r>
          </w:p>
        </w:tc>
        <w:tc>
          <w:tcPr>
            <w:tcW w:w="1080" w:type="dxa"/>
            <w:noWrap/>
            <w:vAlign w:val="center"/>
            <w:hideMark/>
          </w:tcPr>
          <w:p w14:paraId="70052294"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Space heating</w:t>
            </w:r>
          </w:p>
        </w:tc>
        <w:tc>
          <w:tcPr>
            <w:tcW w:w="990" w:type="dxa"/>
            <w:noWrap/>
            <w:vAlign w:val="center"/>
            <w:hideMark/>
          </w:tcPr>
          <w:p w14:paraId="100C89C5"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Water heating</w:t>
            </w:r>
          </w:p>
        </w:tc>
        <w:tc>
          <w:tcPr>
            <w:tcW w:w="1440" w:type="dxa"/>
            <w:noWrap/>
            <w:vAlign w:val="center"/>
            <w:hideMark/>
          </w:tcPr>
          <w:p w14:paraId="4C0E03BC"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Refrigeration</w:t>
            </w:r>
          </w:p>
        </w:tc>
        <w:tc>
          <w:tcPr>
            <w:tcW w:w="1350" w:type="dxa"/>
            <w:noWrap/>
            <w:vAlign w:val="center"/>
            <w:hideMark/>
          </w:tcPr>
          <w:p w14:paraId="50B233D7"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Cooling and ventilation</w:t>
            </w:r>
          </w:p>
        </w:tc>
        <w:tc>
          <w:tcPr>
            <w:tcW w:w="990" w:type="dxa"/>
            <w:noWrap/>
            <w:vAlign w:val="center"/>
            <w:hideMark/>
          </w:tcPr>
          <w:p w14:paraId="5F7B9233"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Cooking</w:t>
            </w:r>
          </w:p>
        </w:tc>
        <w:tc>
          <w:tcPr>
            <w:tcW w:w="1170" w:type="dxa"/>
            <w:noWrap/>
            <w:vAlign w:val="center"/>
            <w:hideMark/>
          </w:tcPr>
          <w:p w14:paraId="22A4993A"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Washing and drying</w:t>
            </w:r>
          </w:p>
        </w:tc>
        <w:tc>
          <w:tcPr>
            <w:tcW w:w="1080" w:type="dxa"/>
            <w:noWrap/>
            <w:vAlign w:val="center"/>
            <w:hideMark/>
          </w:tcPr>
          <w:p w14:paraId="1F9712B9"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EV charging</w:t>
            </w:r>
          </w:p>
        </w:tc>
        <w:tc>
          <w:tcPr>
            <w:tcW w:w="1080" w:type="dxa"/>
            <w:noWrap/>
            <w:vAlign w:val="center"/>
            <w:hideMark/>
          </w:tcPr>
          <w:p w14:paraId="01B61615"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Lighting</w:t>
            </w:r>
          </w:p>
        </w:tc>
        <w:tc>
          <w:tcPr>
            <w:tcW w:w="1435" w:type="dxa"/>
            <w:noWrap/>
            <w:vAlign w:val="center"/>
            <w:hideMark/>
          </w:tcPr>
          <w:p w14:paraId="4179D30F"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Miscellaneous activities</w:t>
            </w:r>
          </w:p>
        </w:tc>
      </w:tr>
      <w:tr w:rsidR="001A04ED" w:rsidRPr="001A04ED" w14:paraId="6BC21710" w14:textId="77777777" w:rsidTr="00224621">
        <w:trPr>
          <w:trHeight w:val="20"/>
        </w:trPr>
        <w:tc>
          <w:tcPr>
            <w:tcW w:w="2335" w:type="dxa"/>
            <w:vMerge/>
            <w:noWrap/>
            <w:vAlign w:val="center"/>
            <w:hideMark/>
          </w:tcPr>
          <w:p w14:paraId="739820FA" w14:textId="77777777" w:rsidR="005F41F8" w:rsidRPr="001A04ED" w:rsidRDefault="005F41F8" w:rsidP="00224621">
            <w:pPr>
              <w:pStyle w:val="1stParagraph"/>
              <w:jc w:val="center"/>
              <w:rPr>
                <w:rFonts w:cs="Times New Roman"/>
                <w:b/>
                <w:bCs/>
                <w:sz w:val="20"/>
                <w:szCs w:val="20"/>
              </w:rPr>
            </w:pPr>
          </w:p>
        </w:tc>
        <w:tc>
          <w:tcPr>
            <w:tcW w:w="10615" w:type="dxa"/>
            <w:gridSpan w:val="9"/>
            <w:noWrap/>
            <w:vAlign w:val="center"/>
            <w:hideMark/>
          </w:tcPr>
          <w:p w14:paraId="2E3614A0"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Estimates (t-value)</w:t>
            </w:r>
          </w:p>
        </w:tc>
      </w:tr>
      <w:tr w:rsidR="001A04ED" w:rsidRPr="001A04ED" w14:paraId="08DE3C78" w14:textId="77777777" w:rsidTr="00224621">
        <w:trPr>
          <w:trHeight w:val="20"/>
        </w:trPr>
        <w:tc>
          <w:tcPr>
            <w:tcW w:w="2335" w:type="dxa"/>
            <w:noWrap/>
            <w:vAlign w:val="center"/>
            <w:hideMark/>
          </w:tcPr>
          <w:p w14:paraId="0FFBB1F5" w14:textId="77777777" w:rsidR="005F41F8" w:rsidRPr="001A04ED" w:rsidRDefault="005F41F8" w:rsidP="00C02332">
            <w:pPr>
              <w:pStyle w:val="1stParagraph"/>
              <w:rPr>
                <w:rFonts w:cs="Times New Roman"/>
                <w:sz w:val="20"/>
                <w:szCs w:val="20"/>
              </w:rPr>
            </w:pPr>
            <w:r w:rsidRPr="001A04ED">
              <w:rPr>
                <w:rFonts w:cs="Times New Roman"/>
                <w:sz w:val="20"/>
                <w:szCs w:val="20"/>
              </w:rPr>
              <w:t>Constant</w:t>
            </w:r>
          </w:p>
        </w:tc>
        <w:tc>
          <w:tcPr>
            <w:tcW w:w="1080" w:type="dxa"/>
            <w:noWrap/>
            <w:vAlign w:val="center"/>
            <w:hideMark/>
          </w:tcPr>
          <w:p w14:paraId="45E6C24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40B7A8B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1.75</w:t>
            </w:r>
          </w:p>
          <w:p w14:paraId="60D0FBB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(12.40)</w:t>
            </w:r>
          </w:p>
        </w:tc>
        <w:tc>
          <w:tcPr>
            <w:tcW w:w="1440" w:type="dxa"/>
            <w:noWrap/>
            <w:vAlign w:val="center"/>
            <w:hideMark/>
          </w:tcPr>
          <w:p w14:paraId="4C55063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2.96</w:t>
            </w:r>
          </w:p>
          <w:p w14:paraId="74DBBC4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(12.86)</w:t>
            </w:r>
          </w:p>
        </w:tc>
        <w:tc>
          <w:tcPr>
            <w:tcW w:w="1350" w:type="dxa"/>
            <w:noWrap/>
            <w:vAlign w:val="center"/>
            <w:hideMark/>
          </w:tcPr>
          <w:p w14:paraId="2CD1C86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0.11</w:t>
            </w:r>
          </w:p>
          <w:p w14:paraId="0701F9A7"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(0.81)</w:t>
            </w:r>
          </w:p>
        </w:tc>
        <w:tc>
          <w:tcPr>
            <w:tcW w:w="990" w:type="dxa"/>
            <w:noWrap/>
            <w:vAlign w:val="center"/>
            <w:hideMark/>
          </w:tcPr>
          <w:p w14:paraId="71D3342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3.40</w:t>
            </w:r>
          </w:p>
          <w:p w14:paraId="4E85077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(9.68)</w:t>
            </w:r>
          </w:p>
        </w:tc>
        <w:tc>
          <w:tcPr>
            <w:tcW w:w="1170" w:type="dxa"/>
            <w:noWrap/>
            <w:vAlign w:val="center"/>
            <w:hideMark/>
          </w:tcPr>
          <w:p w14:paraId="607B98A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0.14</w:t>
            </w:r>
          </w:p>
          <w:p w14:paraId="009CECC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(2.22)</w:t>
            </w:r>
          </w:p>
        </w:tc>
        <w:tc>
          <w:tcPr>
            <w:tcW w:w="1080" w:type="dxa"/>
            <w:noWrap/>
            <w:vAlign w:val="center"/>
            <w:hideMark/>
          </w:tcPr>
          <w:p w14:paraId="1F34768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-1.01</w:t>
            </w:r>
          </w:p>
          <w:p w14:paraId="3AB3993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(-2.29)</w:t>
            </w:r>
          </w:p>
        </w:tc>
        <w:tc>
          <w:tcPr>
            <w:tcW w:w="1080" w:type="dxa"/>
            <w:noWrap/>
            <w:vAlign w:val="center"/>
            <w:hideMark/>
          </w:tcPr>
          <w:p w14:paraId="1708E01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5.82</w:t>
            </w:r>
          </w:p>
          <w:p w14:paraId="4A89376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(103.82)</w:t>
            </w:r>
          </w:p>
        </w:tc>
        <w:tc>
          <w:tcPr>
            <w:tcW w:w="1435" w:type="dxa"/>
            <w:noWrap/>
            <w:vAlign w:val="center"/>
            <w:hideMark/>
          </w:tcPr>
          <w:p w14:paraId="0D1E757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7.38</w:t>
            </w:r>
          </w:p>
          <w:p w14:paraId="648CCE9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(135.06)</w:t>
            </w:r>
          </w:p>
        </w:tc>
      </w:tr>
      <w:tr w:rsidR="001A04ED" w:rsidRPr="001A04ED" w14:paraId="4E7FA427" w14:textId="77777777" w:rsidTr="00224621">
        <w:trPr>
          <w:trHeight w:val="20"/>
        </w:trPr>
        <w:tc>
          <w:tcPr>
            <w:tcW w:w="12950" w:type="dxa"/>
            <w:gridSpan w:val="10"/>
            <w:noWrap/>
            <w:vAlign w:val="center"/>
          </w:tcPr>
          <w:p w14:paraId="50C27141"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 xml:space="preserve">Variables from the RECS data: </w:t>
            </w:r>
            <w:r w:rsidRPr="001A04ED">
              <w:rPr>
                <w:rFonts w:cs="Times New Roman"/>
                <w:b/>
                <w:bCs/>
                <w:i/>
                <w:iCs/>
                <w:sz w:val="20"/>
                <w:szCs w:val="20"/>
              </w:rPr>
              <w:t>Socioeconomic attributes</w:t>
            </w:r>
          </w:p>
        </w:tc>
      </w:tr>
      <w:tr w:rsidR="001A04ED" w:rsidRPr="001A04ED" w14:paraId="66AAD969" w14:textId="77777777" w:rsidTr="00224621">
        <w:trPr>
          <w:trHeight w:val="20"/>
        </w:trPr>
        <w:tc>
          <w:tcPr>
            <w:tcW w:w="2335" w:type="dxa"/>
            <w:noWrap/>
            <w:vAlign w:val="center"/>
            <w:hideMark/>
          </w:tcPr>
          <w:p w14:paraId="11C94855" w14:textId="77777777" w:rsidR="005F41F8" w:rsidRPr="001A04ED" w:rsidRDefault="005F41F8" w:rsidP="00C02332">
            <w:pPr>
              <w:pStyle w:val="1stParagraph"/>
              <w:rPr>
                <w:rFonts w:cs="Times New Roman"/>
                <w:sz w:val="20"/>
                <w:szCs w:val="20"/>
              </w:rPr>
            </w:pPr>
            <w:r w:rsidRPr="001A04ED">
              <w:rPr>
                <w:rFonts w:cs="Times New Roman"/>
                <w:sz w:val="20"/>
                <w:szCs w:val="20"/>
              </w:rPr>
              <w:t>Household size</w:t>
            </w:r>
          </w:p>
        </w:tc>
        <w:tc>
          <w:tcPr>
            <w:tcW w:w="1080" w:type="dxa"/>
            <w:noWrap/>
            <w:vAlign w:val="center"/>
            <w:hideMark/>
          </w:tcPr>
          <w:p w14:paraId="71E8A86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0590D10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0.15</w:t>
            </w:r>
          </w:p>
          <w:p w14:paraId="1FB0DFED"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(9.73)</w:t>
            </w:r>
          </w:p>
        </w:tc>
        <w:tc>
          <w:tcPr>
            <w:tcW w:w="1440" w:type="dxa"/>
            <w:noWrap/>
            <w:vAlign w:val="center"/>
            <w:hideMark/>
          </w:tcPr>
          <w:p w14:paraId="5F8B58C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hideMark/>
          </w:tcPr>
          <w:p w14:paraId="7FD956F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0.10</w:t>
            </w:r>
          </w:p>
          <w:p w14:paraId="4FE9C33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(6.45)</w:t>
            </w:r>
          </w:p>
        </w:tc>
        <w:tc>
          <w:tcPr>
            <w:tcW w:w="990" w:type="dxa"/>
            <w:noWrap/>
            <w:vAlign w:val="center"/>
            <w:hideMark/>
          </w:tcPr>
          <w:p w14:paraId="55F37A2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0.06</w:t>
            </w:r>
          </w:p>
          <w:p w14:paraId="78A34F6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(4.36)</w:t>
            </w:r>
          </w:p>
        </w:tc>
        <w:tc>
          <w:tcPr>
            <w:tcW w:w="1170" w:type="dxa"/>
            <w:noWrap/>
            <w:vAlign w:val="center"/>
            <w:hideMark/>
          </w:tcPr>
          <w:p w14:paraId="2C2A766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0.16</w:t>
            </w:r>
          </w:p>
          <w:p w14:paraId="740CAEE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(8.89)</w:t>
            </w:r>
          </w:p>
        </w:tc>
        <w:tc>
          <w:tcPr>
            <w:tcW w:w="1080" w:type="dxa"/>
            <w:noWrap/>
            <w:vAlign w:val="center"/>
            <w:hideMark/>
          </w:tcPr>
          <w:p w14:paraId="259F705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70A5CD4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0.08</w:t>
            </w:r>
          </w:p>
          <w:p w14:paraId="23C16A4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(5.95)</w:t>
            </w:r>
          </w:p>
        </w:tc>
        <w:tc>
          <w:tcPr>
            <w:tcW w:w="1435" w:type="dxa"/>
            <w:noWrap/>
            <w:vAlign w:val="center"/>
            <w:hideMark/>
          </w:tcPr>
          <w:p w14:paraId="4E15CF1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0.07</w:t>
            </w:r>
          </w:p>
          <w:p w14:paraId="35B7C91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(5.47)</w:t>
            </w:r>
          </w:p>
        </w:tc>
      </w:tr>
      <w:tr w:rsidR="001A04ED" w:rsidRPr="001A04ED" w14:paraId="28B8DD78" w14:textId="77777777" w:rsidTr="00224621">
        <w:trPr>
          <w:trHeight w:val="20"/>
        </w:trPr>
        <w:tc>
          <w:tcPr>
            <w:tcW w:w="2335" w:type="dxa"/>
            <w:noWrap/>
            <w:vAlign w:val="center"/>
            <w:hideMark/>
          </w:tcPr>
          <w:p w14:paraId="436391B9" w14:textId="77777777" w:rsidR="005F41F8" w:rsidRPr="001A04ED" w:rsidRDefault="005F41F8" w:rsidP="00C02332">
            <w:pPr>
              <w:pStyle w:val="1stParagraph"/>
              <w:rPr>
                <w:rFonts w:cs="Times New Roman"/>
                <w:sz w:val="20"/>
                <w:szCs w:val="20"/>
              </w:rPr>
            </w:pPr>
            <w:r w:rsidRPr="001A04ED">
              <w:rPr>
                <w:rFonts w:cs="Times New Roman"/>
                <w:sz w:val="20"/>
                <w:szCs w:val="20"/>
              </w:rPr>
              <w:t>Number of adults</w:t>
            </w:r>
          </w:p>
        </w:tc>
        <w:tc>
          <w:tcPr>
            <w:tcW w:w="1080" w:type="dxa"/>
            <w:noWrap/>
            <w:vAlign w:val="center"/>
            <w:hideMark/>
          </w:tcPr>
          <w:p w14:paraId="5DDA345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1717723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0.05</w:t>
            </w:r>
          </w:p>
          <w:p w14:paraId="79852B5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(1.99)</w:t>
            </w:r>
          </w:p>
        </w:tc>
        <w:tc>
          <w:tcPr>
            <w:tcW w:w="1440" w:type="dxa"/>
            <w:noWrap/>
            <w:vAlign w:val="center"/>
            <w:hideMark/>
          </w:tcPr>
          <w:p w14:paraId="04DCFC3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0.08</w:t>
            </w:r>
          </w:p>
          <w:p w14:paraId="2CC42EE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(4.73)</w:t>
            </w:r>
          </w:p>
        </w:tc>
        <w:tc>
          <w:tcPr>
            <w:tcW w:w="1350" w:type="dxa"/>
            <w:noWrap/>
            <w:vAlign w:val="center"/>
            <w:hideMark/>
          </w:tcPr>
          <w:p w14:paraId="7D494AB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7FC3F15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0.06</w:t>
            </w:r>
          </w:p>
          <w:p w14:paraId="1B0DC277"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(2.27)</w:t>
            </w:r>
          </w:p>
        </w:tc>
        <w:tc>
          <w:tcPr>
            <w:tcW w:w="1170" w:type="dxa"/>
            <w:noWrap/>
            <w:vAlign w:val="center"/>
            <w:hideMark/>
          </w:tcPr>
          <w:p w14:paraId="79EA037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0.05</w:t>
            </w:r>
          </w:p>
          <w:p w14:paraId="21936A2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(1.88)</w:t>
            </w:r>
          </w:p>
        </w:tc>
        <w:tc>
          <w:tcPr>
            <w:tcW w:w="1080" w:type="dxa"/>
            <w:noWrap/>
            <w:vAlign w:val="center"/>
            <w:hideMark/>
          </w:tcPr>
          <w:p w14:paraId="2F5B70E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6206D32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3ADFC12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0.12</w:t>
            </w:r>
          </w:p>
          <w:p w14:paraId="3501FFA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(5.16)</w:t>
            </w:r>
          </w:p>
        </w:tc>
      </w:tr>
      <w:tr w:rsidR="001A04ED" w:rsidRPr="001A04ED" w14:paraId="0103C729" w14:textId="77777777" w:rsidTr="00224621">
        <w:trPr>
          <w:trHeight w:val="20"/>
        </w:trPr>
        <w:tc>
          <w:tcPr>
            <w:tcW w:w="2335" w:type="dxa"/>
            <w:noWrap/>
            <w:vAlign w:val="center"/>
            <w:hideMark/>
          </w:tcPr>
          <w:p w14:paraId="5715027C" w14:textId="77777777" w:rsidR="005F41F8" w:rsidRPr="001A04ED" w:rsidRDefault="005F41F8" w:rsidP="00C02332">
            <w:pPr>
              <w:pStyle w:val="1stParagraph"/>
              <w:rPr>
                <w:rFonts w:cs="Times New Roman"/>
                <w:sz w:val="20"/>
                <w:szCs w:val="20"/>
              </w:rPr>
            </w:pPr>
            <w:r w:rsidRPr="001A04ED">
              <w:rPr>
                <w:rFonts w:cs="Times New Roman"/>
                <w:sz w:val="20"/>
                <w:szCs w:val="20"/>
              </w:rPr>
              <w:t>Urban area</w:t>
            </w:r>
          </w:p>
        </w:tc>
        <w:tc>
          <w:tcPr>
            <w:tcW w:w="1080" w:type="dxa"/>
            <w:noWrap/>
            <w:vAlign w:val="center"/>
            <w:hideMark/>
          </w:tcPr>
          <w:p w14:paraId="5C0D2A3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001A1BD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0.19</w:t>
            </w:r>
          </w:p>
          <w:p w14:paraId="04A9B02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(7.57)</w:t>
            </w:r>
          </w:p>
        </w:tc>
        <w:tc>
          <w:tcPr>
            <w:tcW w:w="1440" w:type="dxa"/>
            <w:noWrap/>
            <w:vAlign w:val="center"/>
            <w:hideMark/>
          </w:tcPr>
          <w:p w14:paraId="7CD703AE"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hideMark/>
          </w:tcPr>
          <w:p w14:paraId="5FB5380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463394B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0.10</w:t>
            </w:r>
          </w:p>
          <w:p w14:paraId="43DC724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(3.84)</w:t>
            </w:r>
          </w:p>
        </w:tc>
        <w:tc>
          <w:tcPr>
            <w:tcW w:w="1170" w:type="dxa"/>
            <w:noWrap/>
            <w:vAlign w:val="center"/>
            <w:hideMark/>
          </w:tcPr>
          <w:p w14:paraId="7B1963D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1818ED1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0F4CD3C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0.17</w:t>
            </w:r>
          </w:p>
          <w:p w14:paraId="1165C1F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(4.96)</w:t>
            </w:r>
          </w:p>
        </w:tc>
        <w:tc>
          <w:tcPr>
            <w:tcW w:w="1435" w:type="dxa"/>
            <w:noWrap/>
            <w:vAlign w:val="center"/>
            <w:hideMark/>
          </w:tcPr>
          <w:p w14:paraId="07CE71C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0.08</w:t>
            </w:r>
          </w:p>
          <w:p w14:paraId="15EEB0DD"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(3.22)</w:t>
            </w:r>
          </w:p>
        </w:tc>
      </w:tr>
      <w:tr w:rsidR="001A04ED" w:rsidRPr="001A04ED" w14:paraId="6FBE6CAD" w14:textId="77777777" w:rsidTr="00224621">
        <w:trPr>
          <w:trHeight w:val="20"/>
        </w:trPr>
        <w:tc>
          <w:tcPr>
            <w:tcW w:w="2335" w:type="dxa"/>
            <w:noWrap/>
            <w:vAlign w:val="center"/>
            <w:hideMark/>
          </w:tcPr>
          <w:p w14:paraId="08FC1E34" w14:textId="77777777" w:rsidR="005F41F8" w:rsidRPr="001A04ED" w:rsidRDefault="005F41F8" w:rsidP="00C02332">
            <w:pPr>
              <w:pStyle w:val="1stParagraph"/>
              <w:rPr>
                <w:rFonts w:cs="Times New Roman"/>
                <w:sz w:val="20"/>
                <w:szCs w:val="20"/>
              </w:rPr>
            </w:pPr>
            <w:r w:rsidRPr="001A04ED">
              <w:rPr>
                <w:rFonts w:cs="Times New Roman"/>
                <w:sz w:val="20"/>
                <w:szCs w:val="20"/>
              </w:rPr>
              <w:t>Income:</w:t>
            </w:r>
          </w:p>
          <w:p w14:paraId="4B1F6E1C" w14:textId="77777777" w:rsidR="005F41F8" w:rsidRPr="001A04ED" w:rsidRDefault="005F41F8" w:rsidP="00C02332">
            <w:pPr>
              <w:pStyle w:val="1stParagraph"/>
              <w:rPr>
                <w:rFonts w:cs="Times New Roman"/>
                <w:sz w:val="20"/>
                <w:szCs w:val="20"/>
              </w:rPr>
            </w:pPr>
            <w:r w:rsidRPr="001A04ED">
              <w:rPr>
                <w:rFonts w:cs="Times New Roman"/>
                <w:sz w:val="20"/>
                <w:szCs w:val="20"/>
              </w:rPr>
              <w:t>$100,000 or more</w:t>
            </w:r>
          </w:p>
        </w:tc>
        <w:tc>
          <w:tcPr>
            <w:tcW w:w="1080" w:type="dxa"/>
            <w:noWrap/>
            <w:vAlign w:val="center"/>
            <w:hideMark/>
          </w:tcPr>
          <w:p w14:paraId="0FCFF68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3830C29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-0.17</w:t>
            </w:r>
          </w:p>
          <w:p w14:paraId="41A56A1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(-6.99)</w:t>
            </w:r>
          </w:p>
        </w:tc>
        <w:tc>
          <w:tcPr>
            <w:tcW w:w="1440" w:type="dxa"/>
            <w:noWrap/>
            <w:vAlign w:val="center"/>
            <w:hideMark/>
          </w:tcPr>
          <w:p w14:paraId="01E3519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-0.11</w:t>
            </w:r>
          </w:p>
          <w:p w14:paraId="08BDDCE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(-5.75)</w:t>
            </w:r>
          </w:p>
        </w:tc>
        <w:tc>
          <w:tcPr>
            <w:tcW w:w="1350" w:type="dxa"/>
            <w:noWrap/>
            <w:vAlign w:val="center"/>
            <w:hideMark/>
          </w:tcPr>
          <w:p w14:paraId="76D07BF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3730685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hideMark/>
          </w:tcPr>
          <w:p w14:paraId="5720D15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0.10</w:t>
            </w:r>
          </w:p>
          <w:p w14:paraId="210ACAD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(3.73)</w:t>
            </w:r>
          </w:p>
        </w:tc>
        <w:tc>
          <w:tcPr>
            <w:tcW w:w="1080" w:type="dxa"/>
            <w:noWrap/>
            <w:vAlign w:val="center"/>
            <w:hideMark/>
          </w:tcPr>
          <w:p w14:paraId="36159A9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75D7601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628DA9F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79C4D127" w14:textId="77777777" w:rsidTr="006214ED">
        <w:trPr>
          <w:trHeight w:val="20"/>
        </w:trPr>
        <w:tc>
          <w:tcPr>
            <w:tcW w:w="12950" w:type="dxa"/>
            <w:gridSpan w:val="10"/>
            <w:noWrap/>
            <w:vAlign w:val="center"/>
          </w:tcPr>
          <w:p w14:paraId="026BB9D5" w14:textId="57E9906D" w:rsidR="003D4786" w:rsidRPr="001A04ED" w:rsidRDefault="000D54E6" w:rsidP="00224621">
            <w:pPr>
              <w:pStyle w:val="1stParagraph"/>
              <w:jc w:val="center"/>
              <w:rPr>
                <w:rFonts w:cs="Times New Roman"/>
                <w:sz w:val="20"/>
                <w:szCs w:val="20"/>
              </w:rPr>
            </w:pPr>
            <w:r w:rsidRPr="001A04ED">
              <w:rPr>
                <w:rFonts w:cs="Times New Roman"/>
                <w:b/>
                <w:bCs/>
                <w:sz w:val="20"/>
                <w:szCs w:val="20"/>
              </w:rPr>
              <w:t xml:space="preserve">Variables from the RECS data: </w:t>
            </w:r>
            <w:r w:rsidR="00AD49CD" w:rsidRPr="001A04ED">
              <w:rPr>
                <w:rFonts w:cs="Times New Roman"/>
                <w:b/>
                <w:bCs/>
                <w:i/>
                <w:iCs/>
                <w:sz w:val="20"/>
                <w:szCs w:val="20"/>
              </w:rPr>
              <w:t>Meteorological</w:t>
            </w:r>
            <w:r w:rsidRPr="001A04ED">
              <w:rPr>
                <w:rFonts w:cs="Times New Roman"/>
                <w:b/>
                <w:bCs/>
                <w:i/>
                <w:iCs/>
                <w:sz w:val="20"/>
                <w:szCs w:val="20"/>
              </w:rPr>
              <w:t xml:space="preserve"> attributes</w:t>
            </w:r>
          </w:p>
        </w:tc>
      </w:tr>
      <w:tr w:rsidR="001A04ED" w:rsidRPr="001A04ED" w14:paraId="5D7AE2C7" w14:textId="77777777" w:rsidTr="00224621">
        <w:trPr>
          <w:trHeight w:val="20"/>
        </w:trPr>
        <w:tc>
          <w:tcPr>
            <w:tcW w:w="2335" w:type="dxa"/>
            <w:noWrap/>
            <w:vAlign w:val="center"/>
            <w:hideMark/>
          </w:tcPr>
          <w:p w14:paraId="775C2407" w14:textId="000FB412" w:rsidR="005F41F8" w:rsidRPr="001A04ED" w:rsidRDefault="005F41F8" w:rsidP="00C02332">
            <w:pPr>
              <w:pStyle w:val="1stParagraph"/>
              <w:rPr>
                <w:rFonts w:cs="Times New Roman"/>
                <w:sz w:val="20"/>
                <w:szCs w:val="20"/>
              </w:rPr>
            </w:pPr>
            <w:r w:rsidRPr="001A04ED">
              <w:rPr>
                <w:rFonts w:cs="Times New Roman"/>
                <w:sz w:val="20"/>
                <w:szCs w:val="20"/>
              </w:rPr>
              <w:t>HDD</w:t>
            </w:r>
            <w:r w:rsidR="00301D85" w:rsidRPr="001A04ED">
              <w:rPr>
                <w:rFonts w:cs="Times New Roman"/>
                <w:sz w:val="20"/>
                <w:szCs w:val="20"/>
              </w:rPr>
              <w:t xml:space="preserve"> (in 1000)</w:t>
            </w:r>
          </w:p>
        </w:tc>
        <w:tc>
          <w:tcPr>
            <w:tcW w:w="1080" w:type="dxa"/>
            <w:noWrap/>
            <w:vAlign w:val="center"/>
            <w:hideMark/>
          </w:tcPr>
          <w:p w14:paraId="24DF121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0.25</w:t>
            </w:r>
          </w:p>
          <w:p w14:paraId="1CC4AA7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(35.72)</w:t>
            </w:r>
          </w:p>
        </w:tc>
        <w:tc>
          <w:tcPr>
            <w:tcW w:w="990" w:type="dxa"/>
            <w:noWrap/>
            <w:vAlign w:val="center"/>
            <w:hideMark/>
          </w:tcPr>
          <w:p w14:paraId="3FCD132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0.06</w:t>
            </w:r>
          </w:p>
          <w:p w14:paraId="3964197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(10.64)</w:t>
            </w:r>
          </w:p>
        </w:tc>
        <w:tc>
          <w:tcPr>
            <w:tcW w:w="1440" w:type="dxa"/>
            <w:noWrap/>
            <w:vAlign w:val="center"/>
            <w:hideMark/>
          </w:tcPr>
          <w:p w14:paraId="50324F8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hideMark/>
          </w:tcPr>
          <w:p w14:paraId="3521278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53F68F8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hideMark/>
          </w:tcPr>
          <w:p w14:paraId="34ED294D"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0956411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4D0C128E"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6330AD7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76CB0E05" w14:textId="77777777" w:rsidTr="00224621">
        <w:trPr>
          <w:trHeight w:val="20"/>
        </w:trPr>
        <w:tc>
          <w:tcPr>
            <w:tcW w:w="2335" w:type="dxa"/>
            <w:noWrap/>
            <w:vAlign w:val="center"/>
            <w:hideMark/>
          </w:tcPr>
          <w:p w14:paraId="4E5AC981" w14:textId="4140AC5A" w:rsidR="005F41F8" w:rsidRPr="001A04ED" w:rsidRDefault="005F41F8" w:rsidP="00C02332">
            <w:pPr>
              <w:pStyle w:val="1stParagraph"/>
              <w:rPr>
                <w:rFonts w:cs="Times New Roman"/>
                <w:sz w:val="20"/>
                <w:szCs w:val="20"/>
              </w:rPr>
            </w:pPr>
            <w:r w:rsidRPr="001A04ED">
              <w:rPr>
                <w:rFonts w:cs="Times New Roman"/>
                <w:sz w:val="20"/>
                <w:szCs w:val="20"/>
              </w:rPr>
              <w:t>CDD</w:t>
            </w:r>
            <w:r w:rsidR="00301D85" w:rsidRPr="001A04ED">
              <w:rPr>
                <w:rFonts w:cs="Times New Roman"/>
                <w:sz w:val="20"/>
                <w:szCs w:val="20"/>
              </w:rPr>
              <w:t xml:space="preserve"> (in 1000)</w:t>
            </w:r>
          </w:p>
        </w:tc>
        <w:tc>
          <w:tcPr>
            <w:tcW w:w="1080" w:type="dxa"/>
            <w:noWrap/>
            <w:vAlign w:val="center"/>
            <w:hideMark/>
          </w:tcPr>
          <w:p w14:paraId="0BF1323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3F1FD4A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40" w:type="dxa"/>
            <w:noWrap/>
            <w:vAlign w:val="center"/>
            <w:hideMark/>
          </w:tcPr>
          <w:p w14:paraId="432DC36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0.04</w:t>
            </w:r>
          </w:p>
          <w:p w14:paraId="4DAD9A0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(5.00)</w:t>
            </w:r>
          </w:p>
        </w:tc>
        <w:tc>
          <w:tcPr>
            <w:tcW w:w="1350" w:type="dxa"/>
            <w:noWrap/>
            <w:vAlign w:val="center"/>
            <w:hideMark/>
          </w:tcPr>
          <w:p w14:paraId="17FC1D4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0.47</w:t>
            </w:r>
          </w:p>
          <w:p w14:paraId="3DFBC88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(31.14)</w:t>
            </w:r>
          </w:p>
        </w:tc>
        <w:tc>
          <w:tcPr>
            <w:tcW w:w="990" w:type="dxa"/>
            <w:noWrap/>
            <w:vAlign w:val="center"/>
            <w:hideMark/>
          </w:tcPr>
          <w:p w14:paraId="7F4851B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hideMark/>
          </w:tcPr>
          <w:p w14:paraId="147474B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52AE34A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00277A1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0582678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18C8D723" w14:textId="77777777" w:rsidTr="00224621">
        <w:trPr>
          <w:trHeight w:val="20"/>
        </w:trPr>
        <w:tc>
          <w:tcPr>
            <w:tcW w:w="12950" w:type="dxa"/>
            <w:gridSpan w:val="10"/>
            <w:noWrap/>
            <w:vAlign w:val="center"/>
          </w:tcPr>
          <w:p w14:paraId="66E5CBD0"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 xml:space="preserve">Variables from the NHTS data: </w:t>
            </w:r>
            <w:r w:rsidRPr="001A04ED">
              <w:rPr>
                <w:rFonts w:cs="Times New Roman"/>
                <w:b/>
                <w:bCs/>
                <w:i/>
                <w:iCs/>
                <w:sz w:val="20"/>
                <w:szCs w:val="20"/>
              </w:rPr>
              <w:t>Travel infrastructure and usage related attributes</w:t>
            </w:r>
          </w:p>
        </w:tc>
      </w:tr>
      <w:tr w:rsidR="001A04ED" w:rsidRPr="001A04ED" w14:paraId="69322281" w14:textId="77777777" w:rsidTr="00224621">
        <w:trPr>
          <w:trHeight w:val="20"/>
        </w:trPr>
        <w:tc>
          <w:tcPr>
            <w:tcW w:w="2335" w:type="dxa"/>
            <w:noWrap/>
            <w:vAlign w:val="center"/>
            <w:hideMark/>
          </w:tcPr>
          <w:p w14:paraId="6BF214C2" w14:textId="77777777" w:rsidR="005F41F8" w:rsidRPr="001A04ED" w:rsidRDefault="005F41F8" w:rsidP="00C02332">
            <w:pPr>
              <w:pStyle w:val="1stParagraph"/>
              <w:rPr>
                <w:rFonts w:cs="Times New Roman"/>
                <w:sz w:val="20"/>
                <w:szCs w:val="20"/>
              </w:rPr>
            </w:pPr>
            <w:r w:rsidRPr="001A04ED">
              <w:rPr>
                <w:rFonts w:cs="Times New Roman"/>
                <w:sz w:val="20"/>
                <w:szCs w:val="20"/>
              </w:rPr>
              <w:t>Number of vehicles</w:t>
            </w:r>
          </w:p>
        </w:tc>
        <w:tc>
          <w:tcPr>
            <w:tcW w:w="1080" w:type="dxa"/>
            <w:noWrap/>
            <w:vAlign w:val="center"/>
            <w:hideMark/>
          </w:tcPr>
          <w:p w14:paraId="4113356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18F4DC6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-0.02</w:t>
            </w:r>
          </w:p>
          <w:p w14:paraId="04B749E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(-1.80)</w:t>
            </w:r>
          </w:p>
        </w:tc>
        <w:tc>
          <w:tcPr>
            <w:tcW w:w="1440" w:type="dxa"/>
            <w:noWrap/>
            <w:vAlign w:val="center"/>
            <w:hideMark/>
          </w:tcPr>
          <w:p w14:paraId="069B2CDD"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hideMark/>
          </w:tcPr>
          <w:p w14:paraId="0A14DD2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5D73C90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hideMark/>
          </w:tcPr>
          <w:p w14:paraId="3DF2DD9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0.15</w:t>
            </w:r>
          </w:p>
          <w:p w14:paraId="292AD1F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(13.11)</w:t>
            </w:r>
          </w:p>
        </w:tc>
        <w:tc>
          <w:tcPr>
            <w:tcW w:w="1080" w:type="dxa"/>
            <w:noWrap/>
            <w:vAlign w:val="center"/>
            <w:hideMark/>
          </w:tcPr>
          <w:p w14:paraId="6AC6368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0.29</w:t>
            </w:r>
          </w:p>
          <w:p w14:paraId="51273A5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(1.46)</w:t>
            </w:r>
          </w:p>
        </w:tc>
        <w:tc>
          <w:tcPr>
            <w:tcW w:w="1080" w:type="dxa"/>
            <w:noWrap/>
            <w:vAlign w:val="center"/>
            <w:hideMark/>
          </w:tcPr>
          <w:p w14:paraId="68F6700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5134948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501387D3" w14:textId="77777777" w:rsidTr="00224621">
        <w:trPr>
          <w:trHeight w:val="20"/>
        </w:trPr>
        <w:tc>
          <w:tcPr>
            <w:tcW w:w="2335" w:type="dxa"/>
            <w:noWrap/>
            <w:vAlign w:val="center"/>
            <w:hideMark/>
          </w:tcPr>
          <w:p w14:paraId="4362A28D" w14:textId="77777777" w:rsidR="005F41F8" w:rsidRPr="001A04ED" w:rsidRDefault="005F41F8" w:rsidP="00C02332">
            <w:pPr>
              <w:pStyle w:val="1stParagraph"/>
              <w:rPr>
                <w:rFonts w:cs="Times New Roman"/>
                <w:sz w:val="20"/>
                <w:szCs w:val="20"/>
              </w:rPr>
            </w:pPr>
            <w:r w:rsidRPr="001A04ED">
              <w:rPr>
                <w:rFonts w:cs="Times New Roman"/>
                <w:sz w:val="20"/>
                <w:szCs w:val="20"/>
              </w:rPr>
              <w:t>Number of pickup trucks</w:t>
            </w:r>
          </w:p>
        </w:tc>
        <w:tc>
          <w:tcPr>
            <w:tcW w:w="1080" w:type="dxa"/>
            <w:noWrap/>
            <w:vAlign w:val="center"/>
            <w:hideMark/>
          </w:tcPr>
          <w:p w14:paraId="3A02E67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-0.11</w:t>
            </w:r>
          </w:p>
          <w:p w14:paraId="1C4F7A7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(-3.43)</w:t>
            </w:r>
          </w:p>
        </w:tc>
        <w:tc>
          <w:tcPr>
            <w:tcW w:w="990" w:type="dxa"/>
            <w:noWrap/>
            <w:vAlign w:val="center"/>
            <w:hideMark/>
          </w:tcPr>
          <w:p w14:paraId="301A9D1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40" w:type="dxa"/>
            <w:noWrap/>
            <w:vAlign w:val="center"/>
            <w:hideMark/>
          </w:tcPr>
          <w:p w14:paraId="080893F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hideMark/>
          </w:tcPr>
          <w:p w14:paraId="4C20DE5E"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23FF971D"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hideMark/>
          </w:tcPr>
          <w:p w14:paraId="1F54FAA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1A204DE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6458849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32E32BC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41D292D8" w14:textId="77777777" w:rsidTr="00224621">
        <w:trPr>
          <w:trHeight w:val="20"/>
        </w:trPr>
        <w:tc>
          <w:tcPr>
            <w:tcW w:w="2335" w:type="dxa"/>
            <w:noWrap/>
            <w:vAlign w:val="center"/>
          </w:tcPr>
          <w:p w14:paraId="184E8046" w14:textId="77777777" w:rsidR="005F41F8" w:rsidRPr="001A04ED" w:rsidRDefault="005F41F8" w:rsidP="00C02332">
            <w:pPr>
              <w:pStyle w:val="1stParagraph"/>
              <w:rPr>
                <w:rFonts w:cs="Times New Roman"/>
                <w:sz w:val="20"/>
                <w:szCs w:val="20"/>
              </w:rPr>
            </w:pPr>
            <w:r w:rsidRPr="001A04ED">
              <w:rPr>
                <w:rFonts w:cs="Times New Roman"/>
                <w:sz w:val="20"/>
                <w:szCs w:val="20"/>
              </w:rPr>
              <w:t>Number of hybrid vehicles</w:t>
            </w:r>
          </w:p>
        </w:tc>
        <w:tc>
          <w:tcPr>
            <w:tcW w:w="1080" w:type="dxa"/>
            <w:noWrap/>
            <w:vAlign w:val="center"/>
          </w:tcPr>
          <w:p w14:paraId="169BB00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tcPr>
          <w:p w14:paraId="6DBC078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40" w:type="dxa"/>
            <w:noWrap/>
            <w:vAlign w:val="center"/>
          </w:tcPr>
          <w:p w14:paraId="6178C457"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tcPr>
          <w:p w14:paraId="71112DC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tcPr>
          <w:p w14:paraId="3B15DB8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tcPr>
          <w:p w14:paraId="509462C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tcPr>
          <w:p w14:paraId="679F1D4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0.51</w:t>
            </w:r>
          </w:p>
          <w:p w14:paraId="5E3204B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(2.36)</w:t>
            </w:r>
          </w:p>
        </w:tc>
        <w:tc>
          <w:tcPr>
            <w:tcW w:w="1080" w:type="dxa"/>
            <w:noWrap/>
            <w:vAlign w:val="center"/>
          </w:tcPr>
          <w:p w14:paraId="3FEC43A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tcPr>
          <w:p w14:paraId="65ECA06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1D0D3E0C" w14:textId="77777777" w:rsidTr="00224621">
        <w:trPr>
          <w:trHeight w:val="20"/>
        </w:trPr>
        <w:tc>
          <w:tcPr>
            <w:tcW w:w="2335" w:type="dxa"/>
            <w:noWrap/>
            <w:vAlign w:val="center"/>
          </w:tcPr>
          <w:p w14:paraId="465832DF" w14:textId="77777777" w:rsidR="005F41F8" w:rsidRPr="001A04ED" w:rsidRDefault="005F41F8" w:rsidP="00C02332">
            <w:pPr>
              <w:pStyle w:val="1stParagraph"/>
              <w:rPr>
                <w:rFonts w:cs="Times New Roman"/>
                <w:sz w:val="20"/>
                <w:szCs w:val="20"/>
              </w:rPr>
            </w:pPr>
            <w:r w:rsidRPr="001A04ED">
              <w:rPr>
                <w:rFonts w:cs="Times New Roman"/>
                <w:sz w:val="20"/>
                <w:szCs w:val="20"/>
              </w:rPr>
              <w:t>Number of vehicles used for business purpose</w:t>
            </w:r>
          </w:p>
        </w:tc>
        <w:tc>
          <w:tcPr>
            <w:tcW w:w="1080" w:type="dxa"/>
            <w:noWrap/>
            <w:vAlign w:val="center"/>
          </w:tcPr>
          <w:p w14:paraId="40A47D0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tcPr>
          <w:p w14:paraId="015CBA6E"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40" w:type="dxa"/>
            <w:noWrap/>
            <w:vAlign w:val="center"/>
          </w:tcPr>
          <w:p w14:paraId="5D68B55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tcPr>
          <w:p w14:paraId="1502EC2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-0.69</w:t>
            </w:r>
          </w:p>
          <w:p w14:paraId="2C2B90E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(-2.65)</w:t>
            </w:r>
          </w:p>
        </w:tc>
        <w:tc>
          <w:tcPr>
            <w:tcW w:w="990" w:type="dxa"/>
            <w:noWrap/>
            <w:vAlign w:val="center"/>
          </w:tcPr>
          <w:p w14:paraId="1E61DE5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tcPr>
          <w:p w14:paraId="2B9C220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tcPr>
          <w:p w14:paraId="1FD124C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tcPr>
          <w:p w14:paraId="357CCAC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tcPr>
          <w:p w14:paraId="0F7BD7A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46E5BC89" w14:textId="77777777" w:rsidTr="00224621">
        <w:trPr>
          <w:trHeight w:val="20"/>
        </w:trPr>
        <w:tc>
          <w:tcPr>
            <w:tcW w:w="2335" w:type="dxa"/>
            <w:noWrap/>
            <w:vAlign w:val="center"/>
          </w:tcPr>
          <w:p w14:paraId="2012090F" w14:textId="77777777" w:rsidR="005F41F8" w:rsidRPr="001A04ED" w:rsidRDefault="005F41F8" w:rsidP="00C02332">
            <w:pPr>
              <w:pStyle w:val="1stParagraph"/>
              <w:rPr>
                <w:rFonts w:cs="Times New Roman"/>
                <w:sz w:val="20"/>
                <w:szCs w:val="20"/>
              </w:rPr>
            </w:pPr>
            <w:r w:rsidRPr="001A04ED">
              <w:rPr>
                <w:rFonts w:cs="Times New Roman"/>
                <w:sz w:val="20"/>
                <w:szCs w:val="20"/>
              </w:rPr>
              <w:t>Frequency of intercity train trips</w:t>
            </w:r>
          </w:p>
        </w:tc>
        <w:tc>
          <w:tcPr>
            <w:tcW w:w="1080" w:type="dxa"/>
            <w:noWrap/>
            <w:vAlign w:val="center"/>
          </w:tcPr>
          <w:p w14:paraId="6EF24ED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tcPr>
          <w:p w14:paraId="60C7E93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40" w:type="dxa"/>
            <w:noWrap/>
            <w:vAlign w:val="center"/>
          </w:tcPr>
          <w:p w14:paraId="704A017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tcPr>
          <w:p w14:paraId="6228594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-0.23</w:t>
            </w:r>
          </w:p>
          <w:p w14:paraId="40F5C14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(-1.26)</w:t>
            </w:r>
          </w:p>
        </w:tc>
        <w:tc>
          <w:tcPr>
            <w:tcW w:w="990" w:type="dxa"/>
            <w:noWrap/>
            <w:vAlign w:val="center"/>
          </w:tcPr>
          <w:p w14:paraId="2F038087"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tcPr>
          <w:p w14:paraId="3466917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-0.04</w:t>
            </w:r>
          </w:p>
          <w:p w14:paraId="5DE639B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(-1.51)</w:t>
            </w:r>
          </w:p>
        </w:tc>
        <w:tc>
          <w:tcPr>
            <w:tcW w:w="1080" w:type="dxa"/>
            <w:noWrap/>
            <w:vAlign w:val="center"/>
          </w:tcPr>
          <w:p w14:paraId="64414559"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tcPr>
          <w:p w14:paraId="370E4AB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tcPr>
          <w:p w14:paraId="3A54163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07135667" w14:textId="77777777" w:rsidTr="00224621">
        <w:trPr>
          <w:trHeight w:val="20"/>
        </w:trPr>
        <w:tc>
          <w:tcPr>
            <w:tcW w:w="2335" w:type="dxa"/>
            <w:noWrap/>
            <w:vAlign w:val="center"/>
            <w:hideMark/>
          </w:tcPr>
          <w:p w14:paraId="767EAB35" w14:textId="77777777" w:rsidR="005F41F8" w:rsidRPr="001A04ED" w:rsidRDefault="005F41F8" w:rsidP="00C02332">
            <w:pPr>
              <w:pStyle w:val="1stParagraph"/>
              <w:rPr>
                <w:rFonts w:cs="Times New Roman"/>
                <w:sz w:val="20"/>
                <w:szCs w:val="20"/>
              </w:rPr>
            </w:pPr>
            <w:r w:rsidRPr="001A04ED">
              <w:rPr>
                <w:rFonts w:cs="Times New Roman"/>
                <w:sz w:val="20"/>
                <w:szCs w:val="20"/>
              </w:rPr>
              <w:t>ln (annual mileage +1)</w:t>
            </w:r>
          </w:p>
        </w:tc>
        <w:tc>
          <w:tcPr>
            <w:tcW w:w="1080" w:type="dxa"/>
            <w:noWrap/>
            <w:vAlign w:val="center"/>
            <w:hideMark/>
          </w:tcPr>
          <w:p w14:paraId="747B0F7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300DCC0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40" w:type="dxa"/>
            <w:noWrap/>
            <w:vAlign w:val="center"/>
            <w:hideMark/>
          </w:tcPr>
          <w:p w14:paraId="1C5838FA"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hideMark/>
          </w:tcPr>
          <w:p w14:paraId="7F8E96E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0.03</w:t>
            </w:r>
          </w:p>
          <w:p w14:paraId="1C3FEBB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(2.87)</w:t>
            </w:r>
          </w:p>
        </w:tc>
        <w:tc>
          <w:tcPr>
            <w:tcW w:w="990" w:type="dxa"/>
            <w:noWrap/>
            <w:vAlign w:val="center"/>
            <w:hideMark/>
          </w:tcPr>
          <w:p w14:paraId="5B42B68D"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hideMark/>
          </w:tcPr>
          <w:p w14:paraId="29622EB8"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36A7071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40C894D7"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6A02C38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22816773" w14:textId="77777777" w:rsidTr="00224621">
        <w:trPr>
          <w:trHeight w:val="20"/>
        </w:trPr>
        <w:tc>
          <w:tcPr>
            <w:tcW w:w="12950" w:type="dxa"/>
            <w:gridSpan w:val="10"/>
            <w:noWrap/>
            <w:vAlign w:val="center"/>
          </w:tcPr>
          <w:p w14:paraId="0BE670C8"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 xml:space="preserve">Variables from the NHTS data: </w:t>
            </w:r>
            <w:r w:rsidRPr="001A04ED">
              <w:rPr>
                <w:rFonts w:cs="Times New Roman"/>
                <w:b/>
                <w:bCs/>
                <w:i/>
                <w:iCs/>
                <w:sz w:val="20"/>
                <w:szCs w:val="20"/>
              </w:rPr>
              <w:t>Socioeconomic attributes</w:t>
            </w:r>
          </w:p>
        </w:tc>
      </w:tr>
      <w:tr w:rsidR="001A04ED" w:rsidRPr="001A04ED" w14:paraId="394F12B8" w14:textId="77777777" w:rsidTr="00224621">
        <w:trPr>
          <w:trHeight w:val="20"/>
        </w:trPr>
        <w:tc>
          <w:tcPr>
            <w:tcW w:w="2335" w:type="dxa"/>
            <w:noWrap/>
            <w:vAlign w:val="center"/>
            <w:hideMark/>
          </w:tcPr>
          <w:p w14:paraId="596A627E" w14:textId="77777777" w:rsidR="005F41F8" w:rsidRPr="001A04ED" w:rsidRDefault="005F41F8" w:rsidP="00C02332">
            <w:pPr>
              <w:pStyle w:val="1stParagraph"/>
              <w:rPr>
                <w:rFonts w:cs="Times New Roman"/>
                <w:sz w:val="20"/>
                <w:szCs w:val="20"/>
              </w:rPr>
            </w:pPr>
            <w:r w:rsidRPr="001A04ED">
              <w:rPr>
                <w:rFonts w:cs="Times New Roman"/>
                <w:sz w:val="20"/>
                <w:szCs w:val="20"/>
              </w:rPr>
              <w:t>Number of workers</w:t>
            </w:r>
          </w:p>
        </w:tc>
        <w:tc>
          <w:tcPr>
            <w:tcW w:w="1080" w:type="dxa"/>
            <w:noWrap/>
            <w:vAlign w:val="center"/>
            <w:hideMark/>
          </w:tcPr>
          <w:p w14:paraId="6151730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0CB7E6E3"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40" w:type="dxa"/>
            <w:noWrap/>
            <w:vAlign w:val="center"/>
            <w:hideMark/>
          </w:tcPr>
          <w:p w14:paraId="06213D2E"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350" w:type="dxa"/>
            <w:noWrap/>
            <w:vAlign w:val="center"/>
            <w:hideMark/>
          </w:tcPr>
          <w:p w14:paraId="4434AF5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990" w:type="dxa"/>
            <w:noWrap/>
            <w:vAlign w:val="center"/>
            <w:hideMark/>
          </w:tcPr>
          <w:p w14:paraId="3437FEE4"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170" w:type="dxa"/>
            <w:noWrap/>
            <w:vAlign w:val="center"/>
            <w:hideMark/>
          </w:tcPr>
          <w:p w14:paraId="633A399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-0.06</w:t>
            </w:r>
          </w:p>
          <w:p w14:paraId="4BBFF147"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(-3.43)</w:t>
            </w:r>
          </w:p>
        </w:tc>
        <w:tc>
          <w:tcPr>
            <w:tcW w:w="1080" w:type="dxa"/>
            <w:noWrap/>
            <w:vAlign w:val="center"/>
            <w:hideMark/>
          </w:tcPr>
          <w:p w14:paraId="1D981D1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080" w:type="dxa"/>
            <w:noWrap/>
            <w:vAlign w:val="center"/>
            <w:hideMark/>
          </w:tcPr>
          <w:p w14:paraId="6F9FDAB5"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6296412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r w:rsidR="001A04ED" w:rsidRPr="001A04ED" w14:paraId="479379DB" w14:textId="77777777" w:rsidTr="00224621">
        <w:trPr>
          <w:trHeight w:val="20"/>
        </w:trPr>
        <w:tc>
          <w:tcPr>
            <w:tcW w:w="12950" w:type="dxa"/>
            <w:gridSpan w:val="10"/>
            <w:noWrap/>
            <w:vAlign w:val="center"/>
          </w:tcPr>
          <w:p w14:paraId="298DFF9A" w14:textId="77777777" w:rsidR="005F41F8" w:rsidRPr="001A04ED" w:rsidRDefault="005F41F8" w:rsidP="00224621">
            <w:pPr>
              <w:pStyle w:val="1stParagraph"/>
              <w:jc w:val="center"/>
              <w:rPr>
                <w:rFonts w:cs="Times New Roman"/>
                <w:b/>
                <w:bCs/>
                <w:sz w:val="20"/>
                <w:szCs w:val="20"/>
              </w:rPr>
            </w:pPr>
            <w:r w:rsidRPr="001A04ED">
              <w:rPr>
                <w:rFonts w:cs="Times New Roman"/>
                <w:b/>
                <w:bCs/>
                <w:sz w:val="20"/>
                <w:szCs w:val="20"/>
              </w:rPr>
              <w:t>Satiation parameter</w:t>
            </w:r>
          </w:p>
        </w:tc>
      </w:tr>
      <w:tr w:rsidR="00224621" w:rsidRPr="001A04ED" w14:paraId="75421CF3" w14:textId="77777777" w:rsidTr="00224621">
        <w:trPr>
          <w:trHeight w:val="20"/>
        </w:trPr>
        <w:tc>
          <w:tcPr>
            <w:tcW w:w="2335" w:type="dxa"/>
            <w:noWrap/>
            <w:vAlign w:val="center"/>
            <w:hideMark/>
          </w:tcPr>
          <w:p w14:paraId="7FB6A843" w14:textId="77777777" w:rsidR="005F41F8" w:rsidRPr="001A04ED" w:rsidRDefault="005F41F8" w:rsidP="00C02332">
            <w:pPr>
              <w:pStyle w:val="1stParagraph"/>
              <w:rPr>
                <w:rFonts w:cs="Times New Roman"/>
                <w:sz w:val="20"/>
                <w:szCs w:val="20"/>
              </w:rPr>
            </w:pPr>
            <w:r w:rsidRPr="001A04ED">
              <w:rPr>
                <w:rFonts w:cs="Times New Roman"/>
                <w:sz w:val="20"/>
                <w:szCs w:val="20"/>
              </w:rPr>
              <w:t>Gamma</w:t>
            </w:r>
          </w:p>
        </w:tc>
        <w:tc>
          <w:tcPr>
            <w:tcW w:w="1080" w:type="dxa"/>
            <w:noWrap/>
            <w:vAlign w:val="center"/>
            <w:hideMark/>
          </w:tcPr>
          <w:p w14:paraId="1D620D2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3352.55</w:t>
            </w:r>
          </w:p>
          <w:p w14:paraId="559F398E"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(19.83)</w:t>
            </w:r>
          </w:p>
        </w:tc>
        <w:tc>
          <w:tcPr>
            <w:tcW w:w="990" w:type="dxa"/>
            <w:noWrap/>
            <w:vAlign w:val="center"/>
            <w:hideMark/>
          </w:tcPr>
          <w:p w14:paraId="586FD2C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386.68</w:t>
            </w:r>
          </w:p>
          <w:p w14:paraId="54F50B9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(6.85)</w:t>
            </w:r>
          </w:p>
        </w:tc>
        <w:tc>
          <w:tcPr>
            <w:tcW w:w="1440" w:type="dxa"/>
            <w:noWrap/>
            <w:vAlign w:val="center"/>
            <w:hideMark/>
          </w:tcPr>
          <w:p w14:paraId="57CB1CD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54.08</w:t>
            </w:r>
          </w:p>
          <w:p w14:paraId="261D39CC"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(4.54)</w:t>
            </w:r>
          </w:p>
        </w:tc>
        <w:tc>
          <w:tcPr>
            <w:tcW w:w="1350" w:type="dxa"/>
            <w:noWrap/>
            <w:vAlign w:val="center"/>
            <w:hideMark/>
          </w:tcPr>
          <w:p w14:paraId="4A3EFF9B"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642.67</w:t>
            </w:r>
          </w:p>
          <w:p w14:paraId="6DE0B57F"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(11.14)</w:t>
            </w:r>
          </w:p>
        </w:tc>
        <w:tc>
          <w:tcPr>
            <w:tcW w:w="990" w:type="dxa"/>
            <w:noWrap/>
            <w:vAlign w:val="center"/>
            <w:hideMark/>
          </w:tcPr>
          <w:p w14:paraId="609FC15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12.93</w:t>
            </w:r>
          </w:p>
          <w:p w14:paraId="6BC84E1D"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(2.87)</w:t>
            </w:r>
          </w:p>
        </w:tc>
        <w:tc>
          <w:tcPr>
            <w:tcW w:w="1170" w:type="dxa"/>
            <w:noWrap/>
            <w:vAlign w:val="center"/>
            <w:hideMark/>
          </w:tcPr>
          <w:p w14:paraId="7E699AE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287.80</w:t>
            </w:r>
          </w:p>
          <w:p w14:paraId="34679CC1"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(31.00)</w:t>
            </w:r>
          </w:p>
        </w:tc>
        <w:tc>
          <w:tcPr>
            <w:tcW w:w="1080" w:type="dxa"/>
            <w:noWrap/>
            <w:vAlign w:val="center"/>
            <w:hideMark/>
          </w:tcPr>
          <w:p w14:paraId="05F56B10"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2359.32</w:t>
            </w:r>
          </w:p>
          <w:p w14:paraId="3318FB3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(4.72)</w:t>
            </w:r>
          </w:p>
        </w:tc>
        <w:tc>
          <w:tcPr>
            <w:tcW w:w="1080" w:type="dxa"/>
            <w:noWrap/>
            <w:vAlign w:val="center"/>
            <w:hideMark/>
          </w:tcPr>
          <w:p w14:paraId="606A1B82"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c>
          <w:tcPr>
            <w:tcW w:w="1435" w:type="dxa"/>
            <w:noWrap/>
            <w:vAlign w:val="center"/>
            <w:hideMark/>
          </w:tcPr>
          <w:p w14:paraId="61AE42B6" w14:textId="77777777" w:rsidR="005F41F8" w:rsidRPr="001A04ED" w:rsidRDefault="005F41F8" w:rsidP="00224621">
            <w:pPr>
              <w:pStyle w:val="1stParagraph"/>
              <w:jc w:val="center"/>
              <w:rPr>
                <w:rFonts w:cs="Times New Roman"/>
                <w:sz w:val="20"/>
                <w:szCs w:val="20"/>
              </w:rPr>
            </w:pPr>
            <w:r w:rsidRPr="001A04ED">
              <w:rPr>
                <w:rFonts w:cs="Times New Roman"/>
                <w:sz w:val="20"/>
                <w:szCs w:val="20"/>
              </w:rPr>
              <w:t>---</w:t>
            </w:r>
          </w:p>
        </w:tc>
      </w:tr>
    </w:tbl>
    <w:p w14:paraId="166E3743" w14:textId="135A1DC1" w:rsidR="006B7DCE" w:rsidRPr="001A04ED" w:rsidRDefault="006B7DCE" w:rsidP="006B7DCE">
      <w:pPr>
        <w:tabs>
          <w:tab w:val="left" w:pos="5040"/>
        </w:tabs>
        <w:ind w:firstLine="0"/>
        <w:jc w:val="left"/>
        <w:sectPr w:rsidR="006B7DCE" w:rsidRPr="001A04ED" w:rsidSect="003B3AC2">
          <w:type w:val="continuous"/>
          <w:pgSz w:w="15840" w:h="12240" w:orient="landscape"/>
          <w:pgMar w:top="1440" w:right="1440" w:bottom="1440" w:left="1440" w:header="720" w:footer="720" w:gutter="0"/>
          <w:cols w:space="720"/>
          <w:docGrid w:linePitch="360"/>
        </w:sectPr>
      </w:pPr>
    </w:p>
    <w:p w14:paraId="21AAC67F" w14:textId="37DCB6B0" w:rsidR="0087391C" w:rsidRPr="001A04ED" w:rsidRDefault="0087391C" w:rsidP="004B1C01">
      <w:pPr>
        <w:pStyle w:val="Heading1"/>
        <w:rPr>
          <w:szCs w:val="22"/>
        </w:rPr>
      </w:pPr>
      <w:r w:rsidRPr="001A04ED">
        <w:rPr>
          <w:szCs w:val="22"/>
        </w:rPr>
        <w:lastRenderedPageBreak/>
        <w:t>Model Estimation Result</w:t>
      </w:r>
      <w:r w:rsidR="004B1C01" w:rsidRPr="001A04ED">
        <w:rPr>
          <w:szCs w:val="22"/>
        </w:rPr>
        <w:t>s</w:t>
      </w:r>
    </w:p>
    <w:p w14:paraId="75DBBD87" w14:textId="73EEAC9B" w:rsidR="00E06633" w:rsidRPr="001A04ED" w:rsidRDefault="00FD2E16" w:rsidP="003514A6">
      <w:pPr>
        <w:ind w:firstLine="0"/>
      </w:pPr>
      <w:r w:rsidRPr="001A04ED">
        <w:t>In this section the estimation results of the optimal fusion model</w:t>
      </w:r>
      <w:r w:rsidR="004F2789" w:rsidRPr="001A04ED">
        <w:t xml:space="preserve"> are described. The </w:t>
      </w:r>
      <w:r w:rsidR="0025094E" w:rsidRPr="001A04ED">
        <w:t>specification of the</w:t>
      </w:r>
      <w:r w:rsidR="00433F77" w:rsidRPr="001A04ED">
        <w:t xml:space="preserve"> model</w:t>
      </w:r>
      <w:r w:rsidR="004F2789" w:rsidRPr="001A04ED">
        <w:t xml:space="preserve"> </w:t>
      </w:r>
      <w:r w:rsidR="00433F77" w:rsidRPr="001A04ED">
        <w:t>is</w:t>
      </w:r>
      <w:r w:rsidR="004F2789" w:rsidRPr="001A04ED">
        <w:t xml:space="preserve"> presented </w:t>
      </w:r>
      <w:r w:rsidR="00721E20" w:rsidRPr="001A04ED">
        <w:t xml:space="preserve">in Table </w:t>
      </w:r>
      <w:r w:rsidR="001E0363" w:rsidRPr="001A04ED">
        <w:t>3,</w:t>
      </w:r>
      <w:r w:rsidR="005A68C6" w:rsidRPr="001A04ED">
        <w:t xml:space="preserve"> and </w:t>
      </w:r>
      <w:r w:rsidR="00433F77" w:rsidRPr="001A04ED">
        <w:t>the model estimates are</w:t>
      </w:r>
      <w:r w:rsidR="00EB2693" w:rsidRPr="001A04ED">
        <w:t xml:space="preserve"> </w:t>
      </w:r>
      <w:r w:rsidR="00737B23" w:rsidRPr="001A04ED">
        <w:t>discussed</w:t>
      </w:r>
      <w:r w:rsidR="00EB2693" w:rsidRPr="001A04ED">
        <w:t xml:space="preserve"> </w:t>
      </w:r>
      <w:r w:rsidR="00433F77" w:rsidRPr="001A04ED">
        <w:t>by</w:t>
      </w:r>
      <w:r w:rsidR="00EB2693" w:rsidRPr="001A04ED">
        <w:t xml:space="preserve"> different variable categories</w:t>
      </w:r>
      <w:r w:rsidR="005A68C6" w:rsidRPr="001A04ED">
        <w:t>.</w:t>
      </w:r>
      <w:r w:rsidR="00274761" w:rsidRPr="001A04ED">
        <w:t xml:space="preserve"> </w:t>
      </w:r>
      <w:r w:rsidR="005A010B" w:rsidRPr="001A04ED">
        <w:t>The reader would note that a positive (negative) coefficient for a parameter in the MDCEV model is likely to increase (decrease) the utility for that household from participating in the end-use alternative energy consumption for the alternative relative to the base alternative.</w:t>
      </w:r>
    </w:p>
    <w:p w14:paraId="6147C81A" w14:textId="77777777" w:rsidR="00D52E8D" w:rsidRPr="001A04ED" w:rsidRDefault="00D52E8D" w:rsidP="003514A6">
      <w:pPr>
        <w:ind w:firstLine="0"/>
      </w:pPr>
    </w:p>
    <w:p w14:paraId="2AF86246" w14:textId="16398245" w:rsidR="00E06633" w:rsidRPr="001A04ED" w:rsidRDefault="00E06633" w:rsidP="004B1C01">
      <w:pPr>
        <w:pStyle w:val="Heading2"/>
        <w:rPr>
          <w:szCs w:val="22"/>
        </w:rPr>
      </w:pPr>
      <w:r w:rsidRPr="001A04ED">
        <w:rPr>
          <w:szCs w:val="22"/>
        </w:rPr>
        <w:t xml:space="preserve">Variables from the RECS </w:t>
      </w:r>
      <w:r w:rsidR="00104A79" w:rsidRPr="001A04ED">
        <w:rPr>
          <w:szCs w:val="22"/>
        </w:rPr>
        <w:t>D</w:t>
      </w:r>
      <w:r w:rsidRPr="001A04ED">
        <w:rPr>
          <w:szCs w:val="22"/>
        </w:rPr>
        <w:t>ata</w:t>
      </w:r>
    </w:p>
    <w:p w14:paraId="2DD53BD2" w14:textId="77777777" w:rsidR="00E06633" w:rsidRPr="001A04ED" w:rsidRDefault="00E06633" w:rsidP="00E06633">
      <w:pPr>
        <w:ind w:firstLine="0"/>
      </w:pPr>
    </w:p>
    <w:p w14:paraId="779A96F9" w14:textId="4CB311E5" w:rsidR="00E06633" w:rsidRPr="001A04ED" w:rsidRDefault="00E06633" w:rsidP="00E06633">
      <w:pPr>
        <w:pStyle w:val="Heading3"/>
        <w:rPr>
          <w:szCs w:val="22"/>
        </w:rPr>
      </w:pPr>
      <w:r w:rsidRPr="001A04ED">
        <w:rPr>
          <w:szCs w:val="22"/>
        </w:rPr>
        <w:t xml:space="preserve">Socioeconomic </w:t>
      </w:r>
      <w:r w:rsidR="00104A79" w:rsidRPr="001A04ED">
        <w:rPr>
          <w:szCs w:val="22"/>
        </w:rPr>
        <w:t>a</w:t>
      </w:r>
      <w:r w:rsidRPr="001A04ED">
        <w:rPr>
          <w:szCs w:val="22"/>
        </w:rPr>
        <w:t>ttributes</w:t>
      </w:r>
    </w:p>
    <w:p w14:paraId="38CCFD65" w14:textId="1461AE42" w:rsidR="00197DE6" w:rsidRPr="001A04ED" w:rsidRDefault="00197DE6" w:rsidP="00197DE6">
      <w:pPr>
        <w:pStyle w:val="1stParagraph"/>
      </w:pPr>
      <w:r w:rsidRPr="001A04ED">
        <w:t xml:space="preserve">In this study, </w:t>
      </w:r>
      <w:r w:rsidR="00AD49CD" w:rsidRPr="001A04ED">
        <w:t>several</w:t>
      </w:r>
      <w:r w:rsidRPr="001A04ED">
        <w:t xml:space="preserve"> household socioeconomic attributes are employed from the RECS dataset. Among them, several attributes are found to offer significant impacts on household energy end-uses. It can be observed that, with the increase in household size, energy demand fo</w:t>
      </w:r>
      <w:r w:rsidR="00642DB3" w:rsidRPr="001A04ED">
        <w:t xml:space="preserve">r </w:t>
      </w:r>
      <w:r w:rsidRPr="001A04ED">
        <w:t>washing and drying are likely to increase by the highest amount.</w:t>
      </w:r>
      <w:r w:rsidR="00191F08" w:rsidRPr="001A04ED">
        <w:t xml:space="preserve"> Further, </w:t>
      </w:r>
      <w:r w:rsidR="00745FF3" w:rsidRPr="001A04ED">
        <w:t xml:space="preserve">with the increase in </w:t>
      </w:r>
      <w:r w:rsidR="00FB5222" w:rsidRPr="001A04ED">
        <w:t>the number of</w:t>
      </w:r>
      <w:r w:rsidR="00745FF3" w:rsidRPr="001A04ED">
        <w:t xml:space="preserve"> adults</w:t>
      </w:r>
      <w:r w:rsidR="006957CF" w:rsidRPr="001A04ED">
        <w:t>,</w:t>
      </w:r>
      <w:r w:rsidR="00E9171C" w:rsidRPr="001A04ED">
        <w:t xml:space="preserve"> the highest increment of energy demand is likely to </w:t>
      </w:r>
      <w:r w:rsidR="004A7192" w:rsidRPr="001A04ED">
        <w:t xml:space="preserve">be </w:t>
      </w:r>
      <w:r w:rsidR="00DF458C" w:rsidRPr="001A04ED">
        <w:t>seen in</w:t>
      </w:r>
      <w:r w:rsidR="004A7192" w:rsidRPr="001A04ED">
        <w:t xml:space="preserve"> washing and drying.</w:t>
      </w:r>
      <w:r w:rsidR="00D75BE5" w:rsidRPr="001A04ED">
        <w:t xml:space="preserve"> The reader would note that the impact of household size and number of adults needs to be considered together. T</w:t>
      </w:r>
      <w:r w:rsidRPr="001A04ED">
        <w:t>he actual impact of the number of adults is represented by summing up the impacts of household size and number of adults. Thus, the impacts of number of adults on the energy demand for</w:t>
      </w:r>
      <w:r w:rsidR="00642DB3" w:rsidRPr="001A04ED">
        <w:t xml:space="preserve"> </w:t>
      </w:r>
      <w:r w:rsidRPr="001A04ED">
        <w:t>washing and drying, and miscellaneous activities are (0.1</w:t>
      </w:r>
      <w:r w:rsidR="00642DB3" w:rsidRPr="001A04ED">
        <w:t>6</w:t>
      </w:r>
      <w:r w:rsidRPr="001A04ED">
        <w:t>+0.0</w:t>
      </w:r>
      <w:r w:rsidR="00F357F4" w:rsidRPr="001A04ED">
        <w:t>5</w:t>
      </w:r>
      <w:r w:rsidRPr="001A04ED">
        <w:t>) and (0.0</w:t>
      </w:r>
      <w:r w:rsidR="00153972" w:rsidRPr="001A04ED">
        <w:t>7</w:t>
      </w:r>
      <w:r w:rsidRPr="001A04ED">
        <w:t>+0.1</w:t>
      </w:r>
      <w:r w:rsidR="00153972" w:rsidRPr="001A04ED">
        <w:t>2</w:t>
      </w:r>
      <w:r w:rsidRPr="001A04ED">
        <w:t xml:space="preserve">). </w:t>
      </w:r>
      <w:r w:rsidR="006A78FB" w:rsidRPr="001A04ED">
        <w:t>T</w:t>
      </w:r>
      <w:r w:rsidR="002E3900" w:rsidRPr="001A04ED">
        <w:t>he parameter estimate</w:t>
      </w:r>
      <w:r w:rsidR="00914074" w:rsidRPr="001A04ED">
        <w:t>s</w:t>
      </w:r>
      <w:r w:rsidR="002E3900" w:rsidRPr="001A04ED">
        <w:t xml:space="preserve"> </w:t>
      </w:r>
      <w:r w:rsidR="00914074" w:rsidRPr="001A04ED">
        <w:t>indicate that</w:t>
      </w:r>
      <w:r w:rsidRPr="001A04ED">
        <w:t xml:space="preserve"> the </w:t>
      </w:r>
      <w:r w:rsidR="006A78FB" w:rsidRPr="001A04ED">
        <w:t xml:space="preserve">increase in </w:t>
      </w:r>
      <w:r w:rsidRPr="001A04ED">
        <w:t xml:space="preserve">energy consumption for miscellaneous activities will be </w:t>
      </w:r>
      <w:r w:rsidR="00353345" w:rsidRPr="001A04ED">
        <w:t>the highest</w:t>
      </w:r>
      <w:r w:rsidRPr="001A04ED">
        <w:t xml:space="preserve"> for an additional adult member</w:t>
      </w:r>
      <w:r w:rsidR="006A78FB" w:rsidRPr="001A04ED">
        <w:t xml:space="preserve"> compared to </w:t>
      </w:r>
      <w:r w:rsidRPr="001A04ED">
        <w:t xml:space="preserve">an additional child. The </w:t>
      </w:r>
      <w:r w:rsidR="007750F8" w:rsidRPr="001A04ED">
        <w:t xml:space="preserve">parameter associated with </w:t>
      </w:r>
      <w:r w:rsidRPr="001A04ED">
        <w:t xml:space="preserve">urban area </w:t>
      </w:r>
      <w:r w:rsidR="007750F8" w:rsidRPr="001A04ED">
        <w:t xml:space="preserve">indicates </w:t>
      </w:r>
      <w:r w:rsidRPr="001A04ED">
        <w:t xml:space="preserve">that households in urban areas are likely to consume the highest amount of energy for </w:t>
      </w:r>
      <w:r w:rsidR="00353345" w:rsidRPr="001A04ED">
        <w:t>water heating</w:t>
      </w:r>
      <w:r w:rsidRPr="001A04ED">
        <w:t>.</w:t>
      </w:r>
      <w:r w:rsidR="00A9497A" w:rsidRPr="001A04ED">
        <w:t xml:space="preserve"> The </w:t>
      </w:r>
      <w:r w:rsidR="001F19AC" w:rsidRPr="001A04ED">
        <w:t xml:space="preserve">result implies the dependency </w:t>
      </w:r>
      <w:r w:rsidR="0074406C" w:rsidRPr="001A04ED">
        <w:t xml:space="preserve">of urban residents on </w:t>
      </w:r>
      <w:r w:rsidR="00803626" w:rsidRPr="001A04ED">
        <w:t>the appliances that rely on hot water</w:t>
      </w:r>
      <w:r w:rsidR="00092141" w:rsidRPr="001A04ED">
        <w:t xml:space="preserve"> (such as </w:t>
      </w:r>
      <w:r w:rsidR="00EC5EE5" w:rsidRPr="001A04ED">
        <w:t>showers, washing machines, and dish washers).</w:t>
      </w:r>
      <w:r w:rsidRPr="001A04ED">
        <w:t xml:space="preserve">  </w:t>
      </w:r>
      <w:r w:rsidR="00AB71F0" w:rsidRPr="001A04ED">
        <w:t>T</w:t>
      </w:r>
      <w:r w:rsidRPr="001A04ED">
        <w:t>he impact of household income indicates that household with income of $100,000 or</w:t>
      </w:r>
      <w:r w:rsidR="00A359A7" w:rsidRPr="001A04ED">
        <w:t xml:space="preserve"> more</w:t>
      </w:r>
      <w:r w:rsidRPr="001A04ED">
        <w:t xml:space="preserve"> are </w:t>
      </w:r>
      <w:r w:rsidR="00FD0C6F" w:rsidRPr="001A04ED">
        <w:t xml:space="preserve">also </w:t>
      </w:r>
      <w:r w:rsidRPr="001A04ED">
        <w:t>likely to consume the highest amount of energy for washing and drying.</w:t>
      </w:r>
    </w:p>
    <w:p w14:paraId="64226BAB" w14:textId="77777777" w:rsidR="00AD49CD" w:rsidRPr="001A04ED" w:rsidRDefault="00AD49CD" w:rsidP="00197DE6">
      <w:pPr>
        <w:pStyle w:val="1stParagraph"/>
      </w:pPr>
    </w:p>
    <w:p w14:paraId="31D8437E" w14:textId="4AA89DFE" w:rsidR="00AD49CD" w:rsidRPr="001A04ED" w:rsidRDefault="00AD49CD" w:rsidP="00AD49CD">
      <w:pPr>
        <w:pStyle w:val="Heading3"/>
      </w:pPr>
      <w:r w:rsidRPr="001A04ED">
        <w:t>Meteorological attributes</w:t>
      </w:r>
    </w:p>
    <w:p w14:paraId="242FDA98" w14:textId="52E50942" w:rsidR="00A359A7" w:rsidRPr="001A04ED" w:rsidRDefault="009E25B6" w:rsidP="00197DE6">
      <w:pPr>
        <w:pStyle w:val="1stParagraph"/>
      </w:pPr>
      <w:r w:rsidRPr="001A04ED">
        <w:t>To evaluate the impact of different weather conditions, two meteorological attributes – Heating Degree Days (HDD) and Cooling Degree Days (CDD) – are considered in the proposed fusion framework. With an increase in HDD household’s energy consumption for space heating is likely to increase by the highest amount. Further, household’s energy consumption for cooling and ventilation is likely to increase with an increase in CDD. The results indicate that households from the regions of higher HDD are likely to consume the highest amount of energy for space heating. Households from the regions of higher CDD are likely to consume the highest energy for cooling and ventilation.</w:t>
      </w:r>
    </w:p>
    <w:p w14:paraId="786358A9" w14:textId="77777777" w:rsidR="009E25B6" w:rsidRPr="001A04ED" w:rsidRDefault="009E25B6" w:rsidP="00197DE6">
      <w:pPr>
        <w:pStyle w:val="1stParagraph"/>
      </w:pPr>
    </w:p>
    <w:p w14:paraId="1E93FB5F" w14:textId="48396AD6" w:rsidR="00A359A7" w:rsidRPr="001A04ED" w:rsidRDefault="00A359A7" w:rsidP="00FE0651">
      <w:pPr>
        <w:pStyle w:val="Heading2"/>
        <w:rPr>
          <w:szCs w:val="22"/>
        </w:rPr>
      </w:pPr>
      <w:r w:rsidRPr="001A04ED">
        <w:rPr>
          <w:szCs w:val="22"/>
        </w:rPr>
        <w:t xml:space="preserve">Variables from the </w:t>
      </w:r>
      <w:r w:rsidR="00FE0651" w:rsidRPr="001A04ED">
        <w:rPr>
          <w:szCs w:val="22"/>
        </w:rPr>
        <w:t xml:space="preserve">NHTS </w:t>
      </w:r>
      <w:r w:rsidR="00104A79" w:rsidRPr="001A04ED">
        <w:rPr>
          <w:szCs w:val="22"/>
        </w:rPr>
        <w:t>D</w:t>
      </w:r>
      <w:r w:rsidR="00FE0651" w:rsidRPr="001A04ED">
        <w:rPr>
          <w:szCs w:val="22"/>
        </w:rPr>
        <w:t>ata</w:t>
      </w:r>
    </w:p>
    <w:p w14:paraId="0044C802" w14:textId="77777777" w:rsidR="00FE0651" w:rsidRPr="001A04ED" w:rsidRDefault="00FE0651" w:rsidP="00FE0651">
      <w:pPr>
        <w:ind w:firstLine="0"/>
      </w:pPr>
    </w:p>
    <w:p w14:paraId="136259F6" w14:textId="20A6DC2D" w:rsidR="00FE0651" w:rsidRPr="001A04ED" w:rsidRDefault="00FE0651" w:rsidP="00FE0651">
      <w:pPr>
        <w:pStyle w:val="Heading3"/>
        <w:rPr>
          <w:szCs w:val="22"/>
        </w:rPr>
      </w:pPr>
      <w:r w:rsidRPr="001A04ED">
        <w:rPr>
          <w:szCs w:val="22"/>
        </w:rPr>
        <w:t xml:space="preserve">Travel </w:t>
      </w:r>
      <w:r w:rsidR="00B67637" w:rsidRPr="001A04ED">
        <w:rPr>
          <w:szCs w:val="22"/>
        </w:rPr>
        <w:t xml:space="preserve">infrastructure and usage </w:t>
      </w:r>
      <w:r w:rsidRPr="001A04ED">
        <w:rPr>
          <w:szCs w:val="22"/>
        </w:rPr>
        <w:t>related attributes</w:t>
      </w:r>
    </w:p>
    <w:p w14:paraId="17F4BF9E" w14:textId="179E634A" w:rsidR="00550FF6" w:rsidRPr="001A04ED" w:rsidRDefault="005471D5" w:rsidP="005471D5">
      <w:pPr>
        <w:pStyle w:val="1stParagraph"/>
      </w:pPr>
      <w:r w:rsidRPr="001A04ED">
        <w:t xml:space="preserve">Several travel </w:t>
      </w:r>
      <w:r w:rsidR="00B67637" w:rsidRPr="001A04ED">
        <w:t xml:space="preserve">infrastructure and usage </w:t>
      </w:r>
      <w:r w:rsidRPr="001A04ED">
        <w:t xml:space="preserve">related attributes, employed from the NHTS dataset, are found </w:t>
      </w:r>
      <w:r w:rsidR="00274761" w:rsidRPr="001A04ED">
        <w:t xml:space="preserve">to be </w:t>
      </w:r>
      <w:r w:rsidRPr="001A04ED">
        <w:t xml:space="preserve">significant in our model estimation. </w:t>
      </w:r>
      <w:r w:rsidR="00274761" w:rsidRPr="001A04ED">
        <w:t>An</w:t>
      </w:r>
      <w:r w:rsidRPr="001A04ED">
        <w:t xml:space="preserve"> increase in </w:t>
      </w:r>
      <w:r w:rsidR="00BC7966" w:rsidRPr="001A04ED">
        <w:t xml:space="preserve">the </w:t>
      </w:r>
      <w:r w:rsidRPr="001A04ED">
        <w:t>number of vehicles</w:t>
      </w:r>
      <w:r w:rsidR="00333578" w:rsidRPr="001A04ED">
        <w:t xml:space="preserve"> is associated with increased </w:t>
      </w:r>
      <w:r w:rsidRPr="001A04ED">
        <w:t xml:space="preserve">energy consumption for EV charging. </w:t>
      </w:r>
      <w:r w:rsidR="00373A67" w:rsidRPr="001A04ED">
        <w:t>The impact of vehicle type shows that</w:t>
      </w:r>
      <w:r w:rsidR="0042368A" w:rsidRPr="001A04ED">
        <w:t xml:space="preserve"> </w:t>
      </w:r>
      <w:r w:rsidRPr="001A04ED">
        <w:t xml:space="preserve">with an </w:t>
      </w:r>
      <w:r w:rsidR="00F677F2" w:rsidRPr="001A04ED">
        <w:t xml:space="preserve">increase in the </w:t>
      </w:r>
      <w:r w:rsidRPr="001A04ED">
        <w:t>number of pick-up trucks</w:t>
      </w:r>
      <w:r w:rsidR="00F677F2" w:rsidRPr="001A04ED">
        <w:t>,</w:t>
      </w:r>
      <w:r w:rsidRPr="001A04ED">
        <w:t xml:space="preserve"> households are likely to consume the </w:t>
      </w:r>
      <w:r w:rsidR="0042368A" w:rsidRPr="001A04ED">
        <w:t>least</w:t>
      </w:r>
      <w:r w:rsidRPr="001A04ED">
        <w:t xml:space="preserve"> amount of energy for </w:t>
      </w:r>
      <w:r w:rsidR="0042368A" w:rsidRPr="001A04ED">
        <w:t>space heating</w:t>
      </w:r>
      <w:r w:rsidRPr="001A04ED">
        <w:t>.</w:t>
      </w:r>
      <w:r w:rsidR="00F677F2" w:rsidRPr="001A04ED">
        <w:t xml:space="preserve"> </w:t>
      </w:r>
      <w:r w:rsidR="00333578" w:rsidRPr="001A04ED">
        <w:t xml:space="preserve">The result might </w:t>
      </w:r>
      <w:r w:rsidR="003D2088" w:rsidRPr="001A04ED">
        <w:t xml:space="preserve">suggest </w:t>
      </w:r>
      <w:r w:rsidR="00A61CF4" w:rsidRPr="001A04ED">
        <w:t>a lifestyle</w:t>
      </w:r>
      <w:r w:rsidR="005C6584" w:rsidRPr="001A04ED">
        <w:t xml:space="preserve"> that involve</w:t>
      </w:r>
      <w:r w:rsidR="00903E21" w:rsidRPr="001A04ED">
        <w:t>s</w:t>
      </w:r>
      <w:r w:rsidR="005C6584" w:rsidRPr="001A04ED">
        <w:t xml:space="preserve"> </w:t>
      </w:r>
      <w:r w:rsidR="00903E21" w:rsidRPr="001A04ED">
        <w:t>less time spent indoors</w:t>
      </w:r>
      <w:r w:rsidR="00AA20EA" w:rsidRPr="001A04ED">
        <w:t xml:space="preserve"> and </w:t>
      </w:r>
      <w:r w:rsidR="00333578" w:rsidRPr="001A04ED">
        <w:t xml:space="preserve">possibly </w:t>
      </w:r>
      <w:r w:rsidR="009D7F10" w:rsidRPr="001A04ED">
        <w:t>lowers</w:t>
      </w:r>
      <w:r w:rsidR="00BE6772" w:rsidRPr="001A04ED">
        <w:t xml:space="preserve"> </w:t>
      </w:r>
      <w:r w:rsidR="009D7F10" w:rsidRPr="001A04ED">
        <w:t xml:space="preserve">the demand for space heating. </w:t>
      </w:r>
      <w:r w:rsidR="00200A2E" w:rsidRPr="001A04ED">
        <w:t>T</w:t>
      </w:r>
      <w:r w:rsidR="001215EF" w:rsidRPr="001A04ED">
        <w:t>he</w:t>
      </w:r>
      <w:r w:rsidR="00200A2E" w:rsidRPr="001A04ED">
        <w:t xml:space="preserve"> impact of fuel type shows </w:t>
      </w:r>
      <w:r w:rsidR="001215EF" w:rsidRPr="001A04ED">
        <w:t>that</w:t>
      </w:r>
      <w:r w:rsidR="006063BC" w:rsidRPr="001A04ED">
        <w:t xml:space="preserve"> with the increase in number of hybrid vehicles</w:t>
      </w:r>
      <w:r w:rsidR="00333578" w:rsidRPr="001A04ED">
        <w:t>,</w:t>
      </w:r>
      <w:r w:rsidR="006063BC" w:rsidRPr="001A04ED">
        <w:t xml:space="preserve"> </w:t>
      </w:r>
      <w:r w:rsidR="00ED32D6" w:rsidRPr="001A04ED">
        <w:t>households</w:t>
      </w:r>
      <w:r w:rsidR="00CE7B0B" w:rsidRPr="001A04ED">
        <w:t>’ energy consumption for EV charging is likely to increase</w:t>
      </w:r>
      <w:r w:rsidR="00384550" w:rsidRPr="001A04ED">
        <w:t xml:space="preserve">. </w:t>
      </w:r>
    </w:p>
    <w:p w14:paraId="73B31707" w14:textId="1CA4B0DE" w:rsidR="005471D5" w:rsidRPr="001A04ED" w:rsidRDefault="005471D5" w:rsidP="00D05549">
      <w:r w:rsidRPr="001A04ED">
        <w:t xml:space="preserve">Furthermore, </w:t>
      </w:r>
      <w:r w:rsidR="00CA451E" w:rsidRPr="001A04ED">
        <w:t xml:space="preserve">it can be seen from the table that </w:t>
      </w:r>
      <w:r w:rsidR="00D24B5A" w:rsidRPr="001A04ED">
        <w:t xml:space="preserve">as the </w:t>
      </w:r>
      <w:r w:rsidR="00310A0A" w:rsidRPr="001A04ED">
        <w:t>vehicle mileage</w:t>
      </w:r>
      <w:r w:rsidR="00C1678F" w:rsidRPr="001A04ED">
        <w:t xml:space="preserve"> increases</w:t>
      </w:r>
      <w:r w:rsidR="0062313E" w:rsidRPr="001A04ED">
        <w:t>,</w:t>
      </w:r>
      <w:r w:rsidR="00310A0A" w:rsidRPr="001A04ED">
        <w:t xml:space="preserve"> </w:t>
      </w:r>
      <w:r w:rsidR="00CA451E" w:rsidRPr="001A04ED">
        <w:t>households</w:t>
      </w:r>
      <w:r w:rsidR="00C1678F" w:rsidRPr="001A04ED">
        <w:t xml:space="preserve"> are more likely </w:t>
      </w:r>
      <w:r w:rsidR="00310A0A" w:rsidRPr="001A04ED">
        <w:t xml:space="preserve">to consume energy </w:t>
      </w:r>
      <w:r w:rsidR="00CA451E" w:rsidRPr="001A04ED">
        <w:t xml:space="preserve">for </w:t>
      </w:r>
      <w:r w:rsidR="00310A0A" w:rsidRPr="001A04ED">
        <w:t>cooling and ventilation</w:t>
      </w:r>
      <w:r w:rsidR="00CA451E" w:rsidRPr="001A04ED">
        <w:t>.</w:t>
      </w:r>
      <w:r w:rsidR="00057A07" w:rsidRPr="001A04ED">
        <w:t xml:space="preserve"> The result indicates </w:t>
      </w:r>
      <w:r w:rsidR="0045523E" w:rsidRPr="001A04ED">
        <w:t xml:space="preserve">the demand for a more comfortable indoor environment </w:t>
      </w:r>
      <w:r w:rsidR="000C1399" w:rsidRPr="001A04ED">
        <w:t xml:space="preserve">after </w:t>
      </w:r>
      <w:r w:rsidR="00D24B5A" w:rsidRPr="001A04ED">
        <w:t>extended period of commuting</w:t>
      </w:r>
      <w:r w:rsidR="00760AEA" w:rsidRPr="001A04ED">
        <w:t>.</w:t>
      </w:r>
      <w:r w:rsidR="0062313E" w:rsidRPr="001A04ED">
        <w:t xml:space="preserve"> Further, the </w:t>
      </w:r>
      <w:r w:rsidR="002039B2" w:rsidRPr="001A04ED">
        <w:t>number</w:t>
      </w:r>
      <w:r w:rsidR="0062313E" w:rsidRPr="001A04ED">
        <w:t xml:space="preserve"> of intercity train</w:t>
      </w:r>
      <w:r w:rsidR="00FE62A5" w:rsidRPr="001A04ED">
        <w:t xml:space="preserve"> trips</w:t>
      </w:r>
      <w:r w:rsidR="0062313E" w:rsidRPr="001A04ED">
        <w:t xml:space="preserve"> represents </w:t>
      </w:r>
      <w:r w:rsidR="001325E7" w:rsidRPr="001A04ED">
        <w:t xml:space="preserve">the likelihood that </w:t>
      </w:r>
      <w:r w:rsidR="00AD109D" w:rsidRPr="001A04ED">
        <w:t>household members</w:t>
      </w:r>
      <w:r w:rsidR="001325E7" w:rsidRPr="001A04ED">
        <w:t xml:space="preserve"> are</w:t>
      </w:r>
      <w:r w:rsidR="00AD109D" w:rsidRPr="001A04ED">
        <w:t xml:space="preserve"> </w:t>
      </w:r>
      <w:r w:rsidR="00E906B8" w:rsidRPr="001A04ED">
        <w:t>away</w:t>
      </w:r>
      <w:r w:rsidR="00021EFE" w:rsidRPr="001A04ED">
        <w:t xml:space="preserve"> from</w:t>
      </w:r>
      <w:r w:rsidR="00AD109D" w:rsidRPr="001A04ED">
        <w:t xml:space="preserve"> home for a longer period</w:t>
      </w:r>
      <w:r w:rsidR="00C37BBB" w:rsidRPr="001A04ED">
        <w:t xml:space="preserve"> or not</w:t>
      </w:r>
      <w:r w:rsidR="00AD109D" w:rsidRPr="001A04ED">
        <w:t>.</w:t>
      </w:r>
      <w:r w:rsidR="00841368" w:rsidRPr="001A04ED">
        <w:t xml:space="preserve"> From the table it is noticeable that, with </w:t>
      </w:r>
      <w:r w:rsidR="00333578" w:rsidRPr="001A04ED">
        <w:t>the increasing</w:t>
      </w:r>
      <w:r w:rsidR="00841368" w:rsidRPr="001A04ED">
        <w:t xml:space="preserve"> </w:t>
      </w:r>
      <w:r w:rsidR="00BF403E" w:rsidRPr="001A04ED">
        <w:t>number of intercity train trips household’s energy consumption for cooling and ventilation decreases</w:t>
      </w:r>
      <w:r w:rsidR="000F7430" w:rsidRPr="001A04ED">
        <w:t xml:space="preserve"> </w:t>
      </w:r>
      <w:r w:rsidR="00944418" w:rsidRPr="001A04ED">
        <w:t xml:space="preserve">significantly. </w:t>
      </w:r>
      <w:r w:rsidR="007D5312" w:rsidRPr="001A04ED">
        <w:t>Similarly, t</w:t>
      </w:r>
      <w:r w:rsidR="008867FE" w:rsidRPr="001A04ED">
        <w:t>he number</w:t>
      </w:r>
      <w:r w:rsidR="003D2FDE" w:rsidRPr="001A04ED">
        <w:t>s</w:t>
      </w:r>
      <w:r w:rsidR="008867FE" w:rsidRPr="001A04ED">
        <w:t xml:space="preserve"> of vehicles </w:t>
      </w:r>
      <w:r w:rsidR="003D2FDE" w:rsidRPr="001A04ED">
        <w:t xml:space="preserve">used for </w:t>
      </w:r>
      <w:r w:rsidR="003D2FDE" w:rsidRPr="001A04ED">
        <w:lastRenderedPageBreak/>
        <w:t xml:space="preserve">business purposes indicate household members’ likelihood </w:t>
      </w:r>
      <w:r w:rsidR="007D5312" w:rsidRPr="001A04ED">
        <w:t>of spending</w:t>
      </w:r>
      <w:r w:rsidR="003D2FDE" w:rsidRPr="001A04ED">
        <w:t xml:space="preserve"> </w:t>
      </w:r>
      <w:r w:rsidR="004F28D5" w:rsidRPr="001A04ED">
        <w:t xml:space="preserve">more time </w:t>
      </w:r>
      <w:r w:rsidR="003D2FDE" w:rsidRPr="001A04ED">
        <w:t xml:space="preserve">outside of the </w:t>
      </w:r>
      <w:r w:rsidR="004F28D5" w:rsidRPr="001A04ED">
        <w:t>home</w:t>
      </w:r>
      <w:r w:rsidR="003D2FDE" w:rsidRPr="001A04ED">
        <w:t xml:space="preserve">. It </w:t>
      </w:r>
      <w:r w:rsidR="004F28D5" w:rsidRPr="001A04ED">
        <w:t>can be noticed</w:t>
      </w:r>
      <w:r w:rsidR="003D2FDE" w:rsidRPr="001A04ED">
        <w:t xml:space="preserve"> that with an increase in </w:t>
      </w:r>
      <w:r w:rsidR="00BD6870" w:rsidRPr="001A04ED">
        <w:t>such</w:t>
      </w:r>
      <w:r w:rsidR="003D2FDE" w:rsidRPr="001A04ED">
        <w:t xml:space="preserve"> vehicles</w:t>
      </w:r>
      <w:r w:rsidR="00BD6870" w:rsidRPr="001A04ED">
        <w:t>, households</w:t>
      </w:r>
      <w:r w:rsidR="003D2FDE" w:rsidRPr="001A04ED">
        <w:t xml:space="preserve"> </w:t>
      </w:r>
      <w:r w:rsidR="00235C9B" w:rsidRPr="001A04ED">
        <w:t>are likely to decline the</w:t>
      </w:r>
      <w:r w:rsidR="003C1022" w:rsidRPr="001A04ED">
        <w:t>ir</w:t>
      </w:r>
      <w:r w:rsidR="00235C9B" w:rsidRPr="001A04ED">
        <w:t xml:space="preserve"> usage of cooling and ventilatio</w:t>
      </w:r>
      <w:r w:rsidR="003C1022" w:rsidRPr="001A04ED">
        <w:t>n</w:t>
      </w:r>
      <w:r w:rsidR="00235C9B" w:rsidRPr="001A04ED">
        <w:t xml:space="preserve"> appliances. </w:t>
      </w:r>
    </w:p>
    <w:p w14:paraId="566DB264" w14:textId="77777777" w:rsidR="00AF552C" w:rsidRPr="001A04ED" w:rsidRDefault="00AF552C" w:rsidP="00AF552C">
      <w:pPr>
        <w:ind w:firstLine="0"/>
      </w:pPr>
    </w:p>
    <w:p w14:paraId="3B1FF91A" w14:textId="37623384" w:rsidR="005471D5" w:rsidRPr="001A04ED" w:rsidRDefault="005471D5" w:rsidP="005471D5">
      <w:pPr>
        <w:pStyle w:val="Heading3"/>
        <w:rPr>
          <w:szCs w:val="22"/>
        </w:rPr>
      </w:pPr>
      <w:r w:rsidRPr="001A04ED">
        <w:rPr>
          <w:szCs w:val="22"/>
        </w:rPr>
        <w:t>Socioeconomic attributes</w:t>
      </w:r>
    </w:p>
    <w:p w14:paraId="7790A925" w14:textId="716930EB" w:rsidR="00E950A3" w:rsidRPr="001A04ED" w:rsidRDefault="00E950A3" w:rsidP="00E950A3">
      <w:pPr>
        <w:pStyle w:val="1stParagraph"/>
      </w:pPr>
      <w:r w:rsidRPr="001A04ED">
        <w:t xml:space="preserve">Only </w:t>
      </w:r>
      <w:r w:rsidR="003C1022" w:rsidRPr="001A04ED">
        <w:t>one</w:t>
      </w:r>
      <w:r w:rsidRPr="001A04ED">
        <w:t xml:space="preserve"> socioeconomic characteristic from the NHTS data –</w:t>
      </w:r>
      <w:r w:rsidR="003C1022" w:rsidRPr="001A04ED">
        <w:t xml:space="preserve"> </w:t>
      </w:r>
      <w:r w:rsidRPr="001A04ED">
        <w:t>number of workers – are found significant in our model. It can be observed that</w:t>
      </w:r>
      <w:r w:rsidR="003D5AB7" w:rsidRPr="001A04ED">
        <w:t>,</w:t>
      </w:r>
      <w:r w:rsidRPr="001A04ED">
        <w:t xml:space="preserve"> with the increase in </w:t>
      </w:r>
      <w:r w:rsidR="00333578" w:rsidRPr="001A04ED">
        <w:t xml:space="preserve">the </w:t>
      </w:r>
      <w:r w:rsidRPr="001A04ED">
        <w:t xml:space="preserve">number of workers, household energy consumption for washing and drying are noticed to decrease. The results </w:t>
      </w:r>
      <w:r w:rsidR="00333578" w:rsidRPr="001A04ED">
        <w:t xml:space="preserve">potentially highlight </w:t>
      </w:r>
      <w:r w:rsidRPr="001A04ED">
        <w:t xml:space="preserve">the </w:t>
      </w:r>
      <w:r w:rsidR="00F529D0" w:rsidRPr="001A04ED">
        <w:t>reduced usage</w:t>
      </w:r>
      <w:r w:rsidRPr="001A04ED">
        <w:t xml:space="preserve"> of these end-uses </w:t>
      </w:r>
      <w:r w:rsidR="0037489A" w:rsidRPr="001A04ED">
        <w:t>as more</w:t>
      </w:r>
      <w:r w:rsidRPr="001A04ED">
        <w:t xml:space="preserve"> household members </w:t>
      </w:r>
      <w:r w:rsidR="00BA29CF" w:rsidRPr="001A04ED">
        <w:t xml:space="preserve">stay away from home </w:t>
      </w:r>
      <w:r w:rsidRPr="001A04ED">
        <w:t>for work</w:t>
      </w:r>
      <w:r w:rsidR="00333578" w:rsidRPr="001A04ED">
        <w:t xml:space="preserve"> activities</w:t>
      </w:r>
      <w:r w:rsidRPr="001A04ED">
        <w:t>.</w:t>
      </w:r>
    </w:p>
    <w:p w14:paraId="274602F9" w14:textId="77777777" w:rsidR="005471D5" w:rsidRPr="001A04ED" w:rsidRDefault="005471D5" w:rsidP="005471D5">
      <w:pPr>
        <w:ind w:firstLine="0"/>
      </w:pPr>
    </w:p>
    <w:p w14:paraId="40E722FF" w14:textId="77777777" w:rsidR="00333578" w:rsidRPr="001A04ED" w:rsidRDefault="00333578" w:rsidP="0037489A">
      <w:pPr>
        <w:pStyle w:val="Heading3"/>
        <w:rPr>
          <w:szCs w:val="22"/>
        </w:rPr>
      </w:pPr>
      <w:r w:rsidRPr="001A04ED">
        <w:rPr>
          <w:szCs w:val="22"/>
        </w:rPr>
        <w:t>Satiation Parameter</w:t>
      </w:r>
    </w:p>
    <w:p w14:paraId="7E365784" w14:textId="143D4969" w:rsidR="00333578" w:rsidRPr="001A04ED" w:rsidRDefault="002C6A94" w:rsidP="00333578">
      <w:pPr>
        <w:pStyle w:val="1stParagraph"/>
      </w:pPr>
      <w:r w:rsidRPr="001A04ED">
        <w:t>S</w:t>
      </w:r>
      <w:r w:rsidR="00333578" w:rsidRPr="001A04ED">
        <w:t>atiation parameters are estimated only for the non-outside categories in our study. Space heating is found to have the highest satiation implying a rapid drop of its marginal utility for energy usages. This indicates a smaller usage level of energy for space heating. On the other hand, cooking has the lowest satiation value</w:t>
      </w:r>
      <w:r w:rsidR="00770F27" w:rsidRPr="001A04ED">
        <w:t xml:space="preserve"> among all alternatives</w:t>
      </w:r>
      <w:r w:rsidR="00333578" w:rsidRPr="001A04ED">
        <w:t>.</w:t>
      </w:r>
    </w:p>
    <w:p w14:paraId="283CCE31" w14:textId="77777777" w:rsidR="00333578" w:rsidRPr="001A04ED" w:rsidRDefault="00333578" w:rsidP="005471D5">
      <w:pPr>
        <w:ind w:firstLine="0"/>
      </w:pPr>
    </w:p>
    <w:p w14:paraId="6CE04440" w14:textId="51C9D487" w:rsidR="005471D5" w:rsidRPr="001A04ED" w:rsidRDefault="005471D5" w:rsidP="002E30F5">
      <w:pPr>
        <w:pStyle w:val="Heading2"/>
        <w:rPr>
          <w:szCs w:val="22"/>
        </w:rPr>
      </w:pPr>
      <w:r w:rsidRPr="001A04ED">
        <w:rPr>
          <w:szCs w:val="22"/>
        </w:rPr>
        <w:t xml:space="preserve">Weight </w:t>
      </w:r>
      <w:r w:rsidR="00104A79" w:rsidRPr="001A04ED">
        <w:rPr>
          <w:szCs w:val="22"/>
        </w:rPr>
        <w:t>C</w:t>
      </w:r>
      <w:r w:rsidR="002E30F5" w:rsidRPr="001A04ED">
        <w:rPr>
          <w:szCs w:val="22"/>
        </w:rPr>
        <w:t>omponent</w:t>
      </w:r>
    </w:p>
    <w:p w14:paraId="710F3A2C" w14:textId="0401D338" w:rsidR="00624567" w:rsidRPr="001A04ED" w:rsidRDefault="00197993" w:rsidP="00624567">
      <w:pPr>
        <w:pStyle w:val="1stParagraph"/>
      </w:pPr>
      <w:r w:rsidRPr="001A04ED">
        <w:t xml:space="preserve">There are </w:t>
      </w:r>
      <w:r w:rsidR="00333578" w:rsidRPr="001A04ED">
        <w:t xml:space="preserve">seven </w:t>
      </w:r>
      <w:r w:rsidRPr="001A04ED">
        <w:t>common variables present in both the RECS and the NHTS datasets. For the fusion model,</w:t>
      </w:r>
      <w:r w:rsidR="00AF63DA" w:rsidRPr="001A04ED">
        <w:t xml:space="preserve"> </w:t>
      </w:r>
      <w:r w:rsidR="00333578" w:rsidRPr="001A04ED">
        <w:t>five</w:t>
      </w:r>
      <w:r w:rsidRPr="001A04ED">
        <w:t xml:space="preserve"> of these variables – </w:t>
      </w:r>
      <w:r w:rsidR="009859FA" w:rsidRPr="001A04ED">
        <w:t xml:space="preserve">household division, household location, household ownership, </w:t>
      </w:r>
      <w:r w:rsidR="0076685C" w:rsidRPr="001A04ED">
        <w:t xml:space="preserve">household region and </w:t>
      </w:r>
      <w:r w:rsidRPr="001A04ED">
        <w:t>household size</w:t>
      </w:r>
      <w:r w:rsidR="00AF63DA" w:rsidRPr="001A04ED">
        <w:t xml:space="preserve"> – were utilized</w:t>
      </w:r>
      <w:r w:rsidRPr="001A04ED">
        <w:t xml:space="preserve">. </w:t>
      </w:r>
      <w:r w:rsidR="00120C5A" w:rsidRPr="001A04ED">
        <w:t>The remaining two variables</w:t>
      </w:r>
      <w:r w:rsidRPr="001A04ED">
        <w:t xml:space="preserve"> – household income</w:t>
      </w:r>
      <w:r w:rsidR="00120C5A" w:rsidRPr="001A04ED">
        <w:t xml:space="preserve"> and hous</w:t>
      </w:r>
      <w:r w:rsidR="00AC7C3E" w:rsidRPr="001A04ED">
        <w:t>ing types</w:t>
      </w:r>
      <w:r w:rsidRPr="001A04ED">
        <w:t xml:space="preserve"> – </w:t>
      </w:r>
      <w:r w:rsidR="00961309" w:rsidRPr="001A04ED">
        <w:t>are</w:t>
      </w:r>
      <w:r w:rsidRPr="001A04ED">
        <w:t xml:space="preserve"> present in both datasets but </w:t>
      </w:r>
      <w:r w:rsidR="00961309" w:rsidRPr="001A04ED">
        <w:t>were</w:t>
      </w:r>
      <w:r w:rsidRPr="001A04ED">
        <w:t xml:space="preserve"> not used for fusion. So, </w:t>
      </w:r>
      <w:r w:rsidR="00961309" w:rsidRPr="001A04ED">
        <w:t>two</w:t>
      </w:r>
      <w:r w:rsidR="00333578" w:rsidRPr="001A04ED">
        <w:t xml:space="preserve"> binary</w:t>
      </w:r>
      <w:r w:rsidRPr="001A04ED">
        <w:t xml:space="preserve"> indicator variable</w:t>
      </w:r>
      <w:r w:rsidR="00961309" w:rsidRPr="001A04ED">
        <w:t>s</w:t>
      </w:r>
      <w:r w:rsidRPr="001A04ED">
        <w:t xml:space="preserve"> w</w:t>
      </w:r>
      <w:r w:rsidR="00961309" w:rsidRPr="001A04ED">
        <w:t>ere</w:t>
      </w:r>
      <w:r w:rsidRPr="001A04ED">
        <w:t xml:space="preserve"> created</w:t>
      </w:r>
      <w:r w:rsidR="00333578" w:rsidRPr="001A04ED">
        <w:t xml:space="preserve"> such that the binary variable</w:t>
      </w:r>
      <w:r w:rsidR="003215EB" w:rsidRPr="001A04ED">
        <w:t>s</w:t>
      </w:r>
      <w:r w:rsidR="00333578" w:rsidRPr="001A04ED">
        <w:t xml:space="preserve"> </w:t>
      </w:r>
      <w:r w:rsidR="003215EB" w:rsidRPr="001A04ED">
        <w:t>will</w:t>
      </w:r>
      <w:r w:rsidR="00333578" w:rsidRPr="001A04ED">
        <w:t xml:space="preserve"> take a value of</w:t>
      </w:r>
      <w:r w:rsidRPr="001A04ED">
        <w:t xml:space="preserve"> one if the variable</w:t>
      </w:r>
      <w:r w:rsidR="00220470" w:rsidRPr="001A04ED">
        <w:t>s</w:t>
      </w:r>
      <w:r w:rsidRPr="001A04ED">
        <w:t xml:space="preserve"> </w:t>
      </w:r>
      <w:r w:rsidR="00686A43" w:rsidRPr="001A04ED">
        <w:t>match</w:t>
      </w:r>
      <w:r w:rsidRPr="001A04ED">
        <w:t xml:space="preserve"> in both datasets and zero otherwise. However, the</w:t>
      </w:r>
      <w:r w:rsidR="00785724" w:rsidRPr="001A04ED">
        <w:t>se</w:t>
      </w:r>
      <w:r w:rsidRPr="001A04ED">
        <w:t xml:space="preserve"> </w:t>
      </w:r>
      <w:r w:rsidR="00333578" w:rsidRPr="001A04ED">
        <w:t xml:space="preserve">binary indicator </w:t>
      </w:r>
      <w:r w:rsidRPr="001A04ED">
        <w:t>variable</w:t>
      </w:r>
      <w:r w:rsidR="00686A43" w:rsidRPr="001A04ED">
        <w:t>s were</w:t>
      </w:r>
      <w:r w:rsidRPr="001A04ED">
        <w:t xml:space="preserve"> not found to provide any significant impact in our modeling framework. The result</w:t>
      </w:r>
      <w:r w:rsidR="00686A43" w:rsidRPr="001A04ED">
        <w:t>s</w:t>
      </w:r>
      <w:r w:rsidRPr="001A04ED">
        <w:t xml:space="preserve"> indicate that all the NHTS records fused to each RECS record provide similar impact in the model.  </w:t>
      </w:r>
    </w:p>
    <w:p w14:paraId="20F6E3A5" w14:textId="77777777" w:rsidR="00624567" w:rsidRPr="001A04ED" w:rsidRDefault="00624567" w:rsidP="00624567">
      <w:pPr>
        <w:pStyle w:val="1stParagraph"/>
      </w:pPr>
    </w:p>
    <w:p w14:paraId="30835F83" w14:textId="242E581C" w:rsidR="0087391C" w:rsidRPr="001A04ED" w:rsidRDefault="001D0629" w:rsidP="00624567">
      <w:pPr>
        <w:pStyle w:val="Heading1"/>
      </w:pPr>
      <w:r w:rsidRPr="001A04ED">
        <w:t>Elasticity Effect Analysis</w:t>
      </w:r>
    </w:p>
    <w:p w14:paraId="327F9853" w14:textId="76C2E8E3" w:rsidR="00D700CA" w:rsidRPr="001A04ED" w:rsidRDefault="005C6D6E" w:rsidP="005C6D6E">
      <w:pPr>
        <w:pStyle w:val="1stParagraph"/>
      </w:pPr>
      <w:r w:rsidRPr="001A04ED">
        <w:t xml:space="preserve">The coefficients of the independent variables in Table </w:t>
      </w:r>
      <w:r w:rsidR="00A35140" w:rsidRPr="001A04ED">
        <w:t>3</w:t>
      </w:r>
      <w:r w:rsidRPr="001A04ED">
        <w:t xml:space="preserve"> do not directly provide the exact </w:t>
      </w:r>
      <w:r w:rsidR="00382202" w:rsidRPr="001A04ED">
        <w:t>effect of variables on household’s</w:t>
      </w:r>
      <w:r w:rsidR="00E33140" w:rsidRPr="001A04ED">
        <w:t xml:space="preserve"> end-use energy demand. </w:t>
      </w:r>
      <w:r w:rsidR="0061711C" w:rsidRPr="001A04ED">
        <w:t xml:space="preserve">The impact of the variables might change </w:t>
      </w:r>
      <w:r w:rsidR="00A1623E" w:rsidRPr="001A04ED">
        <w:t xml:space="preserve">across different end-uses. </w:t>
      </w:r>
      <w:r w:rsidR="002727DD" w:rsidRPr="001A04ED">
        <w:t>To evaluate this variability, the elasticity of the variables</w:t>
      </w:r>
      <w:r w:rsidR="009B3C0D" w:rsidRPr="001A04ED">
        <w:t xml:space="preserve"> is computed</w:t>
      </w:r>
      <w:r w:rsidR="002727DD" w:rsidRPr="001A04ED">
        <w:t>. More specifically, the percentage change</w:t>
      </w:r>
      <w:r w:rsidR="009B3C0D" w:rsidRPr="001A04ED">
        <w:t>s</w:t>
      </w:r>
      <w:r w:rsidR="002727DD" w:rsidRPr="001A04ED">
        <w:t xml:space="preserve"> in the </w:t>
      </w:r>
      <w:r w:rsidR="004B67F0" w:rsidRPr="001A04ED">
        <w:t xml:space="preserve">energy </w:t>
      </w:r>
      <w:r w:rsidR="00BD747C" w:rsidRPr="001A04ED">
        <w:t>consumption</w:t>
      </w:r>
      <w:r w:rsidR="004B67F0" w:rsidRPr="001A04ED">
        <w:t xml:space="preserve"> of various end-use categories</w:t>
      </w:r>
      <w:r w:rsidR="009B3C0D" w:rsidRPr="001A04ED">
        <w:t xml:space="preserve"> are estimated</w:t>
      </w:r>
      <w:r w:rsidR="002727DD" w:rsidRPr="001A04ED">
        <w:t xml:space="preserve"> in response to any change in the explanatory variables. For continuous independent variables</w:t>
      </w:r>
      <w:r w:rsidR="00663C7E" w:rsidRPr="001A04ED">
        <w:t xml:space="preserve"> (such as annual mileage)</w:t>
      </w:r>
      <w:r w:rsidR="002727DD" w:rsidRPr="001A04ED">
        <w:t xml:space="preserve"> in the model</w:t>
      </w:r>
      <w:r w:rsidR="00663C7E" w:rsidRPr="001A04ED">
        <w:t xml:space="preserve">, </w:t>
      </w:r>
      <w:r w:rsidR="002727DD" w:rsidRPr="001A04ED">
        <w:t>the change was conducted in an increment of 10% (see</w:t>
      </w:r>
      <w:r w:rsidR="00D903E9" w:rsidRPr="001A04ED">
        <w:t xml:space="preserve"> </w:t>
      </w:r>
      <w:r w:rsidR="00D903E9" w:rsidRPr="001A04ED">
        <w:fldChar w:fldCharType="begin" w:fldLock="1"/>
      </w:r>
      <w:r w:rsidR="00273110" w:rsidRPr="001A04ED">
        <w:instrText>ADDIN CSL_CITATION {"citationItems":[{"id":"ITEM-1","itemData":{"DOI":"10.1016/J.AMAR.2021.100202","ISSN":"2213-6657","abstract":"The current research contributes to the burgeoning literature on multivariate models by proposing a hybrid model framework that (a) incorporates unobserved heterogeneity in a parsimonious framework and (b) allows for additional flexibility to accommodate for observed/systematic heterogeneity. Specifically, we estimate a Latent Segmentation Panel Mixed Negative Binomial (LPMNB) model to study the zonal level crash counts across different crash types. Further, we undertake a comparison exercise of the proposed hybrid LPMNB model with a Panel Mixed Negative Binomial model (PMNB) that accommodates for unobserved heterogeneity via a simulation setting. The analysis is conducted using the zonal level crash records by different crash types from Central Florida region for the year 2016 considering a comprehensive set of exogenous variables. The comparison exercise is further augmented by computing several goodness of fit measures along with elasticity analysis and the results offered by the LPMNB model highlight the value of the proposed model. Further, to offer insights on model selection incorporating computational complexity dimension along with other important attributes, we conduct a trade-off analysis considering four different attributes: (a) model fit, (b) prediction, (c) inference power and (d) computational complexity; across six different model strictures including traditional crash frequency models and our proposed LPMNB model.","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Research","id":"ITEM-1","issued":{"date-parts":[["2022","3","1"]]},"page":"100202","publisher":"Elsevier","title":"Accommodating for systematic and unobserved heterogeneity in panel data: Application to macro-level crash modeling","type":"article-journal","volume":"33"},"uris":["http://www.mendeley.com/documents/?uuid=0a7b16de-6e85-348a-9b3b-735271b70a67"]}],"mendeley":{"formattedCitation":"(Bhowmik et al., 2022)","plainTextFormattedCitation":"(Bhowmik et al., 2022)","previouslyFormattedCitation":"(Bhowmik et al., 2022)"},"properties":{"noteIndex":0},"schema":"https://github.com/citation-style-language/schema/raw/master/csl-citation.json"}</w:instrText>
      </w:r>
      <w:r w:rsidR="00D903E9" w:rsidRPr="001A04ED">
        <w:fldChar w:fldCharType="separate"/>
      </w:r>
      <w:r w:rsidR="008C37C1" w:rsidRPr="001A04ED">
        <w:rPr>
          <w:noProof/>
        </w:rPr>
        <w:t>(Bhowmik et al., 2022)</w:t>
      </w:r>
      <w:r w:rsidR="00D903E9" w:rsidRPr="001A04ED">
        <w:fldChar w:fldCharType="end"/>
      </w:r>
      <w:r w:rsidR="00D903E9" w:rsidRPr="001A04ED">
        <w:t xml:space="preserve"> </w:t>
      </w:r>
      <w:r w:rsidR="002727DD" w:rsidRPr="001A04ED">
        <w:t xml:space="preserve">for similar analysis). </w:t>
      </w:r>
      <w:r w:rsidR="00663C7E" w:rsidRPr="001A04ED">
        <w:t>For count variables</w:t>
      </w:r>
      <w:r w:rsidR="00017251" w:rsidRPr="001A04ED">
        <w:t xml:space="preserve"> (such as household size,</w:t>
      </w:r>
      <w:r w:rsidR="007F7203" w:rsidRPr="001A04ED">
        <w:t xml:space="preserve"> </w:t>
      </w:r>
      <w:r w:rsidR="00017251" w:rsidRPr="001A04ED">
        <w:t>number of adults and number of vehicles</w:t>
      </w:r>
      <w:r w:rsidR="007F7203" w:rsidRPr="001A04ED">
        <w:t>)</w:t>
      </w:r>
      <w:r w:rsidR="00663C7E" w:rsidRPr="001A04ED">
        <w:t xml:space="preserve">, the change was conducted </w:t>
      </w:r>
      <w:r w:rsidR="00F92F8D" w:rsidRPr="001A04ED">
        <w:t xml:space="preserve">in an increment of one unit. </w:t>
      </w:r>
      <w:r w:rsidR="002727DD" w:rsidRPr="001A04ED">
        <w:t>For indicator variables</w:t>
      </w:r>
      <w:r w:rsidR="006737F0" w:rsidRPr="001A04ED">
        <w:t xml:space="preserve"> (such as urban area and Caucasian American household)</w:t>
      </w:r>
      <w:r w:rsidR="002727DD" w:rsidRPr="001A04ED">
        <w:t>, the change was obtained by changing the value of the variable to one for the subsample of observations for which the variable takes a value of zero and vice-versa (see</w:t>
      </w:r>
      <w:r w:rsidR="00824143" w:rsidRPr="001A04ED">
        <w:t xml:space="preserve"> </w:t>
      </w:r>
      <w:r w:rsidR="00824143" w:rsidRPr="001A04ED">
        <w:fldChar w:fldCharType="begin" w:fldLock="1"/>
      </w:r>
      <w:r w:rsidR="00273110" w:rsidRPr="001A04ED">
        <w:instrText>ADDIN CSL_CITATION {"citationItems":[{"id":"ITEM-1","itemData":{"DOI":"10.1016/J.AMAR.2020.100129","ISSN":"2213-6657","abstract":"Road traffic crashes remain a major concern globally resulting in loss of life and worsening the quality of life and productivity of the crash survivors. The current study contributes to road safety literature by focusing on developing high resolution crash severity models based on driver injury severity reported using Abbreviated Injury Scale (AIS) by body region. For this purpose, the research develops a joint random parameters multivariate model structure with as many dimensions as severity by body location. The proposed model system is developed using Crash Injury Research Engineering Network (CIREN) data, which includes patients admitted to trauma centers due to a crash from 2005 to 2015. The dataset contained information about a comprehensive set of exogenous variables including driver characteristics, vehicle characteristics, crash characteristics, roadway characteristics, and environmental characteristics. The empirical analysis involves the estimation of Random Parameters Multivariate Generalized Ordered Probit Model that allows for the influence of common unobserved factors affecting the vehicle occupant severity across body locations. The model estimation results are further augmented by conducting elasticity analysis to highlight the differential impact of various factors on severity across body regions.","author":[{"dropping-particle":"","family":"Kabli","given":"Ahmed","non-dropping-particle":"","parse-names":false,"suffix":""},{"dropping-particle":"","family":"Bhowmik","given":"Tanmoy","non-dropping-particle":"","parse-names":false,"suffix":""},{"dropping-particle":"","family":"Eluru","given":"Naveen","non-dropping-particle":"","parse-names":false,"suffix":""}],"container-title":"Analytic Methods in Accident Research","id":"ITEM-1","issued":{"date-parts":[["2020","12","1"]]},"page":"100129","publisher":"Elsevier","title":"A multivariate approach for modeling driver injury severity by body region","type":"article-journal","volume":"28"},"uris":["http://www.mendeley.com/documents/?uuid=e279dd7d-e7ad-3e76-95e0-af352db010ad"]}],"mendeley":{"formattedCitation":"(Kabli et al., 2020)","plainTextFormattedCitation":"(Kabli et al., 2020)","previouslyFormattedCitation":"(Kabli et al., 2020)"},"properties":{"noteIndex":0},"schema":"https://github.com/citation-style-language/schema/raw/master/csl-citation.json"}</w:instrText>
      </w:r>
      <w:r w:rsidR="00824143" w:rsidRPr="001A04ED">
        <w:fldChar w:fldCharType="separate"/>
      </w:r>
      <w:r w:rsidR="008C37C1" w:rsidRPr="001A04ED">
        <w:rPr>
          <w:noProof/>
        </w:rPr>
        <w:t>(Kabli et al., 2020)</w:t>
      </w:r>
      <w:r w:rsidR="00824143" w:rsidRPr="001A04ED">
        <w:fldChar w:fldCharType="end"/>
      </w:r>
      <w:r w:rsidR="002727DD" w:rsidRPr="001A04ED">
        <w:t xml:space="preserve"> for similar analysis). The elasticity effects </w:t>
      </w:r>
      <w:r w:rsidR="00824143" w:rsidRPr="001A04ED">
        <w:t xml:space="preserve">of the variables </w:t>
      </w:r>
      <w:r w:rsidR="002727DD" w:rsidRPr="001A04ED">
        <w:t xml:space="preserve">are shown in </w:t>
      </w:r>
      <w:r w:rsidR="006F54F1" w:rsidRPr="001A04ED">
        <w:t>Figure</w:t>
      </w:r>
      <w:r w:rsidR="009B5085" w:rsidRPr="001A04ED">
        <w:t xml:space="preserve"> 7 and 8</w:t>
      </w:r>
      <w:r w:rsidR="002727DD" w:rsidRPr="001A04ED">
        <w:t>.</w:t>
      </w:r>
      <w:r w:rsidR="009B5085" w:rsidRPr="001A04ED">
        <w:t xml:space="preserve"> Figure 7 represents </w:t>
      </w:r>
      <w:r w:rsidR="00CD3549" w:rsidRPr="001A04ED">
        <w:t xml:space="preserve">the elasticity effects of the RECS variables </w:t>
      </w:r>
      <w:r w:rsidR="005C75C9" w:rsidRPr="001A04ED">
        <w:t xml:space="preserve">in </w:t>
      </w:r>
      <w:r w:rsidR="00050087" w:rsidRPr="001A04ED">
        <w:t xml:space="preserve">both RECS only </w:t>
      </w:r>
      <w:r w:rsidR="005C75C9" w:rsidRPr="001A04ED">
        <w:t>model</w:t>
      </w:r>
      <w:r w:rsidR="00050087" w:rsidRPr="001A04ED">
        <w:t xml:space="preserve"> (before fusion) and fusion model (after fusion). </w:t>
      </w:r>
      <w:r w:rsidR="001F7D32" w:rsidRPr="001A04ED">
        <w:t xml:space="preserve">The exercise was conducted to illustrate how in the absence of travel </w:t>
      </w:r>
      <w:r w:rsidR="00B67637" w:rsidRPr="001A04ED">
        <w:t xml:space="preserve">infrastructure and usage </w:t>
      </w:r>
      <w:r w:rsidR="001F7D32" w:rsidRPr="001A04ED">
        <w:t xml:space="preserve">related variables, other variables from RECS are either over-estimated or under-estimated.  </w:t>
      </w:r>
      <w:r w:rsidR="00922BFF" w:rsidRPr="001A04ED">
        <w:t xml:space="preserve">Figure 8 represents the </w:t>
      </w:r>
      <w:r w:rsidR="0016576D" w:rsidRPr="001A04ED">
        <w:t>elasticity effect</w:t>
      </w:r>
      <w:r w:rsidR="008C1B46" w:rsidRPr="001A04ED">
        <w:t xml:space="preserve">s of the </w:t>
      </w:r>
      <w:r w:rsidR="001F7D32" w:rsidRPr="001A04ED">
        <w:t xml:space="preserve">newly added </w:t>
      </w:r>
      <w:r w:rsidR="008C1B46" w:rsidRPr="001A04ED">
        <w:t xml:space="preserve">NHTS variables. </w:t>
      </w:r>
      <w:r w:rsidR="00AE3D85" w:rsidRPr="001A04ED">
        <w:t xml:space="preserve">For the sake of </w:t>
      </w:r>
      <w:r w:rsidR="00F5697A" w:rsidRPr="001A04ED">
        <w:t>space,</w:t>
      </w:r>
      <w:r w:rsidR="00AE3D85" w:rsidRPr="001A04ED">
        <w:t xml:space="preserve"> the four highest changing </w:t>
      </w:r>
      <w:r w:rsidR="00F5697A" w:rsidRPr="001A04ED">
        <w:t xml:space="preserve">end-uses </w:t>
      </w:r>
      <w:r w:rsidR="00816D27" w:rsidRPr="001A04ED">
        <w:t>for</w:t>
      </w:r>
      <w:r w:rsidR="00F5697A" w:rsidRPr="001A04ED">
        <w:t xml:space="preserve"> each of these NHTS variables</w:t>
      </w:r>
      <w:r w:rsidR="00D26A54" w:rsidRPr="001A04ED">
        <w:t xml:space="preserve"> are presented</w:t>
      </w:r>
      <w:r w:rsidR="00F5697A" w:rsidRPr="001A04ED">
        <w:t>.</w:t>
      </w:r>
    </w:p>
    <w:p w14:paraId="7F06D70E" w14:textId="5C683FCE" w:rsidR="00D5287C" w:rsidRPr="001A04ED" w:rsidRDefault="008F5E23" w:rsidP="00B1459F">
      <w:r w:rsidRPr="001A04ED">
        <w:t xml:space="preserve">From the </w:t>
      </w:r>
      <w:r w:rsidR="00D5287C" w:rsidRPr="001A04ED">
        <w:t>figures</w:t>
      </w:r>
      <w:r w:rsidR="005F47C1" w:rsidRPr="001A04ED">
        <w:t xml:space="preserve">, several observations can be made. </w:t>
      </w:r>
      <w:r w:rsidR="00657787" w:rsidRPr="001A04ED">
        <w:rPr>
          <w:i/>
          <w:iCs/>
        </w:rPr>
        <w:t>First</w:t>
      </w:r>
      <w:r w:rsidR="00657787" w:rsidRPr="001A04ED">
        <w:t xml:space="preserve">, </w:t>
      </w:r>
      <w:r w:rsidR="003E53AB" w:rsidRPr="001A04ED">
        <w:t>it can be noticed from Figure 7 that</w:t>
      </w:r>
      <w:r w:rsidR="008764BD" w:rsidRPr="001A04ED">
        <w:t xml:space="preserve"> the </w:t>
      </w:r>
      <w:r w:rsidR="00B1459F" w:rsidRPr="001A04ED">
        <w:t>elasticity of RECS variables with and without NHTS variables changes significantly for some alternatives</w:t>
      </w:r>
      <w:r w:rsidR="00DD2CE4" w:rsidRPr="001A04ED">
        <w:t xml:space="preserve">, </w:t>
      </w:r>
      <w:r w:rsidR="00692D3A" w:rsidRPr="001A04ED">
        <w:t>f</w:t>
      </w:r>
      <w:r w:rsidR="00B1459F" w:rsidRPr="001A04ED">
        <w:t xml:space="preserve">or example, </w:t>
      </w:r>
      <w:r w:rsidR="00692D3A" w:rsidRPr="001A04ED">
        <w:t>the impact of household size on</w:t>
      </w:r>
      <w:r w:rsidR="00B1459F" w:rsidRPr="001A04ED">
        <w:t xml:space="preserve"> cooling and ventilation. </w:t>
      </w:r>
      <w:r w:rsidR="00E63AE6" w:rsidRPr="001A04ED">
        <w:t xml:space="preserve">A significant increment </w:t>
      </w:r>
      <w:r w:rsidR="00F73EFE" w:rsidRPr="001A04ED">
        <w:t>of the elasticity can be noticed in the fusion model</w:t>
      </w:r>
      <w:r w:rsidR="000B08BF" w:rsidRPr="001A04ED">
        <w:t xml:space="preserve">, </w:t>
      </w:r>
      <w:r w:rsidR="00575A5F" w:rsidRPr="001A04ED">
        <w:t>w</w:t>
      </w:r>
      <w:r w:rsidR="00B1459F" w:rsidRPr="001A04ED">
        <w:t xml:space="preserve">hile an obvious reduction in elasticity magnitude </w:t>
      </w:r>
      <w:r w:rsidR="00575A5F" w:rsidRPr="001A04ED">
        <w:t xml:space="preserve">is expected </w:t>
      </w:r>
      <w:r w:rsidR="00B1459F" w:rsidRPr="001A04ED">
        <w:t xml:space="preserve">once NHTS variables are introduced. These results clearly show how mis-specification bias inflates the magnitudes of variables from RECS dataset. </w:t>
      </w:r>
      <w:r w:rsidR="00DC1ABC" w:rsidRPr="001A04ED">
        <w:rPr>
          <w:i/>
          <w:iCs/>
        </w:rPr>
        <w:t>Second</w:t>
      </w:r>
      <w:r w:rsidR="00DC1ABC" w:rsidRPr="001A04ED">
        <w:t xml:space="preserve">, </w:t>
      </w:r>
      <w:r w:rsidR="003141D5" w:rsidRPr="001A04ED">
        <w:t>with an increase in household size</w:t>
      </w:r>
      <w:r w:rsidR="002C6D6F" w:rsidRPr="001A04ED">
        <w:t>, household energy consumption for water heating</w:t>
      </w:r>
      <w:r w:rsidR="001B4A29" w:rsidRPr="001A04ED">
        <w:t>,</w:t>
      </w:r>
      <w:r w:rsidR="002C6D6F" w:rsidRPr="001A04ED">
        <w:t xml:space="preserve"> washing and </w:t>
      </w:r>
      <w:r w:rsidR="00811B9A" w:rsidRPr="001A04ED">
        <w:t>dry</w:t>
      </w:r>
      <w:r w:rsidR="002C6D6F" w:rsidRPr="001A04ED">
        <w:t>ing</w:t>
      </w:r>
      <w:r w:rsidR="00632FC5" w:rsidRPr="001A04ED">
        <w:t xml:space="preserve"> and lighting</w:t>
      </w:r>
      <w:r w:rsidR="002C6D6F" w:rsidRPr="001A04ED">
        <w:t xml:space="preserve"> </w:t>
      </w:r>
      <w:r w:rsidR="00B839CF" w:rsidRPr="001A04ED">
        <w:t>experience</w:t>
      </w:r>
      <w:r w:rsidR="00224704" w:rsidRPr="001A04ED">
        <w:t xml:space="preserve"> a significant </w:t>
      </w:r>
      <w:r w:rsidR="001B4A29" w:rsidRPr="001A04ED">
        <w:t>increase</w:t>
      </w:r>
      <w:r w:rsidR="008044C4" w:rsidRPr="001A04ED">
        <w:t xml:space="preserve">. </w:t>
      </w:r>
      <w:r w:rsidR="00A75D2C" w:rsidRPr="001A04ED">
        <w:t xml:space="preserve">For one additional household member, energy consumption for water heating increases by 10%, washing and drying </w:t>
      </w:r>
      <w:r w:rsidR="00A75D2C" w:rsidRPr="001A04ED">
        <w:lastRenderedPageBreak/>
        <w:t xml:space="preserve">increases by 12% and lighting increases by 3%. </w:t>
      </w:r>
      <w:r w:rsidR="00561738" w:rsidRPr="001A04ED">
        <w:t>At the same time</w:t>
      </w:r>
      <w:r w:rsidR="00903DCC" w:rsidRPr="001A04ED">
        <w:t xml:space="preserve">, </w:t>
      </w:r>
      <w:r w:rsidR="00561738" w:rsidRPr="001A04ED">
        <w:t xml:space="preserve">energy consumption </w:t>
      </w:r>
      <w:r w:rsidR="00604492" w:rsidRPr="001A04ED">
        <w:t>for space heating and refrigeration</w:t>
      </w:r>
      <w:r w:rsidR="00903DCC" w:rsidRPr="001A04ED">
        <w:t xml:space="preserve"> are found to </w:t>
      </w:r>
      <w:r w:rsidR="00561738" w:rsidRPr="001A04ED">
        <w:t>reduce</w:t>
      </w:r>
      <w:r w:rsidR="00903DCC" w:rsidRPr="001A04ED">
        <w:t>.</w:t>
      </w:r>
      <w:r w:rsidR="007A33D5" w:rsidRPr="001A04ED">
        <w:t xml:space="preserve"> Further, for an additional adult member in the household, energy consumption for refrigeration increases by 5%, cooking increases by 3% and miscellaneous activities increases by 9%. </w:t>
      </w:r>
      <w:r w:rsidR="00EC6D34" w:rsidRPr="001A04ED">
        <w:rPr>
          <w:i/>
          <w:iCs/>
        </w:rPr>
        <w:t>Third</w:t>
      </w:r>
      <w:r w:rsidR="00EC6D34" w:rsidRPr="001A04ED">
        <w:t>,</w:t>
      </w:r>
      <w:r w:rsidR="00604492" w:rsidRPr="001A04ED">
        <w:t xml:space="preserve"> </w:t>
      </w:r>
      <w:r w:rsidR="00082F9A" w:rsidRPr="001A04ED">
        <w:t xml:space="preserve">Figure 8 represents </w:t>
      </w:r>
      <w:r w:rsidR="00EB31FD" w:rsidRPr="001A04ED">
        <w:t xml:space="preserve">the impact of various travel </w:t>
      </w:r>
      <w:r w:rsidR="00B67637" w:rsidRPr="001A04ED">
        <w:t xml:space="preserve">infrastructure and usage </w:t>
      </w:r>
      <w:r w:rsidR="00EB31FD" w:rsidRPr="001A04ED">
        <w:t xml:space="preserve">related variables </w:t>
      </w:r>
      <w:r w:rsidR="008170B8" w:rsidRPr="001A04ED">
        <w:t xml:space="preserve">on energy end-uses. It can be observed that, </w:t>
      </w:r>
      <w:r w:rsidR="00F54920" w:rsidRPr="001A04ED">
        <w:t>with a</w:t>
      </w:r>
      <w:r w:rsidR="00133AD0" w:rsidRPr="001A04ED">
        <w:t>n</w:t>
      </w:r>
      <w:r w:rsidR="00F54920" w:rsidRPr="001A04ED">
        <w:t xml:space="preserve"> addition</w:t>
      </w:r>
      <w:r w:rsidR="00B542C7" w:rsidRPr="001A04ED">
        <w:t xml:space="preserve">al vehicle in the household, the energy demand for EV charging </w:t>
      </w:r>
      <w:r w:rsidR="00B1459F" w:rsidRPr="001A04ED">
        <w:t xml:space="preserve">increases </w:t>
      </w:r>
      <w:r w:rsidR="00DC7AD0" w:rsidRPr="001A04ED">
        <w:t>significant</w:t>
      </w:r>
      <w:r w:rsidR="00B1459F" w:rsidRPr="001A04ED">
        <w:t>ly</w:t>
      </w:r>
      <w:r w:rsidR="00442CF8" w:rsidRPr="001A04ED">
        <w:t xml:space="preserve">. </w:t>
      </w:r>
      <w:r w:rsidR="003F1810" w:rsidRPr="001A04ED">
        <w:rPr>
          <w:i/>
          <w:iCs/>
        </w:rPr>
        <w:t>Fourth</w:t>
      </w:r>
      <w:r w:rsidR="005524AB" w:rsidRPr="001A04ED">
        <w:t xml:space="preserve">, </w:t>
      </w:r>
      <w:r w:rsidR="00133AD0" w:rsidRPr="001A04ED">
        <w:t xml:space="preserve">with an increase in the number of hybrid vehicles </w:t>
      </w:r>
      <w:r w:rsidR="00A30007" w:rsidRPr="001A04ED">
        <w:t xml:space="preserve">in the household, the energy consumption </w:t>
      </w:r>
      <w:r w:rsidR="002956F1" w:rsidRPr="001A04ED">
        <w:t xml:space="preserve">for EV charging also increases. </w:t>
      </w:r>
      <w:r w:rsidR="003F1810" w:rsidRPr="001A04ED">
        <w:rPr>
          <w:i/>
          <w:iCs/>
        </w:rPr>
        <w:t>Fifth</w:t>
      </w:r>
      <w:r w:rsidR="002B4359" w:rsidRPr="001A04ED">
        <w:t xml:space="preserve">, </w:t>
      </w:r>
      <w:r w:rsidR="00CE3C36" w:rsidRPr="001A04ED">
        <w:t xml:space="preserve">with an increase in the number of </w:t>
      </w:r>
      <w:r w:rsidR="00D1056A" w:rsidRPr="001A04ED">
        <w:t>vehicles used for commercial purpose</w:t>
      </w:r>
      <w:r w:rsidR="000556E5" w:rsidRPr="001A04ED">
        <w:t xml:space="preserve">s, household </w:t>
      </w:r>
      <w:r w:rsidR="0098602F" w:rsidRPr="001A04ED">
        <w:t xml:space="preserve">energy consumption for EV charging </w:t>
      </w:r>
      <w:r w:rsidR="0065130A" w:rsidRPr="001A04ED">
        <w:t xml:space="preserve">also </w:t>
      </w:r>
      <w:r w:rsidR="009F4828" w:rsidRPr="001A04ED">
        <w:t xml:space="preserve">increases implying </w:t>
      </w:r>
      <w:r w:rsidR="009864A2" w:rsidRPr="001A04ED">
        <w:t>an increased utilization</w:t>
      </w:r>
      <w:r w:rsidR="009F4828" w:rsidRPr="001A04ED">
        <w:t xml:space="preserve"> of EV</w:t>
      </w:r>
      <w:r w:rsidR="009864A2" w:rsidRPr="001A04ED">
        <w:t>(s)</w:t>
      </w:r>
      <w:r w:rsidR="009F4828" w:rsidRPr="001A04ED">
        <w:t xml:space="preserve"> for</w:t>
      </w:r>
      <w:r w:rsidR="009864A2" w:rsidRPr="001A04ED">
        <w:t xml:space="preserve"> commercial purposes.</w:t>
      </w:r>
      <w:r w:rsidR="002A49BA" w:rsidRPr="001A04ED">
        <w:t xml:space="preserve"> </w:t>
      </w:r>
      <w:r w:rsidR="0082014E" w:rsidRPr="001A04ED">
        <w:rPr>
          <w:i/>
          <w:iCs/>
        </w:rPr>
        <w:t>Finally</w:t>
      </w:r>
      <w:r w:rsidR="0082014E" w:rsidRPr="001A04ED">
        <w:t>, household energy consumption for cooling and ventilation</w:t>
      </w:r>
      <w:r w:rsidR="00627F32" w:rsidRPr="001A04ED">
        <w:t xml:space="preserve"> is noticed to</w:t>
      </w:r>
      <w:r w:rsidR="0082014E" w:rsidRPr="001A04ED">
        <w:t xml:space="preserve"> increase with an increment </w:t>
      </w:r>
      <w:r w:rsidR="00FF37A8" w:rsidRPr="001A04ED">
        <w:t xml:space="preserve">in household annual mileage but decrease with an increased number of </w:t>
      </w:r>
      <w:r w:rsidR="008A1143" w:rsidRPr="001A04ED">
        <w:t xml:space="preserve">long-distance trips. </w:t>
      </w:r>
      <w:r w:rsidR="00A27872" w:rsidRPr="001A04ED">
        <w:t xml:space="preserve"> </w:t>
      </w:r>
      <w:r w:rsidR="003E53AB" w:rsidRPr="001A04ED">
        <w:t xml:space="preserve"> </w:t>
      </w:r>
    </w:p>
    <w:p w14:paraId="2408737B" w14:textId="77777777" w:rsidR="0025410F" w:rsidRPr="001A04ED" w:rsidRDefault="0025410F" w:rsidP="0001760C">
      <w:pPr>
        <w:pStyle w:val="1stParagraph"/>
        <w:sectPr w:rsidR="0025410F" w:rsidRPr="001A04ED" w:rsidSect="003B3AC2">
          <w:type w:val="continuous"/>
          <w:pgSz w:w="12240" w:h="15840"/>
          <w:pgMar w:top="1440" w:right="1440" w:bottom="1440" w:left="1440" w:header="720" w:footer="720" w:gutter="0"/>
          <w:cols w:space="720"/>
          <w:docGrid w:linePitch="360"/>
        </w:sectPr>
      </w:pPr>
    </w:p>
    <w:p w14:paraId="6CBDA559" w14:textId="118A1A8E" w:rsidR="00CF4489" w:rsidRPr="001A04ED" w:rsidRDefault="00517C08" w:rsidP="008E126E">
      <w:pPr>
        <w:pStyle w:val="1stParagraph"/>
        <w:jc w:val="center"/>
      </w:pPr>
      <w:r w:rsidRPr="001A04ED">
        <w:rPr>
          <w:noProof/>
          <w14:ligatures w14:val="standardContextual"/>
        </w:rPr>
        <w:lastRenderedPageBreak/>
        <w:drawing>
          <wp:inline distT="0" distB="0" distL="0" distR="0" wp14:anchorId="7A297CB8" wp14:editId="7B00D739">
            <wp:extent cx="8229600" cy="5486400"/>
            <wp:effectExtent l="0" t="0" r="0" b="0"/>
            <wp:docPr id="103798369" name="Picture 4" descr="A group of graphs showing different sizes and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8369" name="Picture 4" descr="A group of graphs showing different sizes and colors&#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8229600" cy="5486400"/>
                    </a:xfrm>
                    <a:prstGeom prst="rect">
                      <a:avLst/>
                    </a:prstGeom>
                  </pic:spPr>
                </pic:pic>
              </a:graphicData>
            </a:graphic>
          </wp:inline>
        </w:drawing>
      </w:r>
    </w:p>
    <w:p w14:paraId="286050F5" w14:textId="58ABEF0B" w:rsidR="00F86736" w:rsidRPr="001A04ED" w:rsidRDefault="008050A1" w:rsidP="008E126E">
      <w:pPr>
        <w:pStyle w:val="1stParagraph"/>
        <w:jc w:val="center"/>
        <w:rPr>
          <w:b/>
          <w:bCs/>
        </w:rPr>
      </w:pPr>
      <w:r w:rsidRPr="001A04ED">
        <w:rPr>
          <w:b/>
          <w:bCs/>
        </w:rPr>
        <w:t>Figure 7</w:t>
      </w:r>
      <w:r w:rsidR="000D2540" w:rsidRPr="001A04ED">
        <w:rPr>
          <w:b/>
          <w:bCs/>
        </w:rPr>
        <w:t xml:space="preserve">: </w:t>
      </w:r>
      <w:r w:rsidR="00735860" w:rsidRPr="001A04ED">
        <w:rPr>
          <w:b/>
          <w:bCs/>
        </w:rPr>
        <w:t xml:space="preserve">Impact of data fusion on the elasticity effects </w:t>
      </w:r>
      <w:r w:rsidR="0083076A" w:rsidRPr="001A04ED">
        <w:rPr>
          <w:b/>
          <w:bCs/>
        </w:rPr>
        <w:t>of the independent variables from RECS data</w:t>
      </w:r>
    </w:p>
    <w:p w14:paraId="7342F0A6" w14:textId="6E3DCBD0" w:rsidR="00406E85" w:rsidRPr="001A04ED" w:rsidRDefault="00406E85" w:rsidP="0001760C">
      <w:pPr>
        <w:pStyle w:val="1stParagraph"/>
        <w:sectPr w:rsidR="00406E85" w:rsidRPr="001A04ED" w:rsidSect="003B3AC2">
          <w:type w:val="continuous"/>
          <w:pgSz w:w="15840" w:h="12240" w:orient="landscape"/>
          <w:pgMar w:top="1440" w:right="1440" w:bottom="1440" w:left="1440" w:header="720" w:footer="720" w:gutter="0"/>
          <w:cols w:space="720"/>
          <w:docGrid w:linePitch="360"/>
        </w:sectPr>
      </w:pPr>
    </w:p>
    <w:p w14:paraId="3E47C3FD" w14:textId="02CCADDB" w:rsidR="0001760C" w:rsidRPr="001A04ED" w:rsidRDefault="00A965C9" w:rsidP="008E126E">
      <w:pPr>
        <w:pStyle w:val="1stParagraph"/>
        <w:jc w:val="center"/>
      </w:pPr>
      <w:r w:rsidRPr="001A04ED">
        <w:rPr>
          <w:noProof/>
          <w14:ligatures w14:val="standardContextual"/>
        </w:rPr>
        <w:lastRenderedPageBreak/>
        <w:drawing>
          <wp:inline distT="0" distB="0" distL="0" distR="0" wp14:anchorId="0136696D" wp14:editId="3903E5FC">
            <wp:extent cx="5943600" cy="7132320"/>
            <wp:effectExtent l="0" t="0" r="0" b="0"/>
            <wp:docPr id="825130521" name="Picture 7" descr="A graph of a number of work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130521" name="Picture 7" descr="A graph of a number of workers&#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943600" cy="7132320"/>
                    </a:xfrm>
                    <a:prstGeom prst="rect">
                      <a:avLst/>
                    </a:prstGeom>
                  </pic:spPr>
                </pic:pic>
              </a:graphicData>
            </a:graphic>
          </wp:inline>
        </w:drawing>
      </w:r>
    </w:p>
    <w:p w14:paraId="09FE48E4" w14:textId="6B4FA018" w:rsidR="00040CD1" w:rsidRPr="001A04ED" w:rsidRDefault="00040CD1" w:rsidP="008E126E">
      <w:pPr>
        <w:pStyle w:val="1stParagraph"/>
        <w:jc w:val="center"/>
        <w:rPr>
          <w:b/>
          <w:bCs/>
        </w:rPr>
      </w:pPr>
      <w:r w:rsidRPr="001A04ED">
        <w:rPr>
          <w:b/>
          <w:bCs/>
        </w:rPr>
        <w:t>F</w:t>
      </w:r>
      <w:r w:rsidR="009D3204" w:rsidRPr="001A04ED">
        <w:rPr>
          <w:b/>
          <w:bCs/>
        </w:rPr>
        <w:t>igure 8</w:t>
      </w:r>
      <w:r w:rsidR="000D2540" w:rsidRPr="001A04ED">
        <w:rPr>
          <w:b/>
          <w:bCs/>
        </w:rPr>
        <w:t xml:space="preserve">: </w:t>
      </w:r>
      <w:r w:rsidR="009D3204" w:rsidRPr="001A04ED">
        <w:rPr>
          <w:b/>
          <w:bCs/>
        </w:rPr>
        <w:t xml:space="preserve">Elasticity effects of </w:t>
      </w:r>
      <w:r w:rsidR="00651A4D" w:rsidRPr="001A04ED">
        <w:rPr>
          <w:b/>
          <w:bCs/>
        </w:rPr>
        <w:t xml:space="preserve">variables </w:t>
      </w:r>
      <w:r w:rsidR="00BD747C" w:rsidRPr="001A04ED">
        <w:rPr>
          <w:b/>
          <w:bCs/>
        </w:rPr>
        <w:t xml:space="preserve">from NHTS data </w:t>
      </w:r>
      <w:r w:rsidR="00651A4D" w:rsidRPr="001A04ED">
        <w:rPr>
          <w:b/>
          <w:bCs/>
        </w:rPr>
        <w:t>obtained after data fusion</w:t>
      </w:r>
    </w:p>
    <w:p w14:paraId="458CE37D" w14:textId="77777777" w:rsidR="00D874EB" w:rsidRPr="001A04ED" w:rsidRDefault="00D874EB" w:rsidP="008E126E">
      <w:pPr>
        <w:pStyle w:val="1stParagraph"/>
        <w:jc w:val="center"/>
        <w:rPr>
          <w:b/>
          <w:bCs/>
        </w:rPr>
      </w:pPr>
    </w:p>
    <w:p w14:paraId="0906F538" w14:textId="26B71CA0" w:rsidR="000A11AA" w:rsidRPr="001A04ED" w:rsidRDefault="0082075A" w:rsidP="000A11AA">
      <w:pPr>
        <w:pStyle w:val="Heading1"/>
      </w:pPr>
      <w:r w:rsidRPr="001A04ED">
        <w:t>Policy analysis</w:t>
      </w:r>
    </w:p>
    <w:p w14:paraId="33C5AC06" w14:textId="17B43838" w:rsidR="006E0B05" w:rsidRPr="001A04ED" w:rsidRDefault="00093E89" w:rsidP="006E0B05">
      <w:pPr>
        <w:ind w:firstLine="0"/>
      </w:pPr>
      <w:r w:rsidRPr="001A04ED">
        <w:t xml:space="preserve">To </w:t>
      </w:r>
      <w:r w:rsidR="00FB20EB" w:rsidRPr="001A04ED">
        <w:t xml:space="preserve">illustrate </w:t>
      </w:r>
      <w:r w:rsidRPr="001A04ED">
        <w:t xml:space="preserve">the </w:t>
      </w:r>
      <w:r w:rsidR="001C2CDD" w:rsidRPr="001A04ED">
        <w:t>implementation of our proposed methodology, i</w:t>
      </w:r>
      <w:r w:rsidR="006E0B05" w:rsidRPr="001A04ED">
        <w:t xml:space="preserve">n this section, the impacts of different weather conditions and EV ownership on household end use energy demand as well as their variations </w:t>
      </w:r>
      <w:r w:rsidR="006E0B05" w:rsidRPr="001A04ED">
        <w:lastRenderedPageBreak/>
        <w:t>between urban and rural areas are evaluated. To perform these analyses, a synthetic household is considered. The characteristics of the synthetic household are as follows:</w:t>
      </w:r>
    </w:p>
    <w:p w14:paraId="12543E9E" w14:textId="77777777" w:rsidR="006E0B05" w:rsidRPr="001A04ED" w:rsidRDefault="006E0B05" w:rsidP="006E0B05">
      <w:pPr>
        <w:pStyle w:val="ListParagraph"/>
        <w:numPr>
          <w:ilvl w:val="0"/>
          <w:numId w:val="5"/>
        </w:numPr>
        <w:ind w:left="360"/>
      </w:pPr>
      <w:r w:rsidRPr="001A04ED">
        <w:t>Household size: 5</w:t>
      </w:r>
    </w:p>
    <w:p w14:paraId="2BD70F23" w14:textId="77777777" w:rsidR="006E0B05" w:rsidRPr="001A04ED" w:rsidRDefault="006E0B05" w:rsidP="006E0B05">
      <w:pPr>
        <w:pStyle w:val="ListParagraph"/>
        <w:numPr>
          <w:ilvl w:val="0"/>
          <w:numId w:val="5"/>
        </w:numPr>
        <w:ind w:left="360"/>
      </w:pPr>
      <w:r w:rsidRPr="001A04ED">
        <w:t>Number of adults: 2</w:t>
      </w:r>
    </w:p>
    <w:p w14:paraId="715F1FA3" w14:textId="77777777" w:rsidR="006E0B05" w:rsidRPr="001A04ED" w:rsidRDefault="006E0B05" w:rsidP="006E0B05">
      <w:pPr>
        <w:pStyle w:val="ListParagraph"/>
        <w:numPr>
          <w:ilvl w:val="0"/>
          <w:numId w:val="5"/>
        </w:numPr>
        <w:ind w:left="360"/>
      </w:pPr>
      <w:r w:rsidRPr="001A04ED">
        <w:t>Number of workers: 2</w:t>
      </w:r>
    </w:p>
    <w:p w14:paraId="5AF92CDC" w14:textId="77777777" w:rsidR="006E0B05" w:rsidRPr="001A04ED" w:rsidRDefault="006E0B05" w:rsidP="006E0B05">
      <w:pPr>
        <w:pStyle w:val="ListParagraph"/>
        <w:numPr>
          <w:ilvl w:val="0"/>
          <w:numId w:val="5"/>
        </w:numPr>
        <w:ind w:left="360"/>
      </w:pPr>
      <w:r w:rsidRPr="001A04ED">
        <w:t>Household income: more than $100,000</w:t>
      </w:r>
    </w:p>
    <w:p w14:paraId="7AA05801" w14:textId="77777777" w:rsidR="006E0B05" w:rsidRPr="001A04ED" w:rsidRDefault="006E0B05" w:rsidP="006E0B05">
      <w:pPr>
        <w:pStyle w:val="ListParagraph"/>
        <w:numPr>
          <w:ilvl w:val="0"/>
          <w:numId w:val="5"/>
        </w:numPr>
        <w:ind w:left="360"/>
      </w:pPr>
      <w:r w:rsidRPr="001A04ED">
        <w:t>Number of vehicles: 2</w:t>
      </w:r>
    </w:p>
    <w:p w14:paraId="60F30DEF" w14:textId="77777777" w:rsidR="006E0B05" w:rsidRPr="001A04ED" w:rsidRDefault="006E0B05" w:rsidP="006E0B05">
      <w:pPr>
        <w:pStyle w:val="ListParagraph"/>
        <w:numPr>
          <w:ilvl w:val="0"/>
          <w:numId w:val="5"/>
        </w:numPr>
        <w:ind w:left="360"/>
      </w:pPr>
      <w:r w:rsidRPr="001A04ED">
        <w:t>Number of pickup trucks: 1</w:t>
      </w:r>
    </w:p>
    <w:p w14:paraId="665FFB2C" w14:textId="77777777" w:rsidR="006E0B05" w:rsidRPr="001A04ED" w:rsidRDefault="006E0B05" w:rsidP="006E0B05">
      <w:pPr>
        <w:pStyle w:val="ListParagraph"/>
        <w:numPr>
          <w:ilvl w:val="0"/>
          <w:numId w:val="5"/>
        </w:numPr>
        <w:ind w:left="360"/>
      </w:pPr>
      <w:r w:rsidRPr="001A04ED">
        <w:t>Number of hybrid vehicles: 1</w:t>
      </w:r>
    </w:p>
    <w:p w14:paraId="7A2127EB" w14:textId="77777777" w:rsidR="006E0B05" w:rsidRPr="001A04ED" w:rsidRDefault="006E0B05" w:rsidP="006E0B05">
      <w:pPr>
        <w:pStyle w:val="ListParagraph"/>
        <w:numPr>
          <w:ilvl w:val="0"/>
          <w:numId w:val="5"/>
        </w:numPr>
        <w:ind w:left="360"/>
      </w:pPr>
      <w:r w:rsidRPr="001A04ED">
        <w:t>Number of intercity train trips in a year: 10</w:t>
      </w:r>
    </w:p>
    <w:p w14:paraId="6AEFD3CA" w14:textId="77777777" w:rsidR="006E0B05" w:rsidRPr="001A04ED" w:rsidRDefault="006E0B05" w:rsidP="006E0B05">
      <w:pPr>
        <w:pStyle w:val="ListParagraph"/>
        <w:numPr>
          <w:ilvl w:val="0"/>
          <w:numId w:val="5"/>
        </w:numPr>
        <w:ind w:left="360"/>
      </w:pPr>
      <w:r w:rsidRPr="001A04ED">
        <w:t>Annual mileage: 30,000</w:t>
      </w:r>
    </w:p>
    <w:p w14:paraId="1ADDFAE0" w14:textId="79812831" w:rsidR="006E0B05" w:rsidRPr="001A04ED" w:rsidRDefault="006E0B05" w:rsidP="006E0B05">
      <w:pPr>
        <w:pStyle w:val="ListParagraph"/>
        <w:numPr>
          <w:ilvl w:val="0"/>
          <w:numId w:val="5"/>
        </w:numPr>
        <w:ind w:left="360"/>
      </w:pPr>
      <w:r w:rsidRPr="001A04ED">
        <w:t xml:space="preserve">Number of vehicles used for commercial purpose: 0 </w:t>
      </w:r>
    </w:p>
    <w:p w14:paraId="50EE1713" w14:textId="77777777" w:rsidR="006E0B05" w:rsidRPr="001A04ED" w:rsidRDefault="006E0B05" w:rsidP="006E0B05">
      <w:pPr>
        <w:ind w:firstLine="0"/>
      </w:pPr>
    </w:p>
    <w:p w14:paraId="6C106BE4" w14:textId="705F844E" w:rsidR="00A72237" w:rsidRPr="001A04ED" w:rsidRDefault="006E0B05" w:rsidP="006E0B05">
      <w:pPr>
        <w:ind w:firstLine="0"/>
      </w:pPr>
      <w:r w:rsidRPr="001A04ED">
        <w:t>To evaluate the impact of different weather conditions, different climatic regions presented in Table 2 are considered and their corresponding HDD and CDD values are employed as inputs in the estimated fusion model from Table 3. As reported by the U.S. Energy Information Administration</w:t>
      </w:r>
      <w:r w:rsidR="002E3354" w:rsidRPr="001A04ED">
        <w:t xml:space="preserve"> </w:t>
      </w:r>
      <w:r w:rsidR="00EA62EB" w:rsidRPr="001A04ED">
        <w:t>(EIA)</w:t>
      </w:r>
      <w:r w:rsidRPr="001A04ED">
        <w:t>, the annual HDD (CDD) of the four regions in the year 2023 are as follows: (a) South region: 2,231(2,353), (b) Northeast region: 5,250 (605), (c) Midwest region: 5,681(875) and (d) West region: 4,347(1158)</w:t>
      </w:r>
      <w:r w:rsidR="00374B30" w:rsidRPr="001A04ED">
        <w:t xml:space="preserve"> </w:t>
      </w:r>
      <w:r w:rsidR="00374B30" w:rsidRPr="001A04ED">
        <w:fldChar w:fldCharType="begin" w:fldLock="1"/>
      </w:r>
      <w:r w:rsidR="004C452B" w:rsidRPr="001A04ED">
        <w:instrText>ADDIN CSL_CITATION {"citationItems":[{"id":"ITEM-1","itemData":{"URL":"https://www.eia.gov/energyexplained/units-and-calculators/degree-days.php","author":[{"dropping-particle":"","family":"EIA","given":"","non-dropping-particle":"","parse-names":false,"suffix":""}],"container-title":"U.S. Energy Information Administration","id":"ITEM-1","issued":{"date-parts":[["2024"]]},"title":"Degree days","type":"webpage"},"uris":["http://www.mendeley.com/documents/?uuid=1f0a466b-b0ca-4fce-97de-e1a097788148"]}],"mendeley":{"formattedCitation":"(EIA, 2024a)","plainTextFormattedCitation":"(EIA, 2024a)","previouslyFormattedCitation":"(EIA, 2024a)"},"properties":{"noteIndex":0},"schema":"https://github.com/citation-style-language/schema/raw/master/csl-citation.json"}</w:instrText>
      </w:r>
      <w:r w:rsidR="00374B30" w:rsidRPr="001A04ED">
        <w:fldChar w:fldCharType="separate"/>
      </w:r>
      <w:r w:rsidR="00374B30" w:rsidRPr="001A04ED">
        <w:rPr>
          <w:noProof/>
        </w:rPr>
        <w:t>(EIA, 2024a)</w:t>
      </w:r>
      <w:r w:rsidR="00374B30" w:rsidRPr="001A04ED">
        <w:fldChar w:fldCharType="end"/>
      </w:r>
      <w:r w:rsidRPr="001A04ED">
        <w:t>. Further, to evaluate the impact of EV ownership, the energy consumption for various end-uses is compared under two scenarios: (a) household does not own an EV and (b) household owns an EV. The reader might note that, in the first case, the proposed fusion model in Table 3 is employed to distribute the total household energy across eight end-use categories, excluding the EV charging. In the second case, the total household energy is distributed across all the nine categories. The average household total energy demand in the estimation dataset is considered for this analysis. Finally, to assess the impact of household location, energy demand of the synthetic household is predicted for both urban and rural areas. The impact of different weather conditions and EV ownership in urban and rural areas are presented in Figures 9 and 10.</w:t>
      </w:r>
    </w:p>
    <w:p w14:paraId="0A194405" w14:textId="77777777" w:rsidR="00842D36" w:rsidRPr="001A04ED" w:rsidRDefault="0097273B" w:rsidP="0097273B">
      <w:r w:rsidRPr="001A04ED">
        <w:t>Several observations can be made from these figures. First, the share of space heating for the synthetic household is the highest in the Midwest region and lowest in the south region. Households in both urban and rural areas follow similar patterns. Second, regarding the energy demand for refrigeration and cooling and ventilation, households in both urban and rural areas of south region consume the highest energy. Third, the impact of EV ownership reveals that the synthetic household in the south region consume more energy for EV charging than other regions. Further, for households in all climatic regions, energy demand for EV charging causes significant changes in the energy consumption for space heating and water heating. EV charging is not found to cause significant changes in other end-use categories. Fourth, compared to other end-use categories, energy demand for space heating and water heating exhibits significant variations between urban and rural areas. Finally, households in rural areas are found to consume slightly more energy for EV charging than households in urban areas.</w:t>
      </w:r>
    </w:p>
    <w:p w14:paraId="4024571D" w14:textId="560AA77F" w:rsidR="00E64D8D" w:rsidRPr="001A04ED" w:rsidRDefault="00A95DAF" w:rsidP="00A11DA5">
      <w:r w:rsidRPr="001A04ED">
        <w:rPr>
          <w:rFonts w:cs="Times New Roman"/>
        </w:rPr>
        <w:t>The results provide valuable insights for a diverse range of stakeholders, including energy policymakers, grid operators, urban and rural planning authorities, renewable energy developers, EV manufacturers, real estate developers, and academic researchers. Policymakers and grid operators can utilize these findings to guide energy efficiency programs, assess regional variations in energy demand in response to emerging climate trends, plan infrastructure for EV charging, forecast energy loads, and strategize future capacity expansions. The study also highlights differences in energy consumption between urban and rural households, enabling planners to design more effective energy distribution strategies. The proposed framework can be a potential tool for evaluating the variations in energy demand across different end uses which can aid the renewable energy developers and product manufacturers to build an energy efficient system. Further, understanding regional energy demands for EV charging helps manufacturers in developing their EV marketing strategies and product development. Finally, the findings provide valuable information to the academic researchers for further studies on residential energy consumption, EV integration, and climate-specific energy behavior.</w:t>
      </w:r>
    </w:p>
    <w:p w14:paraId="2B65CA8D" w14:textId="77777777" w:rsidR="00E64D8D" w:rsidRPr="001A04ED" w:rsidRDefault="00E64D8D" w:rsidP="00E64D8D">
      <w:pPr>
        <w:ind w:firstLine="0"/>
        <w:sectPr w:rsidR="00E64D8D" w:rsidRPr="001A04ED" w:rsidSect="003B3AC2">
          <w:type w:val="continuous"/>
          <w:pgSz w:w="12240" w:h="15840"/>
          <w:pgMar w:top="1440" w:right="1440" w:bottom="1440" w:left="1440" w:header="720" w:footer="720" w:gutter="0"/>
          <w:cols w:space="720"/>
          <w:docGrid w:linePitch="360"/>
        </w:sectPr>
      </w:pPr>
    </w:p>
    <w:p w14:paraId="2162458E" w14:textId="211CA5A4" w:rsidR="0097273B" w:rsidRPr="001A04ED" w:rsidRDefault="00E64D8D" w:rsidP="00E64D8D">
      <w:pPr>
        <w:ind w:firstLine="0"/>
      </w:pPr>
      <w:r w:rsidRPr="001A04ED">
        <w:rPr>
          <w:noProof/>
        </w:rPr>
        <w:lastRenderedPageBreak/>
        <w:drawing>
          <wp:inline distT="0" distB="0" distL="0" distR="0" wp14:anchorId="630B51C1" wp14:editId="671E0DE6">
            <wp:extent cx="8229600" cy="4629150"/>
            <wp:effectExtent l="0" t="0" r="0" b="0"/>
            <wp:docPr id="826261330" name="Picture 1" descr="A graph of energy consump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61330" name="Picture 1" descr="A graph of energy consumption&#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4CA223D6" w14:textId="0C80D7C6" w:rsidR="006E0B05" w:rsidRPr="001A04ED" w:rsidRDefault="0075597A" w:rsidP="0075597A">
      <w:pPr>
        <w:ind w:firstLine="0"/>
        <w:jc w:val="center"/>
        <w:rPr>
          <w:b/>
          <w:bCs/>
        </w:rPr>
      </w:pPr>
      <w:r w:rsidRPr="001A04ED">
        <w:rPr>
          <w:b/>
          <w:bCs/>
        </w:rPr>
        <w:t>Figure 9: Impact of weather conditions and EV ownership in urban area</w:t>
      </w:r>
    </w:p>
    <w:p w14:paraId="3B8AA2B8" w14:textId="77777777" w:rsidR="0075597A" w:rsidRPr="001A04ED" w:rsidRDefault="0075597A" w:rsidP="0075597A">
      <w:pPr>
        <w:ind w:firstLine="0"/>
        <w:jc w:val="center"/>
        <w:rPr>
          <w:b/>
          <w:bCs/>
        </w:rPr>
      </w:pPr>
    </w:p>
    <w:p w14:paraId="598638CB" w14:textId="65AB084F" w:rsidR="0075597A" w:rsidRPr="001A04ED" w:rsidRDefault="0075597A" w:rsidP="0075597A">
      <w:pPr>
        <w:ind w:firstLine="0"/>
      </w:pPr>
      <w:r w:rsidRPr="001A04ED">
        <w:rPr>
          <w:noProof/>
        </w:rPr>
        <w:lastRenderedPageBreak/>
        <w:drawing>
          <wp:inline distT="0" distB="0" distL="0" distR="0" wp14:anchorId="6D6A9DB5" wp14:editId="473474AA">
            <wp:extent cx="8229600" cy="4629150"/>
            <wp:effectExtent l="0" t="0" r="0" b="0"/>
            <wp:docPr id="1368361093" name="Picture 2" descr="A graph of different types of ener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61093" name="Picture 2" descr="A graph of different types of energy&#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p>
    <w:p w14:paraId="0171674A" w14:textId="1F04B708" w:rsidR="0075597A" w:rsidRPr="001A04ED" w:rsidRDefault="00D13D7B" w:rsidP="00D13D7B">
      <w:pPr>
        <w:ind w:firstLine="0"/>
        <w:jc w:val="center"/>
        <w:rPr>
          <w:b/>
          <w:bCs/>
        </w:rPr>
      </w:pPr>
      <w:r w:rsidRPr="001A04ED">
        <w:rPr>
          <w:b/>
          <w:bCs/>
        </w:rPr>
        <w:t>Figure 10: Impact of weather conditions and EV ownership in rural areas</w:t>
      </w:r>
    </w:p>
    <w:p w14:paraId="4AA16A07" w14:textId="77777777" w:rsidR="00D13D7B" w:rsidRPr="001A04ED" w:rsidRDefault="00D13D7B" w:rsidP="00D13D7B">
      <w:pPr>
        <w:ind w:firstLine="0"/>
      </w:pPr>
    </w:p>
    <w:p w14:paraId="3E480F84" w14:textId="77777777" w:rsidR="00D13D7B" w:rsidRPr="001A04ED" w:rsidRDefault="00D13D7B" w:rsidP="00D13D7B">
      <w:pPr>
        <w:ind w:firstLine="0"/>
      </w:pPr>
    </w:p>
    <w:p w14:paraId="5F02F320" w14:textId="77777777" w:rsidR="00D13D7B" w:rsidRPr="001A04ED" w:rsidRDefault="00D13D7B" w:rsidP="00D13D7B">
      <w:pPr>
        <w:ind w:firstLine="0"/>
      </w:pPr>
    </w:p>
    <w:p w14:paraId="5C91EA02" w14:textId="77777777" w:rsidR="00C12DBC" w:rsidRPr="001A04ED" w:rsidRDefault="00C12DBC" w:rsidP="00D13D7B">
      <w:pPr>
        <w:ind w:firstLine="0"/>
        <w:sectPr w:rsidR="00C12DBC" w:rsidRPr="001A04ED" w:rsidSect="003B3AC2">
          <w:type w:val="continuous"/>
          <w:pgSz w:w="15840" w:h="12240" w:orient="landscape"/>
          <w:pgMar w:top="1440" w:right="1440" w:bottom="1440" w:left="1440" w:header="720" w:footer="720" w:gutter="0"/>
          <w:cols w:space="720"/>
          <w:docGrid w:linePitch="360"/>
        </w:sectPr>
      </w:pPr>
    </w:p>
    <w:p w14:paraId="1EF787F4" w14:textId="2FF4D486" w:rsidR="001D0629" w:rsidRPr="001A04ED" w:rsidRDefault="001D0629" w:rsidP="004B1C01">
      <w:pPr>
        <w:pStyle w:val="Heading1"/>
        <w:rPr>
          <w:szCs w:val="22"/>
        </w:rPr>
      </w:pPr>
      <w:r w:rsidRPr="001A04ED">
        <w:rPr>
          <w:szCs w:val="22"/>
        </w:rPr>
        <w:lastRenderedPageBreak/>
        <w:t>Conclusion</w:t>
      </w:r>
    </w:p>
    <w:p w14:paraId="5D5842F5" w14:textId="77777777" w:rsidR="005A650D" w:rsidRPr="001A04ED" w:rsidRDefault="005A650D" w:rsidP="00941F16">
      <w:pPr>
        <w:ind w:firstLine="0"/>
      </w:pPr>
      <w:r w:rsidRPr="001A04ED">
        <w:t>Earlier studies examining residential sector energy demand revealed several important determinants of energy demand including – (a) household sociodemographic attributes, (b) dwelling attributes, (c) household appliance-use related attributes and (d) climate related attributes. The considerable body of research on household level residential energy demand does not consider the impact of household residents’ travel infrastructure and usage on energy consumption patterns. The absence of travel infrastructure and usage elements in energy demand models can be attributed to the lack of data providing this information in energy surveys. Transportation survey data on the other hand compiles this information. However, given these data are compiled on different respondents there has not been any consideration for using the datasets together. In this study, we proposed a novel framework that allows us to combine two datasets without any common identifier. The 2020 Residential Energy Consumption Survey (RECS) data and the 2022 National Household Travel Survey (NHTS) data are employed for this fusion exercise. The data fusion is performed based on the common attributes across the two datasets. Seven common variables – household Division (D), household Income (I), household Location (L), household Ownership (O), household Region (R), household Size (S) and housing Type (T) – are present in both RECS and NHTS dataset. Based on these common variables, in our study, 9 variable combinations are examined for data fusion: (1) D-I-L-O-R-S, (2) D-I-L-O-S-T, (3) D-I-L-O-R-T, (4) D-I-L-R-S-T, (5) D-I-R-S-T, (6) D-L-O-R-S, (7) D-L-O-R-S-T, (8) D-L-O-S-T and (9) I-L-O-R-S-T. The dependent variable of interest is energy consumption by end-use dimension (such as space heating, water heating, refrigeration, cooling and ventilation, EV charging, and lighting). Given the multiple discrete nature of the dependent variable, the Multiple Discrete Continuous Extreme Value (MDCEV) model is employed in this analysis. Based on the improvement of the model log-likelihood (relative to the model with only RECS dataset), the optimal variable combination and the optimal fusion size for the corresponding combination are selected. In this study, the optimal fusion model is estimated by fusing 20 NHTS records to each RECS record based on the combination D-L-O-R-S.</w:t>
      </w:r>
    </w:p>
    <w:p w14:paraId="1E0D8C92" w14:textId="77777777" w:rsidR="005A650D" w:rsidRPr="001A04ED" w:rsidRDefault="005A650D" w:rsidP="005A650D">
      <w:r w:rsidRPr="001A04ED">
        <w:t xml:space="preserve">The model estimation results provide valuable insights into the important factors that affect residential sector energy end use demand. The traditional variables that contribute to increased energy use include household size, urban location, HDD and CDD. The travel infrastructure variables affecting energy usage include number of vehicles, number of hybrid vehicles and inter-city trips. The model results are augmented with an elasticity analysis to highlight the inconsistencies of energy models that ignore travel pattern variables. The elasticity analysis highlights the impact of various travel infrastructure and usage related variables on energy end-uses. It was observed that household energy consumption for cooling and ventilation increases with an increment in household annual mileage but decreases with an increased number of long-distance trips. The results also revealed that an additional vehicle in the household leads to higher energy demand for EV charging. With growing EV adoption, the link between travel infrastructure and usage and energy consumption is useful in understanding the evolving residential sector energy demand. </w:t>
      </w:r>
    </w:p>
    <w:p w14:paraId="08D66F2B" w14:textId="77777777" w:rsidR="005A650D" w:rsidRPr="001A04ED" w:rsidRDefault="005A650D" w:rsidP="005A650D">
      <w:r w:rsidRPr="001A04ED">
        <w:t>The insights from our study can also be used to design integrated energy management strategies that account for residential and transportation energy needs. For instance, EV sales are increasing in recent years and according to the US Department of Energy, 80% of EVs are charged at home (John, 2022). This study provides valuable insights into the factors that impact household EV charging infrastructure. By identifying the locations of higher concentration of households that consume energy for EV charging, the proposed framework can help in estimating energy demand across different spatial resolutions, redesigning the national grid and determining optimal locations for new EV charging infrastructure. Thus, agencies interested in predicting future energy demand can incorporate the proposed framework within their toolkits.</w:t>
      </w:r>
    </w:p>
    <w:p w14:paraId="25738BF4" w14:textId="77777777" w:rsidR="005A650D" w:rsidRPr="001A04ED" w:rsidRDefault="005A650D" w:rsidP="005A650D">
      <w:r w:rsidRPr="001A04ED">
        <w:t xml:space="preserve">To be sure, the research is not without limitations. </w:t>
      </w:r>
      <w:r w:rsidRPr="001A04ED">
        <w:rPr>
          <w:i/>
          <w:iCs/>
        </w:rPr>
        <w:t>First</w:t>
      </w:r>
      <w:r w:rsidRPr="001A04ED">
        <w:t xml:space="preserve">, in our study, the dependent variable – in the RECS data – is annual energy consumption by different energy end uses. Hence, the analysis is limited to travel infrastructure and usage variables at the annual resolution. Future research efforts might explore the value of considering high resolution travel behavior elements such as number of daily trips, travel mode and trip purpose information in energy demand modeling. </w:t>
      </w:r>
      <w:r w:rsidRPr="001A04ED">
        <w:rPr>
          <w:i/>
          <w:iCs/>
        </w:rPr>
        <w:t>Second</w:t>
      </w:r>
      <w:r w:rsidRPr="001A04ED">
        <w:t xml:space="preserve">, in our research, the fusion exercise was conducted using the 2020 RECS data and 2022 NHTS data. Given the differences in the time period, it is possible that there are several differences in household energy and travel infrastructure and usage behavior </w:t>
      </w:r>
      <w:r w:rsidRPr="001A04ED">
        <w:lastRenderedPageBreak/>
        <w:t xml:space="preserve">over the time period. In future research, it might be useful to conduct data fusion using datasets from the same year. </w:t>
      </w:r>
      <w:r w:rsidRPr="001A04ED">
        <w:rPr>
          <w:i/>
          <w:iCs/>
        </w:rPr>
        <w:t>Third</w:t>
      </w:r>
      <w:r w:rsidRPr="001A04ED">
        <w:t xml:space="preserve">, the focus of the current study is developing improved models for annual energy consumption. If the interest is on understanding the impact of peak energy demand due to growing EV adoption and/or potential solutions for grid management, it would be more useful to develop a short-term energy demand model using more detailed energy data from smart meters (see for example (Beckel et al., 2014; Viegas et al., 2016; Yildiz et al., 2017)). The current model framework predictions can serve as an input for short term energy demand models. </w:t>
      </w:r>
      <w:r w:rsidRPr="001A04ED">
        <w:rPr>
          <w:i/>
          <w:iCs/>
        </w:rPr>
        <w:t>Finally</w:t>
      </w:r>
      <w:r w:rsidRPr="001A04ED">
        <w:t xml:space="preserve">, due to data unavailability, EV charging characteristics such as charging frequency and annual average daily charging hours were not considered in model estimation. It would be useful for future energy consumption surveys to include additional questions on household travel infrastructure variables. Further the survey effort can focus on daily household energy consumption patterns (such as frequency and duration of EV charging in a day, amount of electricity generated by solar panels and daily energy consumption for different household end uses) and travel behavior (such as number of trips on weekdays or weekends, trip purpose, number of people on trip and trip mode). These variables will allow future researchers to focus on building detailed short term energy demand models. </w:t>
      </w:r>
    </w:p>
    <w:p w14:paraId="17F7B7C6" w14:textId="4D13B9E2" w:rsidR="007508F0" w:rsidRPr="001A04ED" w:rsidRDefault="007508F0" w:rsidP="00C129EC">
      <w:pPr>
        <w:ind w:firstLine="0"/>
        <w:rPr>
          <w:rFonts w:cs="Times New Roman"/>
        </w:rPr>
      </w:pPr>
    </w:p>
    <w:p w14:paraId="27034A4D" w14:textId="5116E175" w:rsidR="002305E3" w:rsidRPr="001A04ED" w:rsidRDefault="002305E3" w:rsidP="00C129EC">
      <w:pPr>
        <w:ind w:firstLine="0"/>
        <w:rPr>
          <w:rFonts w:cs="Times New Roman"/>
          <w:b/>
          <w:bCs/>
        </w:rPr>
      </w:pPr>
      <w:r w:rsidRPr="001A04ED">
        <w:rPr>
          <w:rFonts w:cs="Times New Roman"/>
          <w:b/>
          <w:bCs/>
        </w:rPr>
        <w:t>CRediT authorship contribution statement</w:t>
      </w:r>
    </w:p>
    <w:p w14:paraId="05CE2560" w14:textId="517C6CC9" w:rsidR="00FF353D" w:rsidRPr="001A04ED" w:rsidRDefault="001C76BF" w:rsidP="00970B30">
      <w:pPr>
        <w:ind w:firstLine="0"/>
        <w:rPr>
          <w:rFonts w:cs="Times New Roman"/>
        </w:rPr>
      </w:pPr>
      <w:r w:rsidRPr="001A04ED">
        <w:rPr>
          <w:rFonts w:cs="Times New Roman"/>
          <w:b/>
          <w:bCs/>
        </w:rPr>
        <w:t>Md Istiak Jahan:</w:t>
      </w:r>
      <w:r w:rsidR="005D633E" w:rsidRPr="001A04ED">
        <w:rPr>
          <w:rFonts w:cs="Times New Roman"/>
          <w:b/>
          <w:bCs/>
        </w:rPr>
        <w:t xml:space="preserve"> </w:t>
      </w:r>
      <w:r w:rsidR="005D633E" w:rsidRPr="001A04ED">
        <w:rPr>
          <w:rFonts w:cs="Times New Roman"/>
        </w:rPr>
        <w:t xml:space="preserve">Data curation, Formal analysis, </w:t>
      </w:r>
      <w:r w:rsidR="0095128D" w:rsidRPr="001A04ED">
        <w:rPr>
          <w:rFonts w:cs="Times New Roman"/>
        </w:rPr>
        <w:t>Methodology, Software,</w:t>
      </w:r>
      <w:r w:rsidR="002C756A" w:rsidRPr="001A04ED">
        <w:rPr>
          <w:rFonts w:cs="Times New Roman"/>
        </w:rPr>
        <w:t xml:space="preserve"> Visualization, Writing – original draft</w:t>
      </w:r>
      <w:r w:rsidRPr="001A04ED">
        <w:rPr>
          <w:rFonts w:cs="Times New Roman"/>
        </w:rPr>
        <w:t xml:space="preserve">. </w:t>
      </w:r>
      <w:r w:rsidRPr="001A04ED">
        <w:rPr>
          <w:rFonts w:cs="Times New Roman"/>
          <w:b/>
          <w:bCs/>
        </w:rPr>
        <w:t>Naveen Eluru:</w:t>
      </w:r>
      <w:r w:rsidRPr="001A04ED">
        <w:rPr>
          <w:rFonts w:cs="Times New Roman"/>
        </w:rPr>
        <w:t xml:space="preserve"> </w:t>
      </w:r>
      <w:r w:rsidR="00080378" w:rsidRPr="001A04ED">
        <w:rPr>
          <w:rFonts w:cs="Times New Roman"/>
        </w:rPr>
        <w:t xml:space="preserve">Conceptualization, </w:t>
      </w:r>
      <w:r w:rsidR="0095128D" w:rsidRPr="001A04ED">
        <w:rPr>
          <w:rFonts w:cs="Times New Roman"/>
        </w:rPr>
        <w:t>Methodology,</w:t>
      </w:r>
      <w:r w:rsidR="005A483D" w:rsidRPr="001A04ED">
        <w:rPr>
          <w:rFonts w:cs="Times New Roman"/>
        </w:rPr>
        <w:t xml:space="preserve"> Supervision, Validation,</w:t>
      </w:r>
      <w:r w:rsidR="002C756A" w:rsidRPr="001A04ED">
        <w:rPr>
          <w:rFonts w:cs="Times New Roman"/>
        </w:rPr>
        <w:t xml:space="preserve"> Visualization</w:t>
      </w:r>
      <w:r w:rsidR="000B62EE" w:rsidRPr="001A04ED">
        <w:rPr>
          <w:rFonts w:cs="Times New Roman"/>
        </w:rPr>
        <w:t>, Writing – review &amp; editing</w:t>
      </w:r>
      <w:r w:rsidRPr="001A04ED">
        <w:rPr>
          <w:rFonts w:cs="Times New Roman"/>
        </w:rPr>
        <w:t>.</w:t>
      </w:r>
    </w:p>
    <w:p w14:paraId="6FABE61E" w14:textId="77777777" w:rsidR="00B8470B" w:rsidRPr="001A04ED" w:rsidRDefault="00B8470B" w:rsidP="00970B30">
      <w:pPr>
        <w:ind w:firstLine="0"/>
        <w:rPr>
          <w:rFonts w:cs="Times New Roman"/>
        </w:rPr>
      </w:pPr>
    </w:p>
    <w:p w14:paraId="58F85FC9" w14:textId="77777777" w:rsidR="00542D5D" w:rsidRPr="001A04ED" w:rsidRDefault="00542D5D" w:rsidP="00542D5D">
      <w:pPr>
        <w:ind w:firstLine="0"/>
        <w:rPr>
          <w:rFonts w:cs="Times New Roman"/>
          <w:b/>
          <w:bCs/>
        </w:rPr>
      </w:pPr>
      <w:r w:rsidRPr="001A04ED">
        <w:rPr>
          <w:rFonts w:cs="Times New Roman"/>
          <w:b/>
          <w:bCs/>
        </w:rPr>
        <w:t>Declaration of interests</w:t>
      </w:r>
    </w:p>
    <w:p w14:paraId="556E2E99" w14:textId="0D95BA57" w:rsidR="00B8470B" w:rsidRPr="001A04ED" w:rsidRDefault="00542D5D" w:rsidP="00542D5D">
      <w:pPr>
        <w:ind w:firstLine="0"/>
        <w:rPr>
          <w:rFonts w:cs="Times New Roman"/>
        </w:rPr>
      </w:pPr>
      <w:r w:rsidRPr="001A04ED">
        <w:rPr>
          <w:rFonts w:cs="Times New Roman"/>
        </w:rPr>
        <w:t>The authors declare that they have no known competing financial interests or personal relationships that could have appeared to influence the work reported in this paper.</w:t>
      </w:r>
    </w:p>
    <w:p w14:paraId="2C70252D" w14:textId="77777777" w:rsidR="00B9043B" w:rsidRPr="001A04ED" w:rsidRDefault="00B9043B" w:rsidP="00542D5D">
      <w:pPr>
        <w:ind w:firstLine="0"/>
        <w:rPr>
          <w:rFonts w:cs="Times New Roman"/>
        </w:rPr>
      </w:pPr>
    </w:p>
    <w:p w14:paraId="6F07AA64" w14:textId="49486E70" w:rsidR="00B9043B" w:rsidRPr="001A04ED" w:rsidRDefault="008372A9" w:rsidP="00542D5D">
      <w:pPr>
        <w:ind w:firstLine="0"/>
        <w:rPr>
          <w:rFonts w:cs="Times New Roman"/>
          <w:b/>
          <w:bCs/>
        </w:rPr>
      </w:pPr>
      <w:r w:rsidRPr="001A04ED">
        <w:rPr>
          <w:rFonts w:cs="Times New Roman"/>
          <w:b/>
          <w:bCs/>
        </w:rPr>
        <w:t>Data statement</w:t>
      </w:r>
    </w:p>
    <w:p w14:paraId="40B2C9F9" w14:textId="128E540C" w:rsidR="008372A9" w:rsidRPr="001A04ED" w:rsidRDefault="008372A9" w:rsidP="00542D5D">
      <w:pPr>
        <w:ind w:firstLine="0"/>
        <w:rPr>
          <w:rFonts w:cs="Times New Roman"/>
        </w:rPr>
      </w:pPr>
      <w:r w:rsidRPr="001A04ED">
        <w:rPr>
          <w:rFonts w:cs="Times New Roman"/>
        </w:rPr>
        <w:t xml:space="preserve">The research employed </w:t>
      </w:r>
      <w:r w:rsidR="00711A56" w:rsidRPr="001A04ED">
        <w:rPr>
          <w:rFonts w:cs="Times New Roman"/>
        </w:rPr>
        <w:t xml:space="preserve">2020 Residential Energy Consumption Survey dataset and 2022 National Household Travel Survey dataset. </w:t>
      </w:r>
      <w:r w:rsidR="009D60A5" w:rsidRPr="001A04ED">
        <w:rPr>
          <w:rFonts w:cs="Times New Roman"/>
        </w:rPr>
        <w:t>Both</w:t>
      </w:r>
      <w:r w:rsidR="00711A56" w:rsidRPr="001A04ED">
        <w:rPr>
          <w:rFonts w:cs="Times New Roman"/>
        </w:rPr>
        <w:t xml:space="preserve"> datasets are publicly available.</w:t>
      </w:r>
    </w:p>
    <w:p w14:paraId="5D98ABF3" w14:textId="77777777" w:rsidR="00846F81" w:rsidRPr="001A04ED" w:rsidRDefault="00846F81" w:rsidP="00B03E4B">
      <w:pPr>
        <w:ind w:firstLine="0"/>
      </w:pPr>
    </w:p>
    <w:p w14:paraId="01C2E021" w14:textId="05B70FB4" w:rsidR="001D0629" w:rsidRPr="001A04ED" w:rsidRDefault="001D0629" w:rsidP="003F7E1C">
      <w:pPr>
        <w:pStyle w:val="1stParagraph"/>
        <w:rPr>
          <w:b/>
          <w:bCs/>
        </w:rPr>
      </w:pPr>
      <w:r w:rsidRPr="001A04ED">
        <w:rPr>
          <w:b/>
          <w:bCs/>
        </w:rPr>
        <w:t>References</w:t>
      </w:r>
    </w:p>
    <w:p w14:paraId="12676747" w14:textId="6DA208ED" w:rsidR="00A25A6D" w:rsidRPr="001A04ED" w:rsidRDefault="00A25A6D" w:rsidP="00A25A6D">
      <w:pPr>
        <w:widowControl w:val="0"/>
        <w:autoSpaceDE w:val="0"/>
        <w:autoSpaceDN w:val="0"/>
        <w:adjustRightInd w:val="0"/>
        <w:ind w:left="480" w:hanging="480"/>
        <w:rPr>
          <w:rFonts w:cs="Times New Roman"/>
          <w:noProof/>
          <w:kern w:val="0"/>
        </w:rPr>
      </w:pPr>
      <w:r w:rsidRPr="001A04ED">
        <w:fldChar w:fldCharType="begin" w:fldLock="1"/>
      </w:r>
      <w:r w:rsidRPr="001A04ED">
        <w:instrText xml:space="preserve">ADDIN Mendeley Bibliography CSL_BIBLIOGRAPHY </w:instrText>
      </w:r>
      <w:r w:rsidRPr="001A04ED">
        <w:fldChar w:fldCharType="separate"/>
      </w:r>
      <w:r w:rsidRPr="001A04ED">
        <w:rPr>
          <w:rFonts w:cs="Times New Roman"/>
          <w:noProof/>
          <w:kern w:val="0"/>
        </w:rPr>
        <w:t xml:space="preserve">Ahmed, A., Ge, T., Peng, J., Yan, W. C., Tee, B. T., &amp; You, S. (2022). Assessment of the renewable energy generation towards net-zero energy buildings: A review. </w:t>
      </w:r>
      <w:r w:rsidRPr="001A04ED">
        <w:rPr>
          <w:rFonts w:cs="Times New Roman"/>
          <w:i/>
          <w:iCs/>
          <w:noProof/>
          <w:kern w:val="0"/>
        </w:rPr>
        <w:t>Energy and Buildings</w:t>
      </w:r>
      <w:r w:rsidRPr="001A04ED">
        <w:rPr>
          <w:rFonts w:cs="Times New Roman"/>
          <w:noProof/>
          <w:kern w:val="0"/>
        </w:rPr>
        <w:t xml:space="preserve">, </w:t>
      </w:r>
      <w:r w:rsidRPr="001A04ED">
        <w:rPr>
          <w:rFonts w:cs="Times New Roman"/>
          <w:i/>
          <w:iCs/>
          <w:noProof/>
          <w:kern w:val="0"/>
        </w:rPr>
        <w:t>256</w:t>
      </w:r>
      <w:r w:rsidRPr="001A04ED">
        <w:rPr>
          <w:rFonts w:cs="Times New Roman"/>
          <w:noProof/>
          <w:kern w:val="0"/>
        </w:rPr>
        <w:t>, 111755. https://doi.org/10.1016/j.enbuild.2021.111755</w:t>
      </w:r>
    </w:p>
    <w:p w14:paraId="23F1C950"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Beckel, C., Sadamori, L., Staake, T., &amp; Santini, S. (2014). Revealing household characteristics from smart meter data. </w:t>
      </w:r>
      <w:r w:rsidRPr="001A04ED">
        <w:rPr>
          <w:rFonts w:cs="Times New Roman"/>
          <w:i/>
          <w:iCs/>
          <w:noProof/>
          <w:kern w:val="0"/>
        </w:rPr>
        <w:t>Energy</w:t>
      </w:r>
      <w:r w:rsidRPr="001A04ED">
        <w:rPr>
          <w:rFonts w:cs="Times New Roman"/>
          <w:noProof/>
          <w:kern w:val="0"/>
        </w:rPr>
        <w:t xml:space="preserve">, </w:t>
      </w:r>
      <w:r w:rsidRPr="001A04ED">
        <w:rPr>
          <w:rFonts w:cs="Times New Roman"/>
          <w:i/>
          <w:iCs/>
          <w:noProof/>
          <w:kern w:val="0"/>
        </w:rPr>
        <w:t>78</w:t>
      </w:r>
      <w:r w:rsidRPr="001A04ED">
        <w:rPr>
          <w:rFonts w:cs="Times New Roman"/>
          <w:noProof/>
          <w:kern w:val="0"/>
        </w:rPr>
        <w:t>, 397–410. https://doi.org/10.1016/j.energy.2014.10.025</w:t>
      </w:r>
    </w:p>
    <w:p w14:paraId="0DC4D696"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Besagni, G., &amp; Borgarello, M. (2018). The determinants of residential energy expenditure in Italy. </w:t>
      </w:r>
      <w:r w:rsidRPr="001A04ED">
        <w:rPr>
          <w:rFonts w:cs="Times New Roman"/>
          <w:i/>
          <w:iCs/>
          <w:noProof/>
          <w:kern w:val="0"/>
        </w:rPr>
        <w:t>Energy</w:t>
      </w:r>
      <w:r w:rsidRPr="001A04ED">
        <w:rPr>
          <w:rFonts w:cs="Times New Roman"/>
          <w:noProof/>
          <w:kern w:val="0"/>
        </w:rPr>
        <w:t xml:space="preserve">, </w:t>
      </w:r>
      <w:r w:rsidRPr="001A04ED">
        <w:rPr>
          <w:rFonts w:cs="Times New Roman"/>
          <w:i/>
          <w:iCs/>
          <w:noProof/>
          <w:kern w:val="0"/>
        </w:rPr>
        <w:t>165</w:t>
      </w:r>
      <w:r w:rsidRPr="001A04ED">
        <w:rPr>
          <w:rFonts w:cs="Times New Roman"/>
          <w:noProof/>
          <w:kern w:val="0"/>
        </w:rPr>
        <w:t>, 369–386. https://doi.org/10.1016/j.energy.2018.09.108</w:t>
      </w:r>
    </w:p>
    <w:p w14:paraId="5368E7C5"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Bhat, C. R. (2005). A multiple discrete-continuous extreme value model: Formulation and application to discretionary time-use decisions. </w:t>
      </w:r>
      <w:r w:rsidRPr="001A04ED">
        <w:rPr>
          <w:rFonts w:cs="Times New Roman"/>
          <w:i/>
          <w:iCs/>
          <w:noProof/>
          <w:kern w:val="0"/>
        </w:rPr>
        <w:t>Transportation Research Part B: Methodological</w:t>
      </w:r>
      <w:r w:rsidRPr="001A04ED">
        <w:rPr>
          <w:rFonts w:cs="Times New Roman"/>
          <w:noProof/>
          <w:kern w:val="0"/>
        </w:rPr>
        <w:t xml:space="preserve">, </w:t>
      </w:r>
      <w:r w:rsidRPr="001A04ED">
        <w:rPr>
          <w:rFonts w:cs="Times New Roman"/>
          <w:i/>
          <w:iCs/>
          <w:noProof/>
          <w:kern w:val="0"/>
        </w:rPr>
        <w:t>39</w:t>
      </w:r>
      <w:r w:rsidRPr="001A04ED">
        <w:rPr>
          <w:rFonts w:cs="Times New Roman"/>
          <w:noProof/>
          <w:kern w:val="0"/>
        </w:rPr>
        <w:t>(8), 679–707. https://doi.org/10.1016/j.trb.2004.08.003</w:t>
      </w:r>
    </w:p>
    <w:p w14:paraId="7A906201"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Bhat, C. R. (2008). The multiple discrete-continuous extreme value (MDCEV) model: Role of utility function parameters, identification considerations, and model extensions. </w:t>
      </w:r>
      <w:r w:rsidRPr="001A04ED">
        <w:rPr>
          <w:rFonts w:cs="Times New Roman"/>
          <w:i/>
          <w:iCs/>
          <w:noProof/>
          <w:kern w:val="0"/>
        </w:rPr>
        <w:t>Transportation Research Part B: Methodological</w:t>
      </w:r>
      <w:r w:rsidRPr="001A04ED">
        <w:rPr>
          <w:rFonts w:cs="Times New Roman"/>
          <w:noProof/>
          <w:kern w:val="0"/>
        </w:rPr>
        <w:t xml:space="preserve">, </w:t>
      </w:r>
      <w:r w:rsidRPr="001A04ED">
        <w:rPr>
          <w:rFonts w:cs="Times New Roman"/>
          <w:i/>
          <w:iCs/>
          <w:noProof/>
          <w:kern w:val="0"/>
        </w:rPr>
        <w:t>42</w:t>
      </w:r>
      <w:r w:rsidRPr="001A04ED">
        <w:rPr>
          <w:rFonts w:cs="Times New Roman"/>
          <w:noProof/>
          <w:kern w:val="0"/>
        </w:rPr>
        <w:t>(3), 274–303. https://doi.org/10.1016/j.trb.2007.06.002</w:t>
      </w:r>
    </w:p>
    <w:p w14:paraId="100CC0B8"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Bhat, C. R., &amp; Eluru, N. (2010). The Multiple Discrete-Continuous Extreme Value (MDCEV) Model: Formulation and Applications. In </w:t>
      </w:r>
      <w:r w:rsidRPr="001A04ED">
        <w:rPr>
          <w:rFonts w:cs="Times New Roman"/>
          <w:i/>
          <w:iCs/>
          <w:noProof/>
          <w:kern w:val="0"/>
        </w:rPr>
        <w:t>Choice Modelling: The State-of-the-art and The State-of-practice</w:t>
      </w:r>
      <w:r w:rsidRPr="001A04ED">
        <w:rPr>
          <w:rFonts w:cs="Times New Roman"/>
          <w:noProof/>
          <w:kern w:val="0"/>
        </w:rPr>
        <w:t xml:space="preserve"> (pp. 71–99). Emerald Group Publishing Limited. https://doi.org/10.1108/9781849507738-004</w:t>
      </w:r>
    </w:p>
    <w:p w14:paraId="544A0C2A"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Bhat, C. R., &amp; Sen, S. (2006). Household vehicle type holdings and usage: An application of the multiple discrete-continuous extreme value (MDCEV) model. </w:t>
      </w:r>
      <w:r w:rsidRPr="001A04ED">
        <w:rPr>
          <w:rFonts w:cs="Times New Roman"/>
          <w:i/>
          <w:iCs/>
          <w:noProof/>
          <w:kern w:val="0"/>
        </w:rPr>
        <w:t>Transportation Research Part B: Methodological</w:t>
      </w:r>
      <w:r w:rsidRPr="001A04ED">
        <w:rPr>
          <w:rFonts w:cs="Times New Roman"/>
          <w:noProof/>
          <w:kern w:val="0"/>
        </w:rPr>
        <w:t xml:space="preserve">, </w:t>
      </w:r>
      <w:r w:rsidRPr="001A04ED">
        <w:rPr>
          <w:rFonts w:cs="Times New Roman"/>
          <w:i/>
          <w:iCs/>
          <w:noProof/>
          <w:kern w:val="0"/>
        </w:rPr>
        <w:t>40</w:t>
      </w:r>
      <w:r w:rsidRPr="001A04ED">
        <w:rPr>
          <w:rFonts w:cs="Times New Roman"/>
          <w:noProof/>
          <w:kern w:val="0"/>
        </w:rPr>
        <w:t>(1), 35–53. https://doi.org/10.1016/j.trb.2005.01.003</w:t>
      </w:r>
    </w:p>
    <w:p w14:paraId="37C17F60"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Bhowmik, T., Eluru, N., Hasan, S., Culotta, A., &amp; Chandra, K. (2024). Predicting hurricane evacuation behavior synthesizing data from travel surveys and social media. </w:t>
      </w:r>
      <w:r w:rsidRPr="001A04ED">
        <w:rPr>
          <w:rFonts w:cs="Times New Roman"/>
          <w:i/>
          <w:iCs/>
          <w:noProof/>
          <w:kern w:val="0"/>
        </w:rPr>
        <w:t>Transportation Research Part C</w:t>
      </w:r>
      <w:r w:rsidRPr="001A04ED">
        <w:rPr>
          <w:rFonts w:cs="Times New Roman"/>
          <w:noProof/>
          <w:kern w:val="0"/>
        </w:rPr>
        <w:t xml:space="preserve">, </w:t>
      </w:r>
      <w:r w:rsidRPr="001A04ED">
        <w:rPr>
          <w:rFonts w:cs="Times New Roman"/>
          <w:i/>
          <w:iCs/>
          <w:noProof/>
          <w:kern w:val="0"/>
        </w:rPr>
        <w:lastRenderedPageBreak/>
        <w:t>165</w:t>
      </w:r>
      <w:r w:rsidRPr="001A04ED">
        <w:rPr>
          <w:rFonts w:cs="Times New Roman"/>
          <w:noProof/>
          <w:kern w:val="0"/>
        </w:rPr>
        <w:t>(July), 104753. https://doi.org/10.1016/j.trc.2024.104753</w:t>
      </w:r>
    </w:p>
    <w:p w14:paraId="154050BB"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Bhowmik, T., Iraganaboina, N. C., &amp; Eluru, N. (2024). A Novel Maximum Likelihood Based Probabilistic Behavioral Data Fusion Algorithm for Modeling Residential Energy Consumption. </w:t>
      </w:r>
      <w:r w:rsidRPr="001A04ED">
        <w:rPr>
          <w:rFonts w:cs="Times New Roman"/>
          <w:i/>
          <w:iCs/>
          <w:noProof/>
          <w:kern w:val="0"/>
        </w:rPr>
        <w:t>PLoS ONE</w:t>
      </w:r>
      <w:r w:rsidRPr="001A04ED">
        <w:rPr>
          <w:rFonts w:cs="Times New Roman"/>
          <w:noProof/>
          <w:kern w:val="0"/>
        </w:rPr>
        <w:t xml:space="preserve">, </w:t>
      </w:r>
      <w:r w:rsidRPr="001A04ED">
        <w:rPr>
          <w:rFonts w:cs="Times New Roman"/>
          <w:i/>
          <w:iCs/>
          <w:noProof/>
          <w:kern w:val="0"/>
        </w:rPr>
        <w:t>Under revi</w:t>
      </w:r>
      <w:r w:rsidRPr="001A04ED">
        <w:rPr>
          <w:rFonts w:cs="Times New Roman"/>
          <w:noProof/>
          <w:kern w:val="0"/>
        </w:rPr>
        <w:t>.</w:t>
      </w:r>
    </w:p>
    <w:p w14:paraId="5F65DB04"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Bhowmik, T., Yasmin, S., &amp; Eluru, N. (2022). Accommodating for systematic and unobserved heterogeneity in panel data: Application to macro-level crash modeling. </w:t>
      </w:r>
      <w:r w:rsidRPr="001A04ED">
        <w:rPr>
          <w:rFonts w:cs="Times New Roman"/>
          <w:i/>
          <w:iCs/>
          <w:noProof/>
          <w:kern w:val="0"/>
        </w:rPr>
        <w:t>Analytic Methods in Accident Research</w:t>
      </w:r>
      <w:r w:rsidRPr="001A04ED">
        <w:rPr>
          <w:rFonts w:cs="Times New Roman"/>
          <w:noProof/>
          <w:kern w:val="0"/>
        </w:rPr>
        <w:t xml:space="preserve">, </w:t>
      </w:r>
      <w:r w:rsidRPr="001A04ED">
        <w:rPr>
          <w:rFonts w:cs="Times New Roman"/>
          <w:i/>
          <w:iCs/>
          <w:noProof/>
          <w:kern w:val="0"/>
        </w:rPr>
        <w:t>33</w:t>
      </w:r>
      <w:r w:rsidRPr="001A04ED">
        <w:rPr>
          <w:rFonts w:cs="Times New Roman"/>
          <w:noProof/>
          <w:kern w:val="0"/>
        </w:rPr>
        <w:t>, 100202. https://doi.org/10.1016/J.AMAR.2021.100202</w:t>
      </w:r>
    </w:p>
    <w:p w14:paraId="6190146C"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Burnett, J. W., &amp; Kiesling, L. L. (2022). How do machines predict energy use? Comparing machine learning approaches for modeling household energy demand in the United States. </w:t>
      </w:r>
      <w:r w:rsidRPr="001A04ED">
        <w:rPr>
          <w:rFonts w:cs="Times New Roman"/>
          <w:i/>
          <w:iCs/>
          <w:noProof/>
          <w:kern w:val="0"/>
        </w:rPr>
        <w:t>Energy Research and Social Science</w:t>
      </w:r>
      <w:r w:rsidRPr="001A04ED">
        <w:rPr>
          <w:rFonts w:cs="Times New Roman"/>
          <w:noProof/>
          <w:kern w:val="0"/>
        </w:rPr>
        <w:t xml:space="preserve">, </w:t>
      </w:r>
      <w:r w:rsidRPr="001A04ED">
        <w:rPr>
          <w:rFonts w:cs="Times New Roman"/>
          <w:i/>
          <w:iCs/>
          <w:noProof/>
          <w:kern w:val="0"/>
        </w:rPr>
        <w:t>91</w:t>
      </w:r>
      <w:r w:rsidRPr="001A04ED">
        <w:rPr>
          <w:rFonts w:cs="Times New Roman"/>
          <w:noProof/>
          <w:kern w:val="0"/>
        </w:rPr>
        <w:t>(June), 102715. https://doi.org/10.1016/j.erss.2022.102715</w:t>
      </w:r>
    </w:p>
    <w:p w14:paraId="6F6C699E"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Chun-sheng, Z., Shu-wen, N., &amp; Xin, Z. (2012). Effects of household energy consumption on environment and its influence factors in rural and urban areas. </w:t>
      </w:r>
      <w:r w:rsidRPr="001A04ED">
        <w:rPr>
          <w:rFonts w:cs="Times New Roman"/>
          <w:i/>
          <w:iCs/>
          <w:noProof/>
          <w:kern w:val="0"/>
        </w:rPr>
        <w:t>Energy Procedia</w:t>
      </w:r>
      <w:r w:rsidRPr="001A04ED">
        <w:rPr>
          <w:rFonts w:cs="Times New Roman"/>
          <w:noProof/>
          <w:kern w:val="0"/>
        </w:rPr>
        <w:t xml:space="preserve">, </w:t>
      </w:r>
      <w:r w:rsidRPr="001A04ED">
        <w:rPr>
          <w:rFonts w:cs="Times New Roman"/>
          <w:i/>
          <w:iCs/>
          <w:noProof/>
          <w:kern w:val="0"/>
        </w:rPr>
        <w:t>14</w:t>
      </w:r>
      <w:r w:rsidRPr="001A04ED">
        <w:rPr>
          <w:rFonts w:cs="Times New Roman"/>
          <w:noProof/>
          <w:kern w:val="0"/>
        </w:rPr>
        <w:t>, 805–811. https://doi.org/10.1016/j.egypro.2011.12.1015</w:t>
      </w:r>
    </w:p>
    <w:p w14:paraId="2D1CD24D"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D’Agostino, D., Minelli, F., Minichiello, F., &amp; Russo, N. (2024). The impact of the new EPBD “Green Houses” in the Italian building context: technical-economic analysis on improving the energy class of existing buildings. </w:t>
      </w:r>
      <w:r w:rsidRPr="001A04ED">
        <w:rPr>
          <w:rFonts w:cs="Times New Roman"/>
          <w:i/>
          <w:iCs/>
          <w:noProof/>
          <w:kern w:val="0"/>
        </w:rPr>
        <w:t>E3S Web of Conferences</w:t>
      </w:r>
      <w:r w:rsidRPr="001A04ED">
        <w:rPr>
          <w:rFonts w:cs="Times New Roman"/>
          <w:noProof/>
          <w:kern w:val="0"/>
        </w:rPr>
        <w:t xml:space="preserve">, </w:t>
      </w:r>
      <w:r w:rsidRPr="001A04ED">
        <w:rPr>
          <w:rFonts w:cs="Times New Roman"/>
          <w:i/>
          <w:iCs/>
          <w:noProof/>
          <w:kern w:val="0"/>
        </w:rPr>
        <w:t>523</w:t>
      </w:r>
      <w:r w:rsidRPr="001A04ED">
        <w:rPr>
          <w:rFonts w:cs="Times New Roman"/>
          <w:noProof/>
          <w:kern w:val="0"/>
        </w:rPr>
        <w:t>, 1–14. https://doi.org/10.1051/e3sconf/202452304005</w:t>
      </w:r>
    </w:p>
    <w:p w14:paraId="45BCB036"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Dixit, S. K., &amp; Singh, A. K. (2022). Predicting Electric Vehicle (EV) Buyers in India: A Machine Learning Approach. </w:t>
      </w:r>
      <w:r w:rsidRPr="001A04ED">
        <w:rPr>
          <w:rFonts w:cs="Times New Roman"/>
          <w:i/>
          <w:iCs/>
          <w:noProof/>
          <w:kern w:val="0"/>
        </w:rPr>
        <w:t>The Review of Socionetwork Strategies</w:t>
      </w:r>
      <w:r w:rsidRPr="001A04ED">
        <w:rPr>
          <w:rFonts w:cs="Times New Roman"/>
          <w:noProof/>
          <w:kern w:val="0"/>
        </w:rPr>
        <w:t xml:space="preserve">, </w:t>
      </w:r>
      <w:r w:rsidRPr="001A04ED">
        <w:rPr>
          <w:rFonts w:cs="Times New Roman"/>
          <w:i/>
          <w:iCs/>
          <w:noProof/>
          <w:kern w:val="0"/>
        </w:rPr>
        <w:t>16</w:t>
      </w:r>
      <w:r w:rsidRPr="001A04ED">
        <w:rPr>
          <w:rFonts w:cs="Times New Roman"/>
          <w:noProof/>
          <w:kern w:val="0"/>
        </w:rPr>
        <w:t>(2), 221–238. https://doi.org/10.1007/s12626-022-00109-9</w:t>
      </w:r>
    </w:p>
    <w:p w14:paraId="72C0D218"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EIA. (2024a). </w:t>
      </w:r>
      <w:r w:rsidRPr="001A04ED">
        <w:rPr>
          <w:rFonts w:cs="Times New Roman"/>
          <w:i/>
          <w:iCs/>
          <w:noProof/>
          <w:kern w:val="0"/>
        </w:rPr>
        <w:t>Degree days</w:t>
      </w:r>
      <w:r w:rsidRPr="001A04ED">
        <w:rPr>
          <w:rFonts w:cs="Times New Roman"/>
          <w:noProof/>
          <w:kern w:val="0"/>
        </w:rPr>
        <w:t>. U.S. Energy Information Administration. https://www.eia.gov/energyexplained/units-and-calculators/degree-days.php</w:t>
      </w:r>
    </w:p>
    <w:p w14:paraId="6A48D1AF"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EIA. (2024b). </w:t>
      </w:r>
      <w:r w:rsidRPr="001A04ED">
        <w:rPr>
          <w:rFonts w:cs="Times New Roman"/>
          <w:i/>
          <w:iCs/>
          <w:noProof/>
          <w:kern w:val="0"/>
        </w:rPr>
        <w:t>How much energy is consumed in U.S. buildings?</w:t>
      </w:r>
      <w:r w:rsidRPr="001A04ED">
        <w:rPr>
          <w:rFonts w:cs="Times New Roman"/>
          <w:noProof/>
          <w:kern w:val="0"/>
        </w:rPr>
        <w:t xml:space="preserve"> U.S. Energy Information Administration. https://www.eia.gov/tools/faqs/faq.php?id=86&amp;t=1</w:t>
      </w:r>
    </w:p>
    <w:p w14:paraId="06A1273B"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Ellsworth-Krebs, K. (2020). Implications of declining household sizes and expectations of home comfort for domestic energy demand. </w:t>
      </w:r>
      <w:r w:rsidRPr="001A04ED">
        <w:rPr>
          <w:rFonts w:cs="Times New Roman"/>
          <w:i/>
          <w:iCs/>
          <w:noProof/>
          <w:kern w:val="0"/>
        </w:rPr>
        <w:t>Nature Energy</w:t>
      </w:r>
      <w:r w:rsidRPr="001A04ED">
        <w:rPr>
          <w:rFonts w:cs="Times New Roman"/>
          <w:noProof/>
          <w:kern w:val="0"/>
        </w:rPr>
        <w:t xml:space="preserve">, </w:t>
      </w:r>
      <w:r w:rsidRPr="001A04ED">
        <w:rPr>
          <w:rFonts w:cs="Times New Roman"/>
          <w:i/>
          <w:iCs/>
          <w:noProof/>
          <w:kern w:val="0"/>
        </w:rPr>
        <w:t>5</w:t>
      </w:r>
      <w:r w:rsidRPr="001A04ED">
        <w:rPr>
          <w:rFonts w:cs="Times New Roman"/>
          <w:noProof/>
          <w:kern w:val="0"/>
        </w:rPr>
        <w:t>, 20–25. https://doi.org/https://doi.org/10.1038/s41560-019-0512-1</w:t>
      </w:r>
    </w:p>
    <w:p w14:paraId="6F6AB130"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Fan, J. L., Yu, H., &amp; Wei, Y. M. (2015). Residential energy-related carbon emissions in urban and rural China during 1996-2012: From the perspective of five end-use activities. </w:t>
      </w:r>
      <w:r w:rsidRPr="001A04ED">
        <w:rPr>
          <w:rFonts w:cs="Times New Roman"/>
          <w:i/>
          <w:iCs/>
          <w:noProof/>
          <w:kern w:val="0"/>
        </w:rPr>
        <w:t>Energy and Buildings</w:t>
      </w:r>
      <w:r w:rsidRPr="001A04ED">
        <w:rPr>
          <w:rFonts w:cs="Times New Roman"/>
          <w:noProof/>
          <w:kern w:val="0"/>
        </w:rPr>
        <w:t xml:space="preserve">, </w:t>
      </w:r>
      <w:r w:rsidRPr="001A04ED">
        <w:rPr>
          <w:rFonts w:cs="Times New Roman"/>
          <w:i/>
          <w:iCs/>
          <w:noProof/>
          <w:kern w:val="0"/>
        </w:rPr>
        <w:t>96</w:t>
      </w:r>
      <w:r w:rsidRPr="001A04ED">
        <w:rPr>
          <w:rFonts w:cs="Times New Roman"/>
          <w:noProof/>
          <w:kern w:val="0"/>
        </w:rPr>
        <w:t>, 201–209. https://doi.org/10.1016/j.enbuild.2015.03.026</w:t>
      </w:r>
    </w:p>
    <w:p w14:paraId="6B1C6576"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Heinonen, J., &amp; Junnila, S. (2014). Residential energy consumption patterns and the overall housing energy requirements of urban and rural households in Finland. </w:t>
      </w:r>
      <w:r w:rsidRPr="001A04ED">
        <w:rPr>
          <w:rFonts w:cs="Times New Roman"/>
          <w:i/>
          <w:iCs/>
          <w:noProof/>
          <w:kern w:val="0"/>
        </w:rPr>
        <w:t>Energy and Buildings</w:t>
      </w:r>
      <w:r w:rsidRPr="001A04ED">
        <w:rPr>
          <w:rFonts w:cs="Times New Roman"/>
          <w:noProof/>
          <w:kern w:val="0"/>
        </w:rPr>
        <w:t xml:space="preserve">, </w:t>
      </w:r>
      <w:r w:rsidRPr="001A04ED">
        <w:rPr>
          <w:rFonts w:cs="Times New Roman"/>
          <w:i/>
          <w:iCs/>
          <w:noProof/>
          <w:kern w:val="0"/>
        </w:rPr>
        <w:t>76</w:t>
      </w:r>
      <w:r w:rsidRPr="001A04ED">
        <w:rPr>
          <w:rFonts w:cs="Times New Roman"/>
          <w:noProof/>
          <w:kern w:val="0"/>
        </w:rPr>
        <w:t>, 295–303. https://doi.org/10.1016/j.enbuild.2014.02.079</w:t>
      </w:r>
    </w:p>
    <w:p w14:paraId="3B6D56C7"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Iraganaboina, N. C., &amp; Eluru, N. (2021). An examination of factors affecting residential energy consumption using a multiple discrete continuous approach. </w:t>
      </w:r>
      <w:r w:rsidRPr="001A04ED">
        <w:rPr>
          <w:rFonts w:cs="Times New Roman"/>
          <w:i/>
          <w:iCs/>
          <w:noProof/>
          <w:kern w:val="0"/>
        </w:rPr>
        <w:t>Energy and Buildings</w:t>
      </w:r>
      <w:r w:rsidRPr="001A04ED">
        <w:rPr>
          <w:rFonts w:cs="Times New Roman"/>
          <w:noProof/>
          <w:kern w:val="0"/>
        </w:rPr>
        <w:t xml:space="preserve">, </w:t>
      </w:r>
      <w:r w:rsidRPr="001A04ED">
        <w:rPr>
          <w:rFonts w:cs="Times New Roman"/>
          <w:i/>
          <w:iCs/>
          <w:noProof/>
          <w:kern w:val="0"/>
        </w:rPr>
        <w:t>240</w:t>
      </w:r>
      <w:r w:rsidRPr="001A04ED">
        <w:rPr>
          <w:rFonts w:cs="Times New Roman"/>
          <w:noProof/>
          <w:kern w:val="0"/>
        </w:rPr>
        <w:t>, 110934. https://doi.org/10.1016/j.enbuild.2021.110934</w:t>
      </w:r>
    </w:p>
    <w:p w14:paraId="6CA6F452"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Jahan, M. I., Bhowmik, T., Borjigin, S. G., Lou, J., Ugwu, N. M., Niemeier, D. A., &amp; Eluru, N. (2024). A Maximum Log-likelihood Based Data Fusion Model for Estimating Household’s Vehicle Purchase Decision. </w:t>
      </w:r>
      <w:r w:rsidRPr="001A04ED">
        <w:rPr>
          <w:rFonts w:cs="Times New Roman"/>
          <w:i/>
          <w:iCs/>
          <w:noProof/>
          <w:kern w:val="0"/>
        </w:rPr>
        <w:t>Transportation Letters: The International Journal of Transportation Research</w:t>
      </w:r>
      <w:r w:rsidRPr="001A04ED">
        <w:rPr>
          <w:rFonts w:cs="Times New Roman"/>
          <w:noProof/>
          <w:kern w:val="0"/>
        </w:rPr>
        <w:t xml:space="preserve">, </w:t>
      </w:r>
      <w:r w:rsidRPr="001A04ED">
        <w:rPr>
          <w:rFonts w:cs="Times New Roman"/>
          <w:i/>
          <w:iCs/>
          <w:noProof/>
          <w:kern w:val="0"/>
        </w:rPr>
        <w:t>Under revi</w:t>
      </w:r>
      <w:r w:rsidRPr="001A04ED">
        <w:rPr>
          <w:rFonts w:cs="Times New Roman"/>
          <w:noProof/>
          <w:kern w:val="0"/>
        </w:rPr>
        <w:t>.</w:t>
      </w:r>
    </w:p>
    <w:p w14:paraId="5BF7DA6F"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John, J. St. (2022). 5 charts that shed new light on how people charge EVs at home. </w:t>
      </w:r>
      <w:r w:rsidRPr="001A04ED">
        <w:rPr>
          <w:rFonts w:cs="Times New Roman"/>
          <w:i/>
          <w:iCs/>
          <w:noProof/>
          <w:kern w:val="0"/>
        </w:rPr>
        <w:t>Canary Media</w:t>
      </w:r>
      <w:r w:rsidRPr="001A04ED">
        <w:rPr>
          <w:rFonts w:cs="Times New Roman"/>
          <w:noProof/>
          <w:kern w:val="0"/>
        </w:rPr>
        <w:t>.</w:t>
      </w:r>
    </w:p>
    <w:p w14:paraId="4E83BCD9"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Kabli, A., Bhowmik, T., &amp; Eluru, N. (2020). A multivariate approach for modeling driver injury severity by body region. </w:t>
      </w:r>
      <w:r w:rsidRPr="001A04ED">
        <w:rPr>
          <w:rFonts w:cs="Times New Roman"/>
          <w:i/>
          <w:iCs/>
          <w:noProof/>
          <w:kern w:val="0"/>
        </w:rPr>
        <w:t>Analytic Methods in Accident Research</w:t>
      </w:r>
      <w:r w:rsidRPr="001A04ED">
        <w:rPr>
          <w:rFonts w:cs="Times New Roman"/>
          <w:noProof/>
          <w:kern w:val="0"/>
        </w:rPr>
        <w:t xml:space="preserve">, </w:t>
      </w:r>
      <w:r w:rsidRPr="001A04ED">
        <w:rPr>
          <w:rFonts w:cs="Times New Roman"/>
          <w:i/>
          <w:iCs/>
          <w:noProof/>
          <w:kern w:val="0"/>
        </w:rPr>
        <w:t>28</w:t>
      </w:r>
      <w:r w:rsidRPr="001A04ED">
        <w:rPr>
          <w:rFonts w:cs="Times New Roman"/>
          <w:noProof/>
          <w:kern w:val="0"/>
        </w:rPr>
        <w:t>, 100129. https://doi.org/10.1016/J.AMAR.2020.100129</w:t>
      </w:r>
    </w:p>
    <w:p w14:paraId="2EF0B995"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Kaitouni, S. I., Sangkyu, P., Mghazli, M. O., El Mansouri, F., Jamil, A., Ahachad, M., &amp; Brigui, J. (2024). Design parameters influencing the energy performance and indoor comfort of net zero energy building “NZEB” designed for semi-arid urban areas: Digital workflow methodology, sensitivity analysis and comparative assessment. </w:t>
      </w:r>
      <w:r w:rsidRPr="001A04ED">
        <w:rPr>
          <w:rFonts w:cs="Times New Roman"/>
          <w:i/>
          <w:iCs/>
          <w:noProof/>
          <w:kern w:val="0"/>
        </w:rPr>
        <w:t>Solar Energy</w:t>
      </w:r>
      <w:r w:rsidRPr="001A04ED">
        <w:rPr>
          <w:rFonts w:cs="Times New Roman"/>
          <w:noProof/>
          <w:kern w:val="0"/>
        </w:rPr>
        <w:t xml:space="preserve">, </w:t>
      </w:r>
      <w:r w:rsidRPr="001A04ED">
        <w:rPr>
          <w:rFonts w:cs="Times New Roman"/>
          <w:i/>
          <w:iCs/>
          <w:noProof/>
          <w:kern w:val="0"/>
        </w:rPr>
        <w:t>268</w:t>
      </w:r>
      <w:r w:rsidRPr="001A04ED">
        <w:rPr>
          <w:rFonts w:cs="Times New Roman"/>
          <w:noProof/>
          <w:kern w:val="0"/>
        </w:rPr>
        <w:t>(December 2023), 112264. https://doi.org/10.1016/j.solener.2023.112264</w:t>
      </w:r>
    </w:p>
    <w:p w14:paraId="640C606B"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Kuang, B., Schelly, C., Ou, G., Sahraei-Ardakani, M., Tiwari, S., &amp; Chen, J. (2023a). Data-driven analysis of influential factors on residential energy end-use in the US. </w:t>
      </w:r>
      <w:r w:rsidRPr="001A04ED">
        <w:rPr>
          <w:rFonts w:cs="Times New Roman"/>
          <w:i/>
          <w:iCs/>
          <w:noProof/>
          <w:kern w:val="0"/>
        </w:rPr>
        <w:t>Journal of Building Engineering</w:t>
      </w:r>
      <w:r w:rsidRPr="001A04ED">
        <w:rPr>
          <w:rFonts w:cs="Times New Roman"/>
          <w:noProof/>
          <w:kern w:val="0"/>
        </w:rPr>
        <w:t xml:space="preserve">, </w:t>
      </w:r>
      <w:r w:rsidRPr="001A04ED">
        <w:rPr>
          <w:rFonts w:cs="Times New Roman"/>
          <w:i/>
          <w:iCs/>
          <w:noProof/>
          <w:kern w:val="0"/>
        </w:rPr>
        <w:t>75</w:t>
      </w:r>
      <w:r w:rsidRPr="001A04ED">
        <w:rPr>
          <w:rFonts w:cs="Times New Roman"/>
          <w:noProof/>
          <w:kern w:val="0"/>
        </w:rPr>
        <w:t>(March). https://doi.org/10.1016/j.jobe.2023.106947</w:t>
      </w:r>
    </w:p>
    <w:p w14:paraId="49DBDA2A"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lastRenderedPageBreak/>
        <w:t xml:space="preserve">Kuang, B., Schelly, C., Ou, G., Sahraei-Ardakani, M., Tiwari, S., &amp; Chen, J. (2023b). Data-driven analysis of influential factors on residential energy end-use in the US. </w:t>
      </w:r>
      <w:r w:rsidRPr="001A04ED">
        <w:rPr>
          <w:rFonts w:cs="Times New Roman"/>
          <w:i/>
          <w:iCs/>
          <w:noProof/>
          <w:kern w:val="0"/>
        </w:rPr>
        <w:t>Journal of Building Engineering</w:t>
      </w:r>
      <w:r w:rsidRPr="001A04ED">
        <w:rPr>
          <w:rFonts w:cs="Times New Roman"/>
          <w:noProof/>
          <w:kern w:val="0"/>
        </w:rPr>
        <w:t xml:space="preserve">, </w:t>
      </w:r>
      <w:r w:rsidRPr="001A04ED">
        <w:rPr>
          <w:rFonts w:cs="Times New Roman"/>
          <w:i/>
          <w:iCs/>
          <w:noProof/>
          <w:kern w:val="0"/>
        </w:rPr>
        <w:t>75</w:t>
      </w:r>
      <w:r w:rsidRPr="001A04ED">
        <w:rPr>
          <w:rFonts w:cs="Times New Roman"/>
          <w:noProof/>
          <w:kern w:val="0"/>
        </w:rPr>
        <w:t>(March), 1–22. https://doi.org/10.1016/j.jobe.2023.106947</w:t>
      </w:r>
    </w:p>
    <w:p w14:paraId="124D4950"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Lee, S. J., &amp; Song, S. Y. (2022). Determinants of residential end-use energy: Effects of buildings, sociodemographics, and household appliances. </w:t>
      </w:r>
      <w:r w:rsidRPr="001A04ED">
        <w:rPr>
          <w:rFonts w:cs="Times New Roman"/>
          <w:i/>
          <w:iCs/>
          <w:noProof/>
          <w:kern w:val="0"/>
        </w:rPr>
        <w:t>Energy and Buildings</w:t>
      </w:r>
      <w:r w:rsidRPr="001A04ED">
        <w:rPr>
          <w:rFonts w:cs="Times New Roman"/>
          <w:noProof/>
          <w:kern w:val="0"/>
        </w:rPr>
        <w:t xml:space="preserve">, </w:t>
      </w:r>
      <w:r w:rsidRPr="001A04ED">
        <w:rPr>
          <w:rFonts w:cs="Times New Roman"/>
          <w:i/>
          <w:iCs/>
          <w:noProof/>
          <w:kern w:val="0"/>
        </w:rPr>
        <w:t>257</w:t>
      </w:r>
      <w:r w:rsidRPr="001A04ED">
        <w:rPr>
          <w:rFonts w:cs="Times New Roman"/>
          <w:noProof/>
          <w:kern w:val="0"/>
        </w:rPr>
        <w:t>, 111782. https://doi.org/10.1016/j.enbuild.2021.111782</w:t>
      </w:r>
    </w:p>
    <w:p w14:paraId="3A02438D"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Lu, Y., Gao, W., Kuroki, S., &amp; Ge, J. (2022). Household characteristics and electricity end-use under dynamic pricing in the collective housing complex of a Japanese smart community. </w:t>
      </w:r>
      <w:r w:rsidRPr="001A04ED">
        <w:rPr>
          <w:rFonts w:cs="Times New Roman"/>
          <w:i/>
          <w:iCs/>
          <w:noProof/>
          <w:kern w:val="0"/>
        </w:rPr>
        <w:t>Journal of Asian Architecture and Building Engineering</w:t>
      </w:r>
      <w:r w:rsidRPr="001A04ED">
        <w:rPr>
          <w:rFonts w:cs="Times New Roman"/>
          <w:noProof/>
          <w:kern w:val="0"/>
        </w:rPr>
        <w:t xml:space="preserve">, </w:t>
      </w:r>
      <w:r w:rsidRPr="001A04ED">
        <w:rPr>
          <w:rFonts w:cs="Times New Roman"/>
          <w:i/>
          <w:iCs/>
          <w:noProof/>
          <w:kern w:val="0"/>
        </w:rPr>
        <w:t>21</w:t>
      </w:r>
      <w:r w:rsidRPr="001A04ED">
        <w:rPr>
          <w:rFonts w:cs="Times New Roman"/>
          <w:noProof/>
          <w:kern w:val="0"/>
        </w:rPr>
        <w:t>(6), 2564–2579. https://doi.org/10.1080/13467581.2021.1987244</w:t>
      </w:r>
    </w:p>
    <w:p w14:paraId="03E648A0"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Malla, S. (2022). An outlook of end-use energy demand based on a clean energy and technology transformation of the household sector in Nepal. </w:t>
      </w:r>
      <w:r w:rsidRPr="001A04ED">
        <w:rPr>
          <w:rFonts w:cs="Times New Roman"/>
          <w:i/>
          <w:iCs/>
          <w:noProof/>
          <w:kern w:val="0"/>
        </w:rPr>
        <w:t>Energy</w:t>
      </w:r>
      <w:r w:rsidRPr="001A04ED">
        <w:rPr>
          <w:rFonts w:cs="Times New Roman"/>
          <w:noProof/>
          <w:kern w:val="0"/>
        </w:rPr>
        <w:t xml:space="preserve">, </w:t>
      </w:r>
      <w:r w:rsidRPr="001A04ED">
        <w:rPr>
          <w:rFonts w:cs="Times New Roman"/>
          <w:i/>
          <w:iCs/>
          <w:noProof/>
          <w:kern w:val="0"/>
        </w:rPr>
        <w:t>238</w:t>
      </w:r>
      <w:r w:rsidRPr="001A04ED">
        <w:rPr>
          <w:rFonts w:cs="Times New Roman"/>
          <w:noProof/>
          <w:kern w:val="0"/>
        </w:rPr>
        <w:t>, 121810. https://doi.org/10.1016/j.energy.2021.121810</w:t>
      </w:r>
    </w:p>
    <w:p w14:paraId="347CD1C8"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Minelli, F., Ciriello, I., Minichiello, F., &amp; D’Agostino, D. (2024). From Net Zero Energy Buildings to an energy sharing model - The role of NZEBs in Renewable Energy Communities. </w:t>
      </w:r>
      <w:r w:rsidRPr="001A04ED">
        <w:rPr>
          <w:rFonts w:cs="Times New Roman"/>
          <w:i/>
          <w:iCs/>
          <w:noProof/>
          <w:kern w:val="0"/>
        </w:rPr>
        <w:t>Renewable Energy</w:t>
      </w:r>
      <w:r w:rsidRPr="001A04ED">
        <w:rPr>
          <w:rFonts w:cs="Times New Roman"/>
          <w:noProof/>
          <w:kern w:val="0"/>
        </w:rPr>
        <w:t xml:space="preserve">, </w:t>
      </w:r>
      <w:r w:rsidRPr="001A04ED">
        <w:rPr>
          <w:rFonts w:cs="Times New Roman"/>
          <w:i/>
          <w:iCs/>
          <w:noProof/>
          <w:kern w:val="0"/>
        </w:rPr>
        <w:t>223</w:t>
      </w:r>
      <w:r w:rsidRPr="001A04ED">
        <w:rPr>
          <w:rFonts w:cs="Times New Roman"/>
          <w:noProof/>
          <w:kern w:val="0"/>
        </w:rPr>
        <w:t>(November 2023), 120110. https://doi.org/10.1016/j.renene.2024.120110</w:t>
      </w:r>
    </w:p>
    <w:p w14:paraId="3388AD37"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NHTS. (2022). </w:t>
      </w:r>
      <w:r w:rsidRPr="001A04ED">
        <w:rPr>
          <w:rFonts w:cs="Times New Roman"/>
          <w:i/>
          <w:iCs/>
          <w:noProof/>
          <w:kern w:val="0"/>
        </w:rPr>
        <w:t>National Household Travel Survey</w:t>
      </w:r>
      <w:r w:rsidRPr="001A04ED">
        <w:rPr>
          <w:rFonts w:cs="Times New Roman"/>
          <w:noProof/>
          <w:kern w:val="0"/>
        </w:rPr>
        <w:t>. Federal Highway Administration. https://doi.org/https://nhts.ornl.gov/</w:t>
      </w:r>
    </w:p>
    <w:p w14:paraId="1D69DC5E"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RECS. (2020). </w:t>
      </w:r>
      <w:r w:rsidRPr="001A04ED">
        <w:rPr>
          <w:rFonts w:cs="Times New Roman"/>
          <w:i/>
          <w:iCs/>
          <w:noProof/>
          <w:kern w:val="0"/>
        </w:rPr>
        <w:t>Residential Energy Consumption Survey</w:t>
      </w:r>
      <w:r w:rsidRPr="001A04ED">
        <w:rPr>
          <w:rFonts w:cs="Times New Roman"/>
          <w:noProof/>
          <w:kern w:val="0"/>
        </w:rPr>
        <w:t>. U.S. Energy Information Administration. https://doi.org/https://www.eia.gov/consumption/residential/</w:t>
      </w:r>
    </w:p>
    <w:p w14:paraId="0137BD45"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Ren, Z., Foliente, G., Chan, W. Y., Chen, D., Ambrose, M., &amp; Paevere, P. (2013). A model for predicting household end-use energy consumption and greenhouse gas emissions in Australia. </w:t>
      </w:r>
      <w:r w:rsidRPr="001A04ED">
        <w:rPr>
          <w:rFonts w:cs="Times New Roman"/>
          <w:i/>
          <w:iCs/>
          <w:noProof/>
          <w:kern w:val="0"/>
        </w:rPr>
        <w:t>International Journal of Sustainable Building Technology and Urban Development</w:t>
      </w:r>
      <w:r w:rsidRPr="001A04ED">
        <w:rPr>
          <w:rFonts w:cs="Times New Roman"/>
          <w:noProof/>
          <w:kern w:val="0"/>
        </w:rPr>
        <w:t xml:space="preserve">, </w:t>
      </w:r>
      <w:r w:rsidRPr="001A04ED">
        <w:rPr>
          <w:rFonts w:cs="Times New Roman"/>
          <w:i/>
          <w:iCs/>
          <w:noProof/>
          <w:kern w:val="0"/>
        </w:rPr>
        <w:t>4</w:t>
      </w:r>
      <w:r w:rsidRPr="001A04ED">
        <w:rPr>
          <w:rFonts w:cs="Times New Roman"/>
          <w:noProof/>
          <w:kern w:val="0"/>
        </w:rPr>
        <w:t>(3), 210–228. https://doi.org/10.1080/2093761X.2013.801801</w:t>
      </w:r>
    </w:p>
    <w:p w14:paraId="5264BF9B"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Shimoda, Y., Sugiyama, M., Nishimoto, R., &amp; Momonoki, T. (2021). Evaluating decarbonization scenarios and energy management requirement for the residential sector in Japan through bottom-up simulations of energy end-use demand in 2050. </w:t>
      </w:r>
      <w:r w:rsidRPr="001A04ED">
        <w:rPr>
          <w:rFonts w:cs="Times New Roman"/>
          <w:i/>
          <w:iCs/>
          <w:noProof/>
          <w:kern w:val="0"/>
        </w:rPr>
        <w:t>Applied Energy</w:t>
      </w:r>
      <w:r w:rsidRPr="001A04ED">
        <w:rPr>
          <w:rFonts w:cs="Times New Roman"/>
          <w:noProof/>
          <w:kern w:val="0"/>
        </w:rPr>
        <w:t xml:space="preserve">, </w:t>
      </w:r>
      <w:r w:rsidRPr="001A04ED">
        <w:rPr>
          <w:rFonts w:cs="Times New Roman"/>
          <w:i/>
          <w:iCs/>
          <w:noProof/>
          <w:kern w:val="0"/>
        </w:rPr>
        <w:t>303</w:t>
      </w:r>
      <w:r w:rsidRPr="001A04ED">
        <w:rPr>
          <w:rFonts w:cs="Times New Roman"/>
          <w:noProof/>
          <w:kern w:val="0"/>
        </w:rPr>
        <w:t>, 117510. https://doi.org/10.1016/j.apenergy.2021.117510</w:t>
      </w:r>
    </w:p>
    <w:p w14:paraId="7E177858"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Shin, H.-S., Farkas, Z. A., &amp; Nickkar, A. (2019). An analysis of attributes of electric vehicle owners’ travel and purchasing behavior: The case of Maryland. </w:t>
      </w:r>
      <w:r w:rsidRPr="001A04ED">
        <w:rPr>
          <w:rFonts w:cs="Times New Roman"/>
          <w:i/>
          <w:iCs/>
          <w:noProof/>
          <w:kern w:val="0"/>
        </w:rPr>
        <w:t>International Conference on Transportation and Development</w:t>
      </w:r>
      <w:r w:rsidRPr="001A04ED">
        <w:rPr>
          <w:rFonts w:cs="Times New Roman"/>
          <w:noProof/>
          <w:kern w:val="0"/>
        </w:rPr>
        <w:t>, 77–90.</w:t>
      </w:r>
    </w:p>
    <w:p w14:paraId="6570C7DF"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USAFacts. (2024). </w:t>
      </w:r>
      <w:r w:rsidRPr="001A04ED">
        <w:rPr>
          <w:rFonts w:cs="Times New Roman"/>
          <w:i/>
          <w:iCs/>
          <w:noProof/>
          <w:kern w:val="0"/>
        </w:rPr>
        <w:t>What are the main sources of US greenhouse gas emissions?</w:t>
      </w:r>
      <w:r w:rsidRPr="001A04ED">
        <w:rPr>
          <w:rFonts w:cs="Times New Roman"/>
          <w:noProof/>
          <w:kern w:val="0"/>
        </w:rPr>
        <w:t xml:space="preserve"> USA Facts. https://usafacts.org/articles/what-are-the-main-sources-of-us-greenhouse-gas-emissions/</w:t>
      </w:r>
    </w:p>
    <w:p w14:paraId="32B09240"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Viegas, J. L., Vieira, S. M., Melício, R., Mendes, V. M. F., &amp; Sousa, J. M. C. (2016). Classification of new electricity customers based on surveys and smart metering data. </w:t>
      </w:r>
      <w:r w:rsidRPr="001A04ED">
        <w:rPr>
          <w:rFonts w:cs="Times New Roman"/>
          <w:i/>
          <w:iCs/>
          <w:noProof/>
          <w:kern w:val="0"/>
        </w:rPr>
        <w:t>Energy</w:t>
      </w:r>
      <w:r w:rsidRPr="001A04ED">
        <w:rPr>
          <w:rFonts w:cs="Times New Roman"/>
          <w:noProof/>
          <w:kern w:val="0"/>
        </w:rPr>
        <w:t xml:space="preserve">, </w:t>
      </w:r>
      <w:r w:rsidRPr="001A04ED">
        <w:rPr>
          <w:rFonts w:cs="Times New Roman"/>
          <w:i/>
          <w:iCs/>
          <w:noProof/>
          <w:kern w:val="0"/>
        </w:rPr>
        <w:t>107</w:t>
      </w:r>
      <w:r w:rsidRPr="001A04ED">
        <w:rPr>
          <w:rFonts w:cs="Times New Roman"/>
          <w:noProof/>
          <w:kern w:val="0"/>
        </w:rPr>
        <w:t>(2016), 804–817. https://doi.org/10.1016/j.energy.2016.04.065</w:t>
      </w:r>
    </w:p>
    <w:p w14:paraId="3AE76BBB"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Wales, T. J., &amp; Woodland, A. D. (1983). ESTIMATION OF CONSUMER DEMAND SYSTEMS WITH BINDING NON-NEGATIVITY CONSTRAINTS. </w:t>
      </w:r>
      <w:r w:rsidRPr="001A04ED">
        <w:rPr>
          <w:rFonts w:cs="Times New Roman"/>
          <w:i/>
          <w:iCs/>
          <w:noProof/>
          <w:kern w:val="0"/>
        </w:rPr>
        <w:t>Journal of Econometrics</w:t>
      </w:r>
      <w:r w:rsidRPr="001A04ED">
        <w:rPr>
          <w:rFonts w:cs="Times New Roman"/>
          <w:noProof/>
          <w:kern w:val="0"/>
        </w:rPr>
        <w:t xml:space="preserve">, </w:t>
      </w:r>
      <w:r w:rsidRPr="001A04ED">
        <w:rPr>
          <w:rFonts w:cs="Times New Roman"/>
          <w:i/>
          <w:iCs/>
          <w:noProof/>
          <w:kern w:val="0"/>
        </w:rPr>
        <w:t>21</w:t>
      </w:r>
      <w:r w:rsidRPr="001A04ED">
        <w:rPr>
          <w:rFonts w:cs="Times New Roman"/>
          <w:noProof/>
          <w:kern w:val="0"/>
        </w:rPr>
        <w:t>, 263–285.</w:t>
      </w:r>
    </w:p>
    <w:p w14:paraId="5B1CAD8A"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Wang, L., Lee, E. W. M., Hussian, S. A., Yuen, A. C. Y., &amp; Feng, W. (2021). Quantitative impact analysis of driving factors on annual residential building energy end-use combining machine learning and stochastic methods. </w:t>
      </w:r>
      <w:r w:rsidRPr="001A04ED">
        <w:rPr>
          <w:rFonts w:cs="Times New Roman"/>
          <w:i/>
          <w:iCs/>
          <w:noProof/>
          <w:kern w:val="0"/>
        </w:rPr>
        <w:t>Applied Energy</w:t>
      </w:r>
      <w:r w:rsidRPr="001A04ED">
        <w:rPr>
          <w:rFonts w:cs="Times New Roman"/>
          <w:noProof/>
          <w:kern w:val="0"/>
        </w:rPr>
        <w:t xml:space="preserve">, </w:t>
      </w:r>
      <w:r w:rsidRPr="001A04ED">
        <w:rPr>
          <w:rFonts w:cs="Times New Roman"/>
          <w:i/>
          <w:iCs/>
          <w:noProof/>
          <w:kern w:val="0"/>
        </w:rPr>
        <w:t>299</w:t>
      </w:r>
      <w:r w:rsidRPr="001A04ED">
        <w:rPr>
          <w:rFonts w:cs="Times New Roman"/>
          <w:noProof/>
          <w:kern w:val="0"/>
        </w:rPr>
        <w:t>(December 2020), 117303. https://doi.org/10.1016/j.apenergy.2021.117303</w:t>
      </w:r>
    </w:p>
    <w:p w14:paraId="763A6158"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Xie, Y., &amp; Noor, A. I. M. (2022). Factors Affecting Residential End-Use Energy: Multiple Regression Analysis Based on Buildings, Households, Lifestyles, and Equipment. </w:t>
      </w:r>
      <w:r w:rsidRPr="001A04ED">
        <w:rPr>
          <w:rFonts w:cs="Times New Roman"/>
          <w:i/>
          <w:iCs/>
          <w:noProof/>
          <w:kern w:val="0"/>
        </w:rPr>
        <w:t>Buildings</w:t>
      </w:r>
      <w:r w:rsidRPr="001A04ED">
        <w:rPr>
          <w:rFonts w:cs="Times New Roman"/>
          <w:noProof/>
          <w:kern w:val="0"/>
        </w:rPr>
        <w:t xml:space="preserve">, </w:t>
      </w:r>
      <w:r w:rsidRPr="001A04ED">
        <w:rPr>
          <w:rFonts w:cs="Times New Roman"/>
          <w:i/>
          <w:iCs/>
          <w:noProof/>
          <w:kern w:val="0"/>
        </w:rPr>
        <w:t>12</w:t>
      </w:r>
      <w:r w:rsidRPr="001A04ED">
        <w:rPr>
          <w:rFonts w:cs="Times New Roman"/>
          <w:noProof/>
          <w:kern w:val="0"/>
        </w:rPr>
        <w:t>(538), 1–18.</w:t>
      </w:r>
    </w:p>
    <w:p w14:paraId="38B5617C"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Yildiz, B., Bilbao, J. I., Dore, J., &amp; Sproul, A. B. (2017). Recent advances in the analysis of residential electricity consumption and applications of smart meter data. </w:t>
      </w:r>
      <w:r w:rsidRPr="001A04ED">
        <w:rPr>
          <w:rFonts w:cs="Times New Roman"/>
          <w:i/>
          <w:iCs/>
          <w:noProof/>
          <w:kern w:val="0"/>
        </w:rPr>
        <w:t>Applied Energy</w:t>
      </w:r>
      <w:r w:rsidRPr="001A04ED">
        <w:rPr>
          <w:rFonts w:cs="Times New Roman"/>
          <w:noProof/>
          <w:kern w:val="0"/>
        </w:rPr>
        <w:t xml:space="preserve">, </w:t>
      </w:r>
      <w:r w:rsidRPr="001A04ED">
        <w:rPr>
          <w:rFonts w:cs="Times New Roman"/>
          <w:i/>
          <w:iCs/>
          <w:noProof/>
          <w:kern w:val="0"/>
        </w:rPr>
        <w:t>208</w:t>
      </w:r>
      <w:r w:rsidRPr="001A04ED">
        <w:rPr>
          <w:rFonts w:cs="Times New Roman"/>
          <w:noProof/>
          <w:kern w:val="0"/>
        </w:rPr>
        <w:t>(October), 402–427. https://doi.org/10.1016/j.apenergy.2017.10.014</w:t>
      </w:r>
    </w:p>
    <w:p w14:paraId="216996E8"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Yu, B., &amp; Zhang, J. (2015). Modeling household energy consumption behavior: A comparative analysis. </w:t>
      </w:r>
      <w:r w:rsidRPr="001A04ED">
        <w:rPr>
          <w:rFonts w:cs="Times New Roman"/>
          <w:i/>
          <w:iCs/>
          <w:noProof/>
          <w:kern w:val="0"/>
        </w:rPr>
        <w:t>Transportation Research Part D: Transport and Environment</w:t>
      </w:r>
      <w:r w:rsidRPr="001A04ED">
        <w:rPr>
          <w:rFonts w:cs="Times New Roman"/>
          <w:noProof/>
          <w:kern w:val="0"/>
        </w:rPr>
        <w:t xml:space="preserve">, </w:t>
      </w:r>
      <w:r w:rsidRPr="001A04ED">
        <w:rPr>
          <w:rFonts w:cs="Times New Roman"/>
          <w:i/>
          <w:iCs/>
          <w:noProof/>
          <w:kern w:val="0"/>
        </w:rPr>
        <w:t>39</w:t>
      </w:r>
      <w:r w:rsidRPr="001A04ED">
        <w:rPr>
          <w:rFonts w:cs="Times New Roman"/>
          <w:noProof/>
          <w:kern w:val="0"/>
        </w:rPr>
        <w:t>, 126–140. https://doi.org/10.1016/j.trd.2015.07.001</w:t>
      </w:r>
    </w:p>
    <w:p w14:paraId="6ACF1958" w14:textId="77777777" w:rsidR="00A25A6D" w:rsidRPr="001A04ED" w:rsidRDefault="00A25A6D" w:rsidP="00A25A6D">
      <w:pPr>
        <w:widowControl w:val="0"/>
        <w:autoSpaceDE w:val="0"/>
        <w:autoSpaceDN w:val="0"/>
        <w:adjustRightInd w:val="0"/>
        <w:ind w:left="480" w:hanging="480"/>
        <w:rPr>
          <w:rFonts w:cs="Times New Roman"/>
          <w:noProof/>
          <w:kern w:val="0"/>
        </w:rPr>
      </w:pPr>
      <w:r w:rsidRPr="001A04ED">
        <w:rPr>
          <w:rFonts w:cs="Times New Roman"/>
          <w:noProof/>
          <w:kern w:val="0"/>
        </w:rPr>
        <w:t xml:space="preserve">Yu, B., Zhang, J., &amp; Fujiwara, A. (2013). Integrated Analysis of Household Energy Consumption Behavior </w:t>
      </w:r>
      <w:r w:rsidRPr="001A04ED">
        <w:rPr>
          <w:rFonts w:cs="Times New Roman"/>
          <w:noProof/>
          <w:kern w:val="0"/>
        </w:rPr>
        <w:lastRenderedPageBreak/>
        <w:t xml:space="preserve">Across the Residential and Transport Sectors. In A. Fujiwara &amp; J. Zhang (Eds.), </w:t>
      </w:r>
      <w:r w:rsidRPr="001A04ED">
        <w:rPr>
          <w:rFonts w:cs="Times New Roman"/>
          <w:i/>
          <w:iCs/>
          <w:noProof/>
          <w:kern w:val="0"/>
        </w:rPr>
        <w:t>Sustainable Transport Studies in Asia</w:t>
      </w:r>
      <w:r w:rsidRPr="001A04ED">
        <w:rPr>
          <w:rFonts w:cs="Times New Roman"/>
          <w:noProof/>
          <w:kern w:val="0"/>
        </w:rPr>
        <w:t xml:space="preserve"> (pp. 211–236). Springer.</w:t>
      </w:r>
    </w:p>
    <w:p w14:paraId="260C47B8" w14:textId="77777777" w:rsidR="00A25A6D" w:rsidRPr="001A04ED" w:rsidRDefault="00A25A6D" w:rsidP="00A25A6D">
      <w:pPr>
        <w:widowControl w:val="0"/>
        <w:autoSpaceDE w:val="0"/>
        <w:autoSpaceDN w:val="0"/>
        <w:adjustRightInd w:val="0"/>
        <w:ind w:left="480" w:hanging="480"/>
        <w:rPr>
          <w:rFonts w:cs="Times New Roman"/>
          <w:noProof/>
        </w:rPr>
      </w:pPr>
      <w:r w:rsidRPr="001A04ED">
        <w:rPr>
          <w:rFonts w:cs="Times New Roman"/>
          <w:noProof/>
          <w:kern w:val="0"/>
        </w:rPr>
        <w:t xml:space="preserve">Zou, B., &amp; Luo, B. (2019). Rural household energy consumption characteristics and determinants in China. </w:t>
      </w:r>
      <w:r w:rsidRPr="001A04ED">
        <w:rPr>
          <w:rFonts w:cs="Times New Roman"/>
          <w:i/>
          <w:iCs/>
          <w:noProof/>
          <w:kern w:val="0"/>
        </w:rPr>
        <w:t>Energy</w:t>
      </w:r>
      <w:r w:rsidRPr="001A04ED">
        <w:rPr>
          <w:rFonts w:cs="Times New Roman"/>
          <w:noProof/>
          <w:kern w:val="0"/>
        </w:rPr>
        <w:t xml:space="preserve">, </w:t>
      </w:r>
      <w:r w:rsidRPr="001A04ED">
        <w:rPr>
          <w:rFonts w:cs="Times New Roman"/>
          <w:i/>
          <w:iCs/>
          <w:noProof/>
          <w:kern w:val="0"/>
        </w:rPr>
        <w:t>182</w:t>
      </w:r>
      <w:r w:rsidRPr="001A04ED">
        <w:rPr>
          <w:rFonts w:cs="Times New Roman"/>
          <w:noProof/>
          <w:kern w:val="0"/>
        </w:rPr>
        <w:t>, 814–823. https://doi.org/10.1016/j.energy.2019.06.048</w:t>
      </w:r>
    </w:p>
    <w:p w14:paraId="5CDB5010" w14:textId="61B94892" w:rsidR="00334ED1" w:rsidRPr="001A04ED" w:rsidRDefault="00A25A6D" w:rsidP="00334ED1">
      <w:pPr>
        <w:ind w:firstLine="0"/>
      </w:pPr>
      <w:r w:rsidRPr="001A04ED">
        <w:fldChar w:fldCharType="end"/>
      </w:r>
    </w:p>
    <w:sectPr w:rsidR="00334ED1" w:rsidRPr="001A04ED" w:rsidSect="003B3A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AD7C2" w14:textId="77777777" w:rsidR="0097066B" w:rsidRDefault="0097066B" w:rsidP="00AE45A8">
      <w:r>
        <w:separator/>
      </w:r>
    </w:p>
  </w:endnote>
  <w:endnote w:type="continuationSeparator" w:id="0">
    <w:p w14:paraId="6C86E09D" w14:textId="77777777" w:rsidR="0097066B" w:rsidRDefault="0097066B" w:rsidP="00AE45A8">
      <w:r>
        <w:continuationSeparator/>
      </w:r>
    </w:p>
  </w:endnote>
  <w:endnote w:type="continuationNotice" w:id="1">
    <w:p w14:paraId="4C6E83B2" w14:textId="77777777" w:rsidR="0097066B" w:rsidRDefault="00970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9801732"/>
      <w:docPartObj>
        <w:docPartGallery w:val="Page Numbers (Bottom of Page)"/>
        <w:docPartUnique/>
      </w:docPartObj>
    </w:sdtPr>
    <w:sdtEndPr>
      <w:rPr>
        <w:noProof/>
      </w:rPr>
    </w:sdtEndPr>
    <w:sdtContent>
      <w:p w14:paraId="1C63463A" w14:textId="08B34303" w:rsidR="00064E5A" w:rsidRDefault="00064E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31C8A" w14:textId="77777777" w:rsidR="00064E5A" w:rsidRDefault="0006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930EF" w14:textId="3AE3DCFE" w:rsidR="00064E5A" w:rsidRDefault="00064E5A">
    <w:pPr>
      <w:pStyle w:val="Footer"/>
      <w:jc w:val="center"/>
    </w:pPr>
  </w:p>
  <w:p w14:paraId="15DA1E51" w14:textId="77777777" w:rsidR="00064E5A" w:rsidRDefault="0006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12149" w14:textId="77777777" w:rsidR="0097066B" w:rsidRDefault="0097066B" w:rsidP="00AE45A8">
      <w:r>
        <w:separator/>
      </w:r>
    </w:p>
  </w:footnote>
  <w:footnote w:type="continuationSeparator" w:id="0">
    <w:p w14:paraId="65844266" w14:textId="77777777" w:rsidR="0097066B" w:rsidRDefault="0097066B" w:rsidP="00AE45A8">
      <w:r>
        <w:continuationSeparator/>
      </w:r>
    </w:p>
  </w:footnote>
  <w:footnote w:type="continuationNotice" w:id="1">
    <w:p w14:paraId="3AFF381A" w14:textId="77777777" w:rsidR="0097066B" w:rsidRDefault="0097066B"/>
  </w:footnote>
  <w:footnote w:id="2">
    <w:p w14:paraId="1DF20536" w14:textId="02C20657" w:rsidR="00363FB9" w:rsidRDefault="00363FB9">
      <w:pPr>
        <w:pStyle w:val="FootnoteText"/>
      </w:pPr>
      <w:r w:rsidRPr="00363FB9">
        <w:rPr>
          <w:rStyle w:val="FootnoteReference"/>
        </w:rPr>
        <w:sym w:font="Symbol" w:char="F02A"/>
      </w:r>
      <w:r>
        <w:t xml:space="preserve"> Corresponding author</w:t>
      </w:r>
    </w:p>
  </w:footnote>
  <w:footnote w:id="3">
    <w:p w14:paraId="6C3F499E" w14:textId="5519C886" w:rsidR="003E150C" w:rsidRPr="003E150C" w:rsidRDefault="003E150C" w:rsidP="006C5797">
      <w:pPr>
        <w:pStyle w:val="FootnoteText"/>
        <w:ind w:firstLine="0"/>
      </w:pPr>
      <w:r>
        <w:rPr>
          <w:rStyle w:val="FootnoteReference"/>
        </w:rPr>
        <w:footnoteRef/>
      </w:r>
      <w:r w:rsidRPr="004332C8">
        <w:t xml:space="preserve">There is a growing body of literature examining how to arrive at Net Zero Energy Buildings. These studies focus on </w:t>
      </w:r>
      <w:r w:rsidR="00B75078" w:rsidRPr="004332C8">
        <w:t xml:space="preserve">the development of </w:t>
      </w:r>
      <w:r w:rsidR="00A4327D" w:rsidRPr="004332C8">
        <w:t>energy share framework</w:t>
      </w:r>
      <w:r w:rsidR="004C452B" w:rsidRPr="004332C8">
        <w:t xml:space="preserve"> </w:t>
      </w:r>
      <w:r w:rsidR="004C452B" w:rsidRPr="004332C8">
        <w:fldChar w:fldCharType="begin" w:fldLock="1"/>
      </w:r>
      <w:r w:rsidR="00B3784F" w:rsidRPr="004332C8">
        <w:instrText>ADDIN CSL_CITATION {"citationItems":[{"id":"ITEM-1","itemData":{"DOI":"10.1016/j.renene.2024.120110","ISSN":"18790682","abstract":"This paper aims to broaden the concept of Net Zero Energy Building (NZEB), assessing its suitability to the emerging grid-based energy sharing models. The energy exchange between two buildings with shifted load schedules, namely, a new residential NZEB (prosumer) and an existing school building (consumer), is analysed to investigate energy sharing dynamics. The buildings are in Southern Italy, a region with high solar radiation. The model of the existing school building is calibrated on measured data and the study is performed by dynamic energy simulation. Three energy sharing scenarios based on the design of a photovoltaic system installed on the roof of the NZEB have been investigated, i.e., PV system peak power designed: to satisfy the NZEB target on annual basis; to satisfy the NZEB target on monthly basis; to fully exploit the available roof area of the NZEB. Considering annual and monthly net energy balances, oversizing the NZEB PV system leads to the compensation of a high share of school building non-renewable energy consumption. However, self-consumption analysis performed on hourly basis shows that increasing the PV system size negatively affects the self-consumption rate of the renewable energy community, and the presence of the school building only mitigates this effect.","author":[{"dropping-particle":"","family":"Minelli","given":"Federico","non-dropping-particle":"","parse-names":false,"suffix":""},{"dropping-particle":"","family":"Ciriello","given":"Ilaria","non-dropping-particle":"","parse-names":false,"suffix":""},{"dropping-particle":"","family":"Minichiello","given":"Francesco","non-dropping-particle":"","parse-names":false,"suffix":""},{"dropping-particle":"","family":"D'Agostino","given":"Diana","non-dropping-particle":"","parse-names":false,"suffix":""}],"container-title":"Renewable Energy","id":"ITEM-1","issue":"November 2023","issued":{"date-parts":[["2024"]]},"page":"120110","publisher":"Elsevier Ltd","title":"From Net Zero Energy Buildings to an energy sharing model - The role of NZEBs in Renewable Energy Communities","type":"article-journal","volume":"223"},"uris":["http://www.mendeley.com/documents/?uuid=2deec70c-fa8a-49a5-baf0-e55d8cdbb4c2"]}],"mendeley":{"formattedCitation":"(Minelli et al., 2024)","plainTextFormattedCitation":"(Minelli et al., 2024)","previouslyFormattedCitation":"(Minelli et al., 2024)"},"properties":{"noteIndex":0},"schema":"https://github.com/citation-style-language/schema/raw/master/csl-citation.json"}</w:instrText>
      </w:r>
      <w:r w:rsidR="004C452B" w:rsidRPr="004332C8">
        <w:fldChar w:fldCharType="separate"/>
      </w:r>
      <w:r w:rsidR="004C452B" w:rsidRPr="004332C8">
        <w:rPr>
          <w:noProof/>
        </w:rPr>
        <w:t>(Minelli et al., 2024)</w:t>
      </w:r>
      <w:r w:rsidR="004C452B" w:rsidRPr="004332C8">
        <w:fldChar w:fldCharType="end"/>
      </w:r>
      <w:r w:rsidR="00DE587F" w:rsidRPr="004332C8">
        <w:t xml:space="preserve">, </w:t>
      </w:r>
      <w:r w:rsidR="00B75078" w:rsidRPr="004332C8">
        <w:t>evaluation of</w:t>
      </w:r>
      <w:r w:rsidR="00DE587F" w:rsidRPr="004332C8">
        <w:t xml:space="preserve"> </w:t>
      </w:r>
      <w:r w:rsidRPr="004332C8">
        <w:t>different technology installations</w:t>
      </w:r>
      <w:r w:rsidR="00B3784F" w:rsidRPr="004332C8">
        <w:t xml:space="preserve"> </w:t>
      </w:r>
      <w:r w:rsidR="00B3784F" w:rsidRPr="004332C8">
        <w:fldChar w:fldCharType="begin" w:fldLock="1"/>
      </w:r>
      <w:r w:rsidR="00A11ED8" w:rsidRPr="004332C8">
        <w:instrText>ADDIN CSL_CITATION {"citationItems":[{"id":"ITEM-1","itemData":{"DOI":"10.1051/e3sconf/202452304005","ISSN":"22671242","abstract":"The new European directive “Green Houses” aims at the decarbonization of the existing building stock. In this work, three building types widespread in Italy are analysed, virtually positioned in Palermo, Naples, and Milan. Considering that almost 60% of Italian residential buildings fall within the G and F energy classes, three energy retrofit measures are proposed (thermal insulation of vertical walls and roofs; replacement of the methane gas boiler for building heating and domestic hot water with a high temperature air-to-water heat pump; installation of a photovoltaic system), in order to reach at least D energy class based on Italian energy performance certification. A simulation-based approach is used. A declining tendency is noted in the normalized prices of the interventions when moving from detached house to terraced house and from terraced house to apartment in a tower building. Shifting from an independent to a centralized air conditioning system results in the same savings. Considering equal building features, hotter and milder climate zones reach higher energy classes; this also results in more difficult energy efficiency improvement in colder climates. Potential inequalities result from the implementation of the new European directive. Economic incentives to support the energy efficiency transition should be tailored to more specific conditions.","author":[{"dropping-particle":"","family":"D'Agostino","given":"Diana","non-dropping-particle":"","parse-names":false,"suffix":""},{"dropping-particle":"","family":"Minelli","given":"Federico","non-dropping-particle":"","parse-names":false,"suffix":""},{"dropping-particle":"","family":"Minichiello","given":"Francesco","non-dropping-particle":"","parse-names":false,"suffix":""},{"dropping-particle":"","family":"Russo","given":"Nicola","non-dropping-particle":"","parse-names":false,"suffix":""}],"container-title":"E3S Web of Conferences","id":"ITEM-1","issued":{"date-parts":[["2024"]]},"page":"1-14","title":"The impact of the new EPBD \"Green Houses\" in the Italian building context: technical-economic analysis on improving the energy class of existing buildings","type":"article-journal","volume":"523"},"uris":["http://www.mendeley.com/documents/?uuid=3e84e83d-fd81-450e-b263-2b34ae7dd739"]}],"mendeley":{"formattedCitation":"(D’Agostino et al., 2024)","plainTextFormattedCitation":"(D’Agostino et al., 2024)","previouslyFormattedCitation":"(D’Agostino et al., 2024)"},"properties":{"noteIndex":0},"schema":"https://github.com/citation-style-language/schema/raw/master/csl-citation.json"}</w:instrText>
      </w:r>
      <w:r w:rsidR="00B3784F" w:rsidRPr="004332C8">
        <w:fldChar w:fldCharType="separate"/>
      </w:r>
      <w:r w:rsidR="00B3784F" w:rsidRPr="004332C8">
        <w:rPr>
          <w:noProof/>
        </w:rPr>
        <w:t>(D’Agostino et al., 2024)</w:t>
      </w:r>
      <w:r w:rsidR="00B3784F" w:rsidRPr="004332C8">
        <w:fldChar w:fldCharType="end"/>
      </w:r>
      <w:r w:rsidR="00B3784F" w:rsidRPr="004332C8">
        <w:t xml:space="preserve">, </w:t>
      </w:r>
      <w:r w:rsidR="00B034F7" w:rsidRPr="004332C8">
        <w:t>contributions of renewable energy generation (hydropower, wind energy, solar, heat pumps, and bioenergy)</w:t>
      </w:r>
      <w:r w:rsidR="00A11ED8" w:rsidRPr="004332C8">
        <w:t xml:space="preserve"> </w:t>
      </w:r>
      <w:r w:rsidR="00A11ED8" w:rsidRPr="004332C8">
        <w:fldChar w:fldCharType="begin" w:fldLock="1"/>
      </w:r>
      <w:r w:rsidR="00A11ED8" w:rsidRPr="004332C8">
        <w:instrText>ADDIN CSL_CITATION {"citationItems":[{"id":"ITEM-1","itemData":{"DOI":"10.1016/j.enbuild.2021.111755","ISSN":"03787788","abstract":"Decarbonizing the building sector is extremely important to mitigating climate change as the sector contributes 40% of the overall energy consumption and 36% of the total greenhouse gas emissions in the world. Net-zero energy buildings are one of the promising decarbonization attempts due to their potential of decreasing the use of energy and increasing the total share of renewable energy. To achieve a net-zero energy building, it is necessary to decrease the energy demand by applying efficiency enhancement measures and using renewable energy sources. Net-zero energy buildings can be classified into four models (Net-Zero Site Energy buildings, Net-Zero Emissions buildings, Net-Zero Source Energy buildings, and Net-Zero Cost Energy buildings). A variety of technical, financial, and environmental factors should be considered during the decision-making process of net-zero energy building development, justifying the use of multi-criteria decision analysis methods for the design of net-zero energy buildings. This paper also discussed the contributions of renewable energy generation (hydropower, wind energy, solar, heat pumps, and bioenergy) to the development of net-zero energy buildings and reviewed its role in tackling the decarbonization challenge. Cost-benefit analysis and life cycle assessment of net-zero energy building designs and their challenges were reviewed to shape the priorities of future development. It is important to develop a universal decision instrument for optimum design and operation of net-zero energy buildings.","author":[{"dropping-particle":"","family":"Ahmed","given":"Asam","non-dropping-particle":"","parse-names":false,"suffix":""},{"dropping-particle":"","family":"Ge","given":"Tianshu","non-dropping-particle":"","parse-names":false,"suffix":""},{"dropping-particle":"","family":"Peng","given":"Jinqing","non-dropping-particle":"","parse-names":false,"suffix":""},{"dropping-particle":"","family":"Yan","given":"Wei Cheng","non-dropping-particle":"","parse-names":false,"suffix":""},{"dropping-particle":"","family":"Tee","given":"Boon Tuan","non-dropping-particle":"","parse-names":false,"suffix":""},{"dropping-particle":"","family":"You","given":"Siming","non-dropping-particle":"","parse-names":false,"suffix":""}],"container-title":"Energy and Buildings","id":"ITEM-1","issued":{"date-parts":[["2022"]]},"page":"111755","publisher":"Elsevier B.V.","title":"Assessment of the renewable energy generation towards net-zero energy buildings: A review","type":"article-journal","volume":"256"},"uris":["http://www.mendeley.com/documents/?uuid=098ce729-b11d-4639-b8da-f309225716ef"]}],"mendeley":{"formattedCitation":"(Ahmed et al., 2022)","plainTextFormattedCitation":"(Ahmed et al., 2022)","previouslyFormattedCitation":"(Ahmed et al., 2022)"},"properties":{"noteIndex":0},"schema":"https://github.com/citation-style-language/schema/raw/master/csl-citation.json"}</w:instrText>
      </w:r>
      <w:r w:rsidR="00A11ED8" w:rsidRPr="004332C8">
        <w:fldChar w:fldCharType="separate"/>
      </w:r>
      <w:r w:rsidR="00A11ED8" w:rsidRPr="004332C8">
        <w:rPr>
          <w:noProof/>
        </w:rPr>
        <w:t>(Ahmed et al., 2022)</w:t>
      </w:r>
      <w:r w:rsidR="00A11ED8" w:rsidRPr="004332C8">
        <w:fldChar w:fldCharType="end"/>
      </w:r>
      <w:r w:rsidR="00B034F7" w:rsidRPr="004332C8">
        <w:t xml:space="preserve"> </w:t>
      </w:r>
      <w:r w:rsidR="00D15004" w:rsidRPr="004332C8">
        <w:t xml:space="preserve">and evaluation of design parameters </w:t>
      </w:r>
      <w:r w:rsidR="00112E1C" w:rsidRPr="004332C8">
        <w:t xml:space="preserve">affecting the energy performance of </w:t>
      </w:r>
      <w:r w:rsidR="00C96072" w:rsidRPr="004332C8">
        <w:t>n</w:t>
      </w:r>
      <w:r w:rsidRPr="004332C8">
        <w:t xml:space="preserve">et </w:t>
      </w:r>
      <w:r w:rsidR="00C96072" w:rsidRPr="004332C8">
        <w:t>z</w:t>
      </w:r>
      <w:r w:rsidRPr="004332C8">
        <w:t xml:space="preserve">ero </w:t>
      </w:r>
      <w:r w:rsidR="00C96072" w:rsidRPr="004332C8">
        <w:t>energy buildings</w:t>
      </w:r>
      <w:r w:rsidR="00A11ED8" w:rsidRPr="004332C8">
        <w:t xml:space="preserve"> </w:t>
      </w:r>
      <w:r w:rsidR="00A11ED8" w:rsidRPr="004332C8">
        <w:fldChar w:fldCharType="begin" w:fldLock="1"/>
      </w:r>
      <w:r w:rsidR="00CA5333" w:rsidRPr="004332C8">
        <w:instrText>ADDIN CSL_CITATION {"citationItems":[{"id":"ITEM-1","itemData":{"DOI":"10.1016/j.solener.2023.112264","ISSN":"0038092X","abstract":"In order to reach carbon neutrality targets in the built environment, worldwide designers should look toward more sustainable buildings, especially with solar integrated configurations to reduce the reliance on conventional sources of energy in urban environments. In this paper, a parametric digital workflow developed in the Grasshopper environment allowed the evaluation of the energy performance and indoor thermal and visual comforts of variable nearly Zero Energy office building configurations. More specifically, as a first step, this paper focused on the use of the global sensitivity analysis tool to evaluate the varying influence of different selected design variables on energy self-sufficiency and indoor thermal comfort of the office building. Then, based on the results of this investigation, we compared the energy performance of nearly/Net Zero Energy Buildings (ZEB) considering two opposing extreme design options, that are the worst and best configurations, using different timescales, i.e., annual, monthly, weekly, daily and hourly performances. Interestingly, the annual Solar Contribution Ratio (SCR), defined as the ratio between yearly solar production and the energy demand of the building, varies between 39 % and 146 %, while also maintaining an acceptable degree of visual indoor comfort (sDA &gt; 0.5). Besides, the findings underscore the significant contribution of the BIPV system in shifting towards the net zero energy goal, accounting for as much as 57.14 % of the total solar energy output. Moreover, the energy self-sufficiency on an hourly basis reveals that the BIPV shading area enhances the daily load cover factor by a range of 4.39 % to 23.87 %, depending on the building's design strategies and the season of the year. Overall, the research outcomes aim at evaluating the influence of a set of design inputs on quantitative indicators related to indoor visual, thermal comforts and energy performance that can provide practical information for building designers, urban planners as well as grid designers and operators. Also, this research provides understandable visual and graphical representations capturing the variation of the indexes in variable time-steps. Lastly, the result of this study proves that Net Zero Energy Building, even positive energy building, could be achievable within semi-arid climate conditions.","author":[{"dropping-particle":"","family":"Kaitouni","given":"Samir Idrissi","non-dropping-particle":"","parse-names":false,"suffix":""},{"dropping-particle":"","family":"Sangkyu","given":"Park","non-dropping-particle":"","parse-names":false,"suffix":""},{"dropping-particle":"","family":"Mghazli","given":"Mohamed Oualid","non-dropping-particle":"","parse-names":false,"suffix":""},{"dropping-particle":"","family":"Mansouri","given":"Fouad","non-dropping-particle":"El","parse-names":false,"suffix":""},{"dropping-particle":"","family":"Jamil","given":"Abdelmajid","non-dropping-particle":"","parse-names":false,"suffix":""},{"dropping-particle":"","family":"Ahachad","given":"Mohammed","non-dropping-particle":"","parse-names":false,"suffix":""},{"dropping-particle":"","family":"Brigui","given":"Jamal","non-dropping-particle":"","parse-names":false,"suffix":""}],"container-title":"Solar Energy","id":"ITEM-1","issue":"December 2023","issued":{"date-parts":[["2024"]]},"page":"112264","publisher":"Elsevier Ltd","title":"Design parameters influencing the energy performance and indoor comfort of net zero energy building “NZEB” designed for semi-arid urban areas: Digital workflow methodology, sensitivity analysis and comparative assessment","type":"article-journal","volume":"268"},"uris":["http://www.mendeley.com/documents/?uuid=b14a8eca-c57b-435c-80f6-aed7013beaec"]}],"mendeley":{"formattedCitation":"(Kaitouni et al., 2024)","plainTextFormattedCitation":"(Kaitouni et al., 2024)","previouslyFormattedCitation":"(Kaitouni et al., 2024)"},"properties":{"noteIndex":0},"schema":"https://github.com/citation-style-language/schema/raw/master/csl-citation.json"}</w:instrText>
      </w:r>
      <w:r w:rsidR="00A11ED8" w:rsidRPr="004332C8">
        <w:fldChar w:fldCharType="separate"/>
      </w:r>
      <w:r w:rsidR="004453AF" w:rsidRPr="004332C8">
        <w:rPr>
          <w:noProof/>
        </w:rPr>
        <w:t>(Kaitouni et al., 2024)</w:t>
      </w:r>
      <w:r w:rsidR="00A11ED8" w:rsidRPr="004332C8">
        <w:fldChar w:fldCharType="end"/>
      </w:r>
      <w:r w:rsidR="00C96072" w:rsidRPr="004332C8">
        <w:t>.</w:t>
      </w:r>
    </w:p>
    <w:p w14:paraId="1048CDDF" w14:textId="52F81F7E" w:rsidR="003E150C" w:rsidRDefault="003E150C">
      <w:pPr>
        <w:pStyle w:val="FootnoteText"/>
      </w:pPr>
    </w:p>
  </w:footnote>
  <w:footnote w:id="4">
    <w:p w14:paraId="16C78E94" w14:textId="7D5A9AFD" w:rsidR="00EE1B25" w:rsidRDefault="00EE1B25" w:rsidP="00040945">
      <w:pPr>
        <w:pStyle w:val="FootnoteText"/>
        <w:ind w:firstLine="0"/>
      </w:pPr>
      <w:r>
        <w:rPr>
          <w:rStyle w:val="FootnoteReference"/>
        </w:rPr>
        <w:footnoteRef/>
      </w:r>
      <w:r>
        <w:t xml:space="preserve"> </w:t>
      </w:r>
      <w:r w:rsidR="0098430D">
        <w:t xml:space="preserve">Household region </w:t>
      </w:r>
      <w:r w:rsidR="0069004B">
        <w:t xml:space="preserve">partitions America into 4 regions West, South, Northeast and Midwest. </w:t>
      </w:r>
      <w:r>
        <w:t xml:space="preserve">Household Division is </w:t>
      </w:r>
      <w:r w:rsidR="0047458B">
        <w:t xml:space="preserve">a more disaggregate classification of the region </w:t>
      </w:r>
      <w:r>
        <w:t xml:space="preserve">including East North Central, East South Central, Middle Atlantic, Mountain, New England, Pacific, South Atlantic, West North Central, and West </w:t>
      </w:r>
      <w:r w:rsidR="003965DD">
        <w:t>South-Central</w:t>
      </w:r>
      <w:r>
        <w:t xml:space="preserve"> region</w:t>
      </w:r>
      <w:r w:rsidR="0047458B">
        <w:t xml:space="preserve">. </w:t>
      </w:r>
    </w:p>
  </w:footnote>
  <w:footnote w:id="5">
    <w:p w14:paraId="3E6076C8" w14:textId="5CD7D7E8" w:rsidR="00930F87" w:rsidRPr="00804571" w:rsidRDefault="00930F87" w:rsidP="00040945">
      <w:pPr>
        <w:pStyle w:val="FootnoteText"/>
        <w:ind w:firstLine="0"/>
      </w:pPr>
      <w:r>
        <w:rPr>
          <w:rStyle w:val="FootnoteReference"/>
        </w:rPr>
        <w:footnoteRef/>
      </w:r>
      <w:r>
        <w:t xml:space="preserve"> </w:t>
      </w:r>
      <w:r w:rsidRPr="00804571">
        <w:t>The reader would note that if a particular RECS record does not have the target number of records, all the available records from NHTS are considered for the fusion.</w:t>
      </w:r>
    </w:p>
  </w:footnote>
  <w:footnote w:id="6">
    <w:p w14:paraId="43C926D0" w14:textId="7F56EE28" w:rsidR="00C60BA4" w:rsidRDefault="00C60BA4" w:rsidP="00040945">
      <w:pPr>
        <w:pStyle w:val="1stParagraph"/>
      </w:pPr>
      <w:r w:rsidRPr="00804571">
        <w:rPr>
          <w:rStyle w:val="FootnoteReference"/>
          <w:sz w:val="20"/>
          <w:szCs w:val="20"/>
        </w:rPr>
        <w:footnoteRef/>
      </w:r>
      <w:r w:rsidRPr="00804571">
        <w:rPr>
          <w:sz w:val="20"/>
          <w:szCs w:val="20"/>
        </w:rPr>
        <w:t xml:space="preserve"> </w:t>
      </w:r>
      <w:r w:rsidR="00BD5F29" w:rsidRPr="00804571">
        <w:rPr>
          <w:sz w:val="20"/>
          <w:szCs w:val="20"/>
        </w:rPr>
        <w:t>F</w:t>
      </w:r>
      <w:r w:rsidR="00EE19A4" w:rsidRPr="00804571">
        <w:rPr>
          <w:sz w:val="20"/>
          <w:szCs w:val="20"/>
        </w:rPr>
        <w:t xml:space="preserve">or the combination </w:t>
      </w:r>
      <w:r w:rsidR="00451328" w:rsidRPr="00451328">
        <w:rPr>
          <w:sz w:val="20"/>
          <w:szCs w:val="20"/>
        </w:rPr>
        <w:t>D-L-O-R-S</w:t>
      </w:r>
      <w:r w:rsidR="00EE19A4" w:rsidRPr="00804571">
        <w:rPr>
          <w:sz w:val="20"/>
          <w:szCs w:val="20"/>
        </w:rPr>
        <w:t xml:space="preserve">, </w:t>
      </w:r>
      <w:r w:rsidR="004B5C30" w:rsidRPr="00804571">
        <w:rPr>
          <w:sz w:val="20"/>
          <w:szCs w:val="20"/>
        </w:rPr>
        <w:t>t</w:t>
      </w:r>
      <w:r w:rsidR="00205DDA" w:rsidRPr="00804571">
        <w:rPr>
          <w:sz w:val="20"/>
          <w:szCs w:val="20"/>
        </w:rPr>
        <w:t>he BIC value of the</w:t>
      </w:r>
      <w:r w:rsidR="004B5C30" w:rsidRPr="00804571">
        <w:rPr>
          <w:sz w:val="20"/>
          <w:szCs w:val="20"/>
        </w:rPr>
        <w:t xml:space="preserve"> RECS only model</w:t>
      </w:r>
      <w:r w:rsidR="00BD5F29" w:rsidRPr="00804571">
        <w:rPr>
          <w:sz w:val="20"/>
          <w:szCs w:val="20"/>
        </w:rPr>
        <w:t xml:space="preserve"> is </w:t>
      </w:r>
      <w:r w:rsidR="00057644" w:rsidRPr="00057644">
        <w:rPr>
          <w:sz w:val="20"/>
          <w:szCs w:val="20"/>
        </w:rPr>
        <w:t>649</w:t>
      </w:r>
      <w:r w:rsidR="00057644">
        <w:rPr>
          <w:sz w:val="20"/>
          <w:szCs w:val="20"/>
        </w:rPr>
        <w:t>,</w:t>
      </w:r>
      <w:r w:rsidR="00057644" w:rsidRPr="00057644">
        <w:rPr>
          <w:sz w:val="20"/>
          <w:szCs w:val="20"/>
        </w:rPr>
        <w:t>219</w:t>
      </w:r>
      <w:r w:rsidR="00057644">
        <w:rPr>
          <w:sz w:val="20"/>
          <w:szCs w:val="20"/>
        </w:rPr>
        <w:t xml:space="preserve"> </w:t>
      </w:r>
      <w:r w:rsidR="00BD5F29" w:rsidRPr="00804571">
        <w:rPr>
          <w:sz w:val="20"/>
          <w:szCs w:val="20"/>
        </w:rPr>
        <w:t xml:space="preserve">and </w:t>
      </w:r>
      <w:r w:rsidR="00136AA0" w:rsidRPr="00804571">
        <w:rPr>
          <w:sz w:val="20"/>
          <w:szCs w:val="20"/>
        </w:rPr>
        <w:t>at fusion size = 2</w:t>
      </w:r>
      <w:r w:rsidR="00451328">
        <w:rPr>
          <w:sz w:val="20"/>
          <w:szCs w:val="20"/>
        </w:rPr>
        <w:t>0</w:t>
      </w:r>
      <w:r w:rsidR="00136AA0" w:rsidRPr="00804571">
        <w:rPr>
          <w:sz w:val="20"/>
          <w:szCs w:val="20"/>
        </w:rPr>
        <w:t>, the BIC value of the fusion model is</w:t>
      </w:r>
      <w:r w:rsidR="0097715E" w:rsidRPr="00804571">
        <w:rPr>
          <w:sz w:val="20"/>
          <w:szCs w:val="20"/>
        </w:rPr>
        <w:t xml:space="preserve"> </w:t>
      </w:r>
      <w:r w:rsidR="006B73C0" w:rsidRPr="006B73C0">
        <w:rPr>
          <w:sz w:val="20"/>
          <w:szCs w:val="20"/>
        </w:rPr>
        <w:t>649</w:t>
      </w:r>
      <w:r w:rsidR="006B73C0">
        <w:rPr>
          <w:sz w:val="20"/>
          <w:szCs w:val="20"/>
        </w:rPr>
        <w:t>,</w:t>
      </w:r>
      <w:r w:rsidR="006B73C0" w:rsidRPr="006B73C0">
        <w:rPr>
          <w:sz w:val="20"/>
          <w:szCs w:val="20"/>
        </w:rPr>
        <w:t>198</w:t>
      </w:r>
      <w:r w:rsidR="00136AA0" w:rsidRPr="00804571">
        <w:rPr>
          <w:sz w:val="20"/>
          <w:szCs w:val="20"/>
        </w:rPr>
        <w:t xml:space="preserve">. </w:t>
      </w:r>
      <w:r w:rsidR="00447160" w:rsidRPr="00804571">
        <w:rPr>
          <w:sz w:val="20"/>
          <w:szCs w:val="20"/>
        </w:rPr>
        <w:t>The BIC values also indicate the improve</w:t>
      </w:r>
      <w:r w:rsidR="00947F70" w:rsidRPr="00804571">
        <w:rPr>
          <w:sz w:val="20"/>
          <w:szCs w:val="20"/>
        </w:rPr>
        <w:t>d predictability of the fusion model.</w:t>
      </w:r>
      <w:r w:rsidR="00947F70">
        <w:t xml:space="preserve"> </w:t>
      </w:r>
      <w:r w:rsidR="004B5C30">
        <w:t xml:space="preserve"> </w:t>
      </w:r>
      <w:r w:rsidR="00205D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5785" w14:textId="155193F3" w:rsidR="009F56C2" w:rsidRDefault="009F56C2" w:rsidP="009F56C2">
    <w:pPr>
      <w:pStyle w:val="1stParagraph"/>
    </w:pPr>
    <w:r>
      <w:t>Jahan</w:t>
    </w:r>
    <w:r w:rsidR="00064E5A">
      <w:t xml:space="preserve"> and Eluru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F58B4"/>
    <w:multiLevelType w:val="hybridMultilevel"/>
    <w:tmpl w:val="5BC6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C5889"/>
    <w:multiLevelType w:val="hybridMultilevel"/>
    <w:tmpl w:val="AA82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43223"/>
    <w:multiLevelType w:val="multilevel"/>
    <w:tmpl w:val="2CAE6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7816C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7C4B2D22"/>
    <w:multiLevelType w:val="hybridMultilevel"/>
    <w:tmpl w:val="938622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75949706">
    <w:abstractNumId w:val="2"/>
  </w:num>
  <w:num w:numId="2" w16cid:durableId="1053968274">
    <w:abstractNumId w:val="3"/>
  </w:num>
  <w:num w:numId="3" w16cid:durableId="636110900">
    <w:abstractNumId w:val="1"/>
  </w:num>
  <w:num w:numId="4" w16cid:durableId="281884471">
    <w:abstractNumId w:val="4"/>
  </w:num>
  <w:num w:numId="5" w16cid:durableId="71219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29"/>
    <w:rsid w:val="0000167F"/>
    <w:rsid w:val="00001D1E"/>
    <w:rsid w:val="00002D8E"/>
    <w:rsid w:val="00002E6C"/>
    <w:rsid w:val="000037AA"/>
    <w:rsid w:val="00003850"/>
    <w:rsid w:val="00004387"/>
    <w:rsid w:val="000108C9"/>
    <w:rsid w:val="00011933"/>
    <w:rsid w:val="00012222"/>
    <w:rsid w:val="000143F5"/>
    <w:rsid w:val="00014B06"/>
    <w:rsid w:val="00014D77"/>
    <w:rsid w:val="00015099"/>
    <w:rsid w:val="0001615C"/>
    <w:rsid w:val="00016CBC"/>
    <w:rsid w:val="00017251"/>
    <w:rsid w:val="0001760C"/>
    <w:rsid w:val="0002005D"/>
    <w:rsid w:val="0002018B"/>
    <w:rsid w:val="00020EE2"/>
    <w:rsid w:val="00021EFE"/>
    <w:rsid w:val="0002240C"/>
    <w:rsid w:val="00022736"/>
    <w:rsid w:val="00022C44"/>
    <w:rsid w:val="00023C10"/>
    <w:rsid w:val="0002419D"/>
    <w:rsid w:val="000249BE"/>
    <w:rsid w:val="00025ADB"/>
    <w:rsid w:val="000266FA"/>
    <w:rsid w:val="00027750"/>
    <w:rsid w:val="000302EF"/>
    <w:rsid w:val="000305F3"/>
    <w:rsid w:val="0003083A"/>
    <w:rsid w:val="00031DDA"/>
    <w:rsid w:val="0003418A"/>
    <w:rsid w:val="00036772"/>
    <w:rsid w:val="00037DC7"/>
    <w:rsid w:val="00040945"/>
    <w:rsid w:val="00040CD1"/>
    <w:rsid w:val="000425D6"/>
    <w:rsid w:val="0004295C"/>
    <w:rsid w:val="00042B81"/>
    <w:rsid w:val="00043382"/>
    <w:rsid w:val="00046572"/>
    <w:rsid w:val="0004737E"/>
    <w:rsid w:val="00047BFD"/>
    <w:rsid w:val="00050087"/>
    <w:rsid w:val="0005137A"/>
    <w:rsid w:val="000537CB"/>
    <w:rsid w:val="000556E5"/>
    <w:rsid w:val="00056249"/>
    <w:rsid w:val="00056561"/>
    <w:rsid w:val="000569E8"/>
    <w:rsid w:val="00057644"/>
    <w:rsid w:val="00057A07"/>
    <w:rsid w:val="00062637"/>
    <w:rsid w:val="00063286"/>
    <w:rsid w:val="00064E5A"/>
    <w:rsid w:val="000665C5"/>
    <w:rsid w:val="00067708"/>
    <w:rsid w:val="0006775C"/>
    <w:rsid w:val="000721AC"/>
    <w:rsid w:val="00074054"/>
    <w:rsid w:val="0007624F"/>
    <w:rsid w:val="000762F4"/>
    <w:rsid w:val="00077A1C"/>
    <w:rsid w:val="00080378"/>
    <w:rsid w:val="000804A0"/>
    <w:rsid w:val="00082F9A"/>
    <w:rsid w:val="00083208"/>
    <w:rsid w:val="00084178"/>
    <w:rsid w:val="000856A6"/>
    <w:rsid w:val="00086C7D"/>
    <w:rsid w:val="000909A1"/>
    <w:rsid w:val="0009144A"/>
    <w:rsid w:val="00092141"/>
    <w:rsid w:val="000923B4"/>
    <w:rsid w:val="00092D84"/>
    <w:rsid w:val="00093E89"/>
    <w:rsid w:val="00094BA3"/>
    <w:rsid w:val="00094D39"/>
    <w:rsid w:val="00097904"/>
    <w:rsid w:val="000A11AA"/>
    <w:rsid w:val="000A15A8"/>
    <w:rsid w:val="000A2C33"/>
    <w:rsid w:val="000A2CD6"/>
    <w:rsid w:val="000A5ADD"/>
    <w:rsid w:val="000A5D6B"/>
    <w:rsid w:val="000B08BF"/>
    <w:rsid w:val="000B0C8D"/>
    <w:rsid w:val="000B3309"/>
    <w:rsid w:val="000B33DA"/>
    <w:rsid w:val="000B3BA8"/>
    <w:rsid w:val="000B4778"/>
    <w:rsid w:val="000B4ECD"/>
    <w:rsid w:val="000B5591"/>
    <w:rsid w:val="000B62EE"/>
    <w:rsid w:val="000B6B61"/>
    <w:rsid w:val="000B78E5"/>
    <w:rsid w:val="000C0336"/>
    <w:rsid w:val="000C1399"/>
    <w:rsid w:val="000C1817"/>
    <w:rsid w:val="000C2EF6"/>
    <w:rsid w:val="000C43DA"/>
    <w:rsid w:val="000C4C83"/>
    <w:rsid w:val="000C5FD4"/>
    <w:rsid w:val="000C7129"/>
    <w:rsid w:val="000C780D"/>
    <w:rsid w:val="000D0916"/>
    <w:rsid w:val="000D0D38"/>
    <w:rsid w:val="000D2540"/>
    <w:rsid w:val="000D36C1"/>
    <w:rsid w:val="000D4A5B"/>
    <w:rsid w:val="000D54E6"/>
    <w:rsid w:val="000D7948"/>
    <w:rsid w:val="000E1286"/>
    <w:rsid w:val="000E4038"/>
    <w:rsid w:val="000E4524"/>
    <w:rsid w:val="000E4B68"/>
    <w:rsid w:val="000E5D16"/>
    <w:rsid w:val="000F04BC"/>
    <w:rsid w:val="000F0510"/>
    <w:rsid w:val="000F095C"/>
    <w:rsid w:val="000F0CBA"/>
    <w:rsid w:val="000F12B7"/>
    <w:rsid w:val="000F299F"/>
    <w:rsid w:val="000F35C5"/>
    <w:rsid w:val="000F43AD"/>
    <w:rsid w:val="000F51A5"/>
    <w:rsid w:val="000F5540"/>
    <w:rsid w:val="000F6482"/>
    <w:rsid w:val="000F6DDC"/>
    <w:rsid w:val="000F711F"/>
    <w:rsid w:val="000F7142"/>
    <w:rsid w:val="000F7430"/>
    <w:rsid w:val="000F7A13"/>
    <w:rsid w:val="000F7D8C"/>
    <w:rsid w:val="000F7DA8"/>
    <w:rsid w:val="001028C2"/>
    <w:rsid w:val="001034B8"/>
    <w:rsid w:val="00104A79"/>
    <w:rsid w:val="00104AE8"/>
    <w:rsid w:val="00107A65"/>
    <w:rsid w:val="00111265"/>
    <w:rsid w:val="001115EC"/>
    <w:rsid w:val="00112E1C"/>
    <w:rsid w:val="001133E0"/>
    <w:rsid w:val="00113A1A"/>
    <w:rsid w:val="00114009"/>
    <w:rsid w:val="001142E5"/>
    <w:rsid w:val="001146A9"/>
    <w:rsid w:val="00114BA4"/>
    <w:rsid w:val="00116A19"/>
    <w:rsid w:val="00117E26"/>
    <w:rsid w:val="00120C5A"/>
    <w:rsid w:val="00120DD1"/>
    <w:rsid w:val="00121265"/>
    <w:rsid w:val="001215EF"/>
    <w:rsid w:val="00121D61"/>
    <w:rsid w:val="00121FA2"/>
    <w:rsid w:val="00124263"/>
    <w:rsid w:val="0012696A"/>
    <w:rsid w:val="00130274"/>
    <w:rsid w:val="001322B0"/>
    <w:rsid w:val="001325E7"/>
    <w:rsid w:val="00132691"/>
    <w:rsid w:val="00133500"/>
    <w:rsid w:val="00133AD0"/>
    <w:rsid w:val="00133B08"/>
    <w:rsid w:val="00133F0A"/>
    <w:rsid w:val="0013400F"/>
    <w:rsid w:val="001352C6"/>
    <w:rsid w:val="00135AF1"/>
    <w:rsid w:val="00136366"/>
    <w:rsid w:val="00136AA0"/>
    <w:rsid w:val="00140068"/>
    <w:rsid w:val="0014089A"/>
    <w:rsid w:val="00140F1E"/>
    <w:rsid w:val="00141937"/>
    <w:rsid w:val="00142086"/>
    <w:rsid w:val="00143307"/>
    <w:rsid w:val="001434B1"/>
    <w:rsid w:val="00145B88"/>
    <w:rsid w:val="00153972"/>
    <w:rsid w:val="00153C2F"/>
    <w:rsid w:val="0015413C"/>
    <w:rsid w:val="00154501"/>
    <w:rsid w:val="00156453"/>
    <w:rsid w:val="00157621"/>
    <w:rsid w:val="001603ED"/>
    <w:rsid w:val="001612B9"/>
    <w:rsid w:val="00162464"/>
    <w:rsid w:val="00164C65"/>
    <w:rsid w:val="00164C69"/>
    <w:rsid w:val="00164E8E"/>
    <w:rsid w:val="0016576D"/>
    <w:rsid w:val="001707D0"/>
    <w:rsid w:val="00173409"/>
    <w:rsid w:val="0017464D"/>
    <w:rsid w:val="00175EA7"/>
    <w:rsid w:val="0017607D"/>
    <w:rsid w:val="00177C6A"/>
    <w:rsid w:val="00182E25"/>
    <w:rsid w:val="001834BC"/>
    <w:rsid w:val="00184186"/>
    <w:rsid w:val="00184FFF"/>
    <w:rsid w:val="0018563A"/>
    <w:rsid w:val="00185AA7"/>
    <w:rsid w:val="001914A9"/>
    <w:rsid w:val="00191F08"/>
    <w:rsid w:val="001940AA"/>
    <w:rsid w:val="00194BDF"/>
    <w:rsid w:val="0019663E"/>
    <w:rsid w:val="00197993"/>
    <w:rsid w:val="00197DE6"/>
    <w:rsid w:val="001A04ED"/>
    <w:rsid w:val="001A2894"/>
    <w:rsid w:val="001A2EEE"/>
    <w:rsid w:val="001A49C9"/>
    <w:rsid w:val="001A5EE4"/>
    <w:rsid w:val="001A6AAD"/>
    <w:rsid w:val="001A6CDF"/>
    <w:rsid w:val="001B0984"/>
    <w:rsid w:val="001B0AA6"/>
    <w:rsid w:val="001B1363"/>
    <w:rsid w:val="001B1948"/>
    <w:rsid w:val="001B2A1A"/>
    <w:rsid w:val="001B470E"/>
    <w:rsid w:val="001B4A29"/>
    <w:rsid w:val="001B76F6"/>
    <w:rsid w:val="001B7D6C"/>
    <w:rsid w:val="001C0CB5"/>
    <w:rsid w:val="001C0D17"/>
    <w:rsid w:val="001C1666"/>
    <w:rsid w:val="001C178D"/>
    <w:rsid w:val="001C1EB0"/>
    <w:rsid w:val="001C2CDD"/>
    <w:rsid w:val="001C2D2B"/>
    <w:rsid w:val="001C3166"/>
    <w:rsid w:val="001C3C06"/>
    <w:rsid w:val="001C43F4"/>
    <w:rsid w:val="001C4CCC"/>
    <w:rsid w:val="001C5863"/>
    <w:rsid w:val="001C7175"/>
    <w:rsid w:val="001C76BF"/>
    <w:rsid w:val="001D0629"/>
    <w:rsid w:val="001D3AC5"/>
    <w:rsid w:val="001D3F5F"/>
    <w:rsid w:val="001D42E5"/>
    <w:rsid w:val="001D58D0"/>
    <w:rsid w:val="001D6DE6"/>
    <w:rsid w:val="001E0363"/>
    <w:rsid w:val="001E08F6"/>
    <w:rsid w:val="001E1994"/>
    <w:rsid w:val="001E1AAB"/>
    <w:rsid w:val="001E3396"/>
    <w:rsid w:val="001E53A9"/>
    <w:rsid w:val="001E5B99"/>
    <w:rsid w:val="001E6BEA"/>
    <w:rsid w:val="001E72A9"/>
    <w:rsid w:val="001F02F9"/>
    <w:rsid w:val="001F19AC"/>
    <w:rsid w:val="001F2CBA"/>
    <w:rsid w:val="001F36C1"/>
    <w:rsid w:val="001F58EA"/>
    <w:rsid w:val="001F600A"/>
    <w:rsid w:val="001F6941"/>
    <w:rsid w:val="001F7350"/>
    <w:rsid w:val="001F7413"/>
    <w:rsid w:val="001F7D32"/>
    <w:rsid w:val="002001DF"/>
    <w:rsid w:val="00200355"/>
    <w:rsid w:val="002004E4"/>
    <w:rsid w:val="0020090C"/>
    <w:rsid w:val="00200A2E"/>
    <w:rsid w:val="00203261"/>
    <w:rsid w:val="002039B2"/>
    <w:rsid w:val="00204098"/>
    <w:rsid w:val="002059A1"/>
    <w:rsid w:val="00205DDA"/>
    <w:rsid w:val="00210458"/>
    <w:rsid w:val="002109B6"/>
    <w:rsid w:val="00212922"/>
    <w:rsid w:val="00215F1A"/>
    <w:rsid w:val="00216149"/>
    <w:rsid w:val="00220470"/>
    <w:rsid w:val="0022089D"/>
    <w:rsid w:val="00222CCD"/>
    <w:rsid w:val="00224621"/>
    <w:rsid w:val="00224704"/>
    <w:rsid w:val="0022673A"/>
    <w:rsid w:val="00227939"/>
    <w:rsid w:val="00227B20"/>
    <w:rsid w:val="002305E3"/>
    <w:rsid w:val="002308D7"/>
    <w:rsid w:val="00230BEA"/>
    <w:rsid w:val="00230CFE"/>
    <w:rsid w:val="0023155A"/>
    <w:rsid w:val="00232790"/>
    <w:rsid w:val="0023323E"/>
    <w:rsid w:val="00233EE4"/>
    <w:rsid w:val="002343B8"/>
    <w:rsid w:val="00235C9B"/>
    <w:rsid w:val="002361AD"/>
    <w:rsid w:val="00236435"/>
    <w:rsid w:val="00236593"/>
    <w:rsid w:val="00236C9A"/>
    <w:rsid w:val="00240200"/>
    <w:rsid w:val="0024078E"/>
    <w:rsid w:val="002412B8"/>
    <w:rsid w:val="0024203C"/>
    <w:rsid w:val="00242F0E"/>
    <w:rsid w:val="0024385B"/>
    <w:rsid w:val="0024461B"/>
    <w:rsid w:val="00244FD9"/>
    <w:rsid w:val="0024659C"/>
    <w:rsid w:val="0025034C"/>
    <w:rsid w:val="0025094E"/>
    <w:rsid w:val="00250CFF"/>
    <w:rsid w:val="0025179D"/>
    <w:rsid w:val="00251FA9"/>
    <w:rsid w:val="00252995"/>
    <w:rsid w:val="0025351A"/>
    <w:rsid w:val="0025410F"/>
    <w:rsid w:val="00260F90"/>
    <w:rsid w:val="002630B8"/>
    <w:rsid w:val="0026405F"/>
    <w:rsid w:val="002646F2"/>
    <w:rsid w:val="00264DC4"/>
    <w:rsid w:val="00266016"/>
    <w:rsid w:val="00266D96"/>
    <w:rsid w:val="00270459"/>
    <w:rsid w:val="00270BEE"/>
    <w:rsid w:val="00270E54"/>
    <w:rsid w:val="00271BAB"/>
    <w:rsid w:val="002727DD"/>
    <w:rsid w:val="00272BCF"/>
    <w:rsid w:val="00273110"/>
    <w:rsid w:val="0027369C"/>
    <w:rsid w:val="00274761"/>
    <w:rsid w:val="0027766C"/>
    <w:rsid w:val="00277B8C"/>
    <w:rsid w:val="00281295"/>
    <w:rsid w:val="00281E4E"/>
    <w:rsid w:val="002830EF"/>
    <w:rsid w:val="00283692"/>
    <w:rsid w:val="00286F91"/>
    <w:rsid w:val="002905E4"/>
    <w:rsid w:val="0029143C"/>
    <w:rsid w:val="00293000"/>
    <w:rsid w:val="00293CDA"/>
    <w:rsid w:val="002955BE"/>
    <w:rsid w:val="002956F1"/>
    <w:rsid w:val="00295E3A"/>
    <w:rsid w:val="00296B07"/>
    <w:rsid w:val="002A0502"/>
    <w:rsid w:val="002A12A5"/>
    <w:rsid w:val="002A150A"/>
    <w:rsid w:val="002A1D9B"/>
    <w:rsid w:val="002A226C"/>
    <w:rsid w:val="002A3CA0"/>
    <w:rsid w:val="002A4184"/>
    <w:rsid w:val="002A4664"/>
    <w:rsid w:val="002A49BA"/>
    <w:rsid w:val="002A5535"/>
    <w:rsid w:val="002A5F50"/>
    <w:rsid w:val="002A7868"/>
    <w:rsid w:val="002B0BA1"/>
    <w:rsid w:val="002B0D0C"/>
    <w:rsid w:val="002B1293"/>
    <w:rsid w:val="002B1667"/>
    <w:rsid w:val="002B275F"/>
    <w:rsid w:val="002B4359"/>
    <w:rsid w:val="002B46A8"/>
    <w:rsid w:val="002C111C"/>
    <w:rsid w:val="002C1658"/>
    <w:rsid w:val="002C4E35"/>
    <w:rsid w:val="002C6A0B"/>
    <w:rsid w:val="002C6A94"/>
    <w:rsid w:val="002C6D6F"/>
    <w:rsid w:val="002C756A"/>
    <w:rsid w:val="002C7FDA"/>
    <w:rsid w:val="002D0622"/>
    <w:rsid w:val="002D3A8E"/>
    <w:rsid w:val="002D4D97"/>
    <w:rsid w:val="002D68E3"/>
    <w:rsid w:val="002D6A11"/>
    <w:rsid w:val="002D700E"/>
    <w:rsid w:val="002E1293"/>
    <w:rsid w:val="002E1C54"/>
    <w:rsid w:val="002E1D0D"/>
    <w:rsid w:val="002E30F5"/>
    <w:rsid w:val="002E3354"/>
    <w:rsid w:val="002E35CE"/>
    <w:rsid w:val="002E3900"/>
    <w:rsid w:val="002E3C79"/>
    <w:rsid w:val="002E4946"/>
    <w:rsid w:val="002F05A9"/>
    <w:rsid w:val="002F1D4B"/>
    <w:rsid w:val="002F2176"/>
    <w:rsid w:val="002F36A9"/>
    <w:rsid w:val="002F556D"/>
    <w:rsid w:val="002F6528"/>
    <w:rsid w:val="002F6C4D"/>
    <w:rsid w:val="002F6CD6"/>
    <w:rsid w:val="003000EF"/>
    <w:rsid w:val="00301D85"/>
    <w:rsid w:val="0030208A"/>
    <w:rsid w:val="00303138"/>
    <w:rsid w:val="00303F3C"/>
    <w:rsid w:val="0030431D"/>
    <w:rsid w:val="003109EE"/>
    <w:rsid w:val="00310A0A"/>
    <w:rsid w:val="00310A4D"/>
    <w:rsid w:val="00311089"/>
    <w:rsid w:val="00311523"/>
    <w:rsid w:val="003141D5"/>
    <w:rsid w:val="003170E0"/>
    <w:rsid w:val="00321109"/>
    <w:rsid w:val="00321414"/>
    <w:rsid w:val="003215EB"/>
    <w:rsid w:val="00321736"/>
    <w:rsid w:val="00322AA4"/>
    <w:rsid w:val="00324212"/>
    <w:rsid w:val="00325408"/>
    <w:rsid w:val="00325B38"/>
    <w:rsid w:val="00326403"/>
    <w:rsid w:val="0032671E"/>
    <w:rsid w:val="003301F3"/>
    <w:rsid w:val="00330364"/>
    <w:rsid w:val="0033057D"/>
    <w:rsid w:val="00332501"/>
    <w:rsid w:val="00333578"/>
    <w:rsid w:val="00334ED1"/>
    <w:rsid w:val="00337A42"/>
    <w:rsid w:val="003402A6"/>
    <w:rsid w:val="0034183B"/>
    <w:rsid w:val="00344B01"/>
    <w:rsid w:val="00350202"/>
    <w:rsid w:val="00350777"/>
    <w:rsid w:val="00350C24"/>
    <w:rsid w:val="003514A6"/>
    <w:rsid w:val="00352050"/>
    <w:rsid w:val="0035307C"/>
    <w:rsid w:val="00353345"/>
    <w:rsid w:val="00354B6B"/>
    <w:rsid w:val="003553AB"/>
    <w:rsid w:val="003555E2"/>
    <w:rsid w:val="00355F89"/>
    <w:rsid w:val="00360592"/>
    <w:rsid w:val="00361119"/>
    <w:rsid w:val="00363FB9"/>
    <w:rsid w:val="0036735F"/>
    <w:rsid w:val="003719B9"/>
    <w:rsid w:val="0037378C"/>
    <w:rsid w:val="00373A67"/>
    <w:rsid w:val="00373C52"/>
    <w:rsid w:val="00373E8B"/>
    <w:rsid w:val="0037489A"/>
    <w:rsid w:val="00374B30"/>
    <w:rsid w:val="0037502E"/>
    <w:rsid w:val="003766F9"/>
    <w:rsid w:val="00376B01"/>
    <w:rsid w:val="00380951"/>
    <w:rsid w:val="00380EC4"/>
    <w:rsid w:val="00381120"/>
    <w:rsid w:val="00381A56"/>
    <w:rsid w:val="00382202"/>
    <w:rsid w:val="003827BE"/>
    <w:rsid w:val="00384550"/>
    <w:rsid w:val="00385AEA"/>
    <w:rsid w:val="00386766"/>
    <w:rsid w:val="00387146"/>
    <w:rsid w:val="003918CC"/>
    <w:rsid w:val="0039261E"/>
    <w:rsid w:val="003935C4"/>
    <w:rsid w:val="003937DA"/>
    <w:rsid w:val="0039456B"/>
    <w:rsid w:val="003965DD"/>
    <w:rsid w:val="003971D6"/>
    <w:rsid w:val="0039787B"/>
    <w:rsid w:val="003A09A4"/>
    <w:rsid w:val="003A1A49"/>
    <w:rsid w:val="003A1D35"/>
    <w:rsid w:val="003A3A46"/>
    <w:rsid w:val="003A58A1"/>
    <w:rsid w:val="003A5B42"/>
    <w:rsid w:val="003A74F2"/>
    <w:rsid w:val="003A79C4"/>
    <w:rsid w:val="003A7F94"/>
    <w:rsid w:val="003B140F"/>
    <w:rsid w:val="003B3AC2"/>
    <w:rsid w:val="003B40DC"/>
    <w:rsid w:val="003B4357"/>
    <w:rsid w:val="003B4C26"/>
    <w:rsid w:val="003B5D48"/>
    <w:rsid w:val="003B77B9"/>
    <w:rsid w:val="003B7DA3"/>
    <w:rsid w:val="003B7E8F"/>
    <w:rsid w:val="003C1022"/>
    <w:rsid w:val="003C39B3"/>
    <w:rsid w:val="003C3ABE"/>
    <w:rsid w:val="003C6CCF"/>
    <w:rsid w:val="003C75C0"/>
    <w:rsid w:val="003D0A13"/>
    <w:rsid w:val="003D2088"/>
    <w:rsid w:val="003D2A43"/>
    <w:rsid w:val="003D2FDE"/>
    <w:rsid w:val="003D39F3"/>
    <w:rsid w:val="003D4786"/>
    <w:rsid w:val="003D4B43"/>
    <w:rsid w:val="003D5AB7"/>
    <w:rsid w:val="003D6115"/>
    <w:rsid w:val="003D6F20"/>
    <w:rsid w:val="003D7FAE"/>
    <w:rsid w:val="003E150C"/>
    <w:rsid w:val="003E168C"/>
    <w:rsid w:val="003E209F"/>
    <w:rsid w:val="003E2EB0"/>
    <w:rsid w:val="003E3078"/>
    <w:rsid w:val="003E34D0"/>
    <w:rsid w:val="003E53AB"/>
    <w:rsid w:val="003E7CB2"/>
    <w:rsid w:val="003E7F6C"/>
    <w:rsid w:val="003F1810"/>
    <w:rsid w:val="003F1821"/>
    <w:rsid w:val="003F2009"/>
    <w:rsid w:val="003F2242"/>
    <w:rsid w:val="003F4536"/>
    <w:rsid w:val="003F4B65"/>
    <w:rsid w:val="003F5C34"/>
    <w:rsid w:val="003F7E1C"/>
    <w:rsid w:val="00401352"/>
    <w:rsid w:val="00401DEE"/>
    <w:rsid w:val="00402784"/>
    <w:rsid w:val="00402B2B"/>
    <w:rsid w:val="00402CAD"/>
    <w:rsid w:val="00404041"/>
    <w:rsid w:val="004060B7"/>
    <w:rsid w:val="00406BC2"/>
    <w:rsid w:val="00406E85"/>
    <w:rsid w:val="00407899"/>
    <w:rsid w:val="0041152A"/>
    <w:rsid w:val="00412189"/>
    <w:rsid w:val="00416BA6"/>
    <w:rsid w:val="004204D2"/>
    <w:rsid w:val="0042095C"/>
    <w:rsid w:val="00420C6C"/>
    <w:rsid w:val="00421011"/>
    <w:rsid w:val="00422671"/>
    <w:rsid w:val="0042368A"/>
    <w:rsid w:val="004253A1"/>
    <w:rsid w:val="0042612C"/>
    <w:rsid w:val="004272C1"/>
    <w:rsid w:val="004301F9"/>
    <w:rsid w:val="00432888"/>
    <w:rsid w:val="004330B8"/>
    <w:rsid w:val="004332C8"/>
    <w:rsid w:val="00433312"/>
    <w:rsid w:val="00433F77"/>
    <w:rsid w:val="004347EC"/>
    <w:rsid w:val="004357BD"/>
    <w:rsid w:val="0043758A"/>
    <w:rsid w:val="00437646"/>
    <w:rsid w:val="00440736"/>
    <w:rsid w:val="004412AF"/>
    <w:rsid w:val="00441B58"/>
    <w:rsid w:val="00442CAD"/>
    <w:rsid w:val="00442CF8"/>
    <w:rsid w:val="00444B8A"/>
    <w:rsid w:val="00444BE1"/>
    <w:rsid w:val="00445313"/>
    <w:rsid w:val="004453AF"/>
    <w:rsid w:val="00446AB4"/>
    <w:rsid w:val="00447160"/>
    <w:rsid w:val="00447AD4"/>
    <w:rsid w:val="00447F7D"/>
    <w:rsid w:val="00450B63"/>
    <w:rsid w:val="00451159"/>
    <w:rsid w:val="00451328"/>
    <w:rsid w:val="0045523E"/>
    <w:rsid w:val="00455D39"/>
    <w:rsid w:val="00456A27"/>
    <w:rsid w:val="0045725E"/>
    <w:rsid w:val="00460CD2"/>
    <w:rsid w:val="004612C1"/>
    <w:rsid w:val="004620E8"/>
    <w:rsid w:val="00465E0A"/>
    <w:rsid w:val="0046720A"/>
    <w:rsid w:val="00467992"/>
    <w:rsid w:val="00467E47"/>
    <w:rsid w:val="00470451"/>
    <w:rsid w:val="0047424F"/>
    <w:rsid w:val="0047458B"/>
    <w:rsid w:val="00476F4D"/>
    <w:rsid w:val="00477202"/>
    <w:rsid w:val="004773CF"/>
    <w:rsid w:val="00480A11"/>
    <w:rsid w:val="00480C1A"/>
    <w:rsid w:val="00480FA8"/>
    <w:rsid w:val="00486654"/>
    <w:rsid w:val="0048683A"/>
    <w:rsid w:val="00486CBF"/>
    <w:rsid w:val="00490BAA"/>
    <w:rsid w:val="00492007"/>
    <w:rsid w:val="00492296"/>
    <w:rsid w:val="00492844"/>
    <w:rsid w:val="00492F08"/>
    <w:rsid w:val="0049302E"/>
    <w:rsid w:val="0049381A"/>
    <w:rsid w:val="00493841"/>
    <w:rsid w:val="00497D45"/>
    <w:rsid w:val="004A186B"/>
    <w:rsid w:val="004A226C"/>
    <w:rsid w:val="004A35F2"/>
    <w:rsid w:val="004A3E45"/>
    <w:rsid w:val="004A447B"/>
    <w:rsid w:val="004A58EF"/>
    <w:rsid w:val="004A5FB1"/>
    <w:rsid w:val="004A7192"/>
    <w:rsid w:val="004A7447"/>
    <w:rsid w:val="004B06DB"/>
    <w:rsid w:val="004B1653"/>
    <w:rsid w:val="004B1C01"/>
    <w:rsid w:val="004B2096"/>
    <w:rsid w:val="004B2B40"/>
    <w:rsid w:val="004B36AC"/>
    <w:rsid w:val="004B412F"/>
    <w:rsid w:val="004B4C76"/>
    <w:rsid w:val="004B5C30"/>
    <w:rsid w:val="004B5C9B"/>
    <w:rsid w:val="004B67F0"/>
    <w:rsid w:val="004B7344"/>
    <w:rsid w:val="004B78FF"/>
    <w:rsid w:val="004B7974"/>
    <w:rsid w:val="004C04B1"/>
    <w:rsid w:val="004C15A4"/>
    <w:rsid w:val="004C1B2C"/>
    <w:rsid w:val="004C1D8F"/>
    <w:rsid w:val="004C3DE9"/>
    <w:rsid w:val="004C452B"/>
    <w:rsid w:val="004C54B4"/>
    <w:rsid w:val="004C5A19"/>
    <w:rsid w:val="004C5BC2"/>
    <w:rsid w:val="004C5E51"/>
    <w:rsid w:val="004C75C5"/>
    <w:rsid w:val="004D6128"/>
    <w:rsid w:val="004D6340"/>
    <w:rsid w:val="004D677C"/>
    <w:rsid w:val="004D740E"/>
    <w:rsid w:val="004E0B19"/>
    <w:rsid w:val="004E1361"/>
    <w:rsid w:val="004E1365"/>
    <w:rsid w:val="004E3237"/>
    <w:rsid w:val="004E6A9D"/>
    <w:rsid w:val="004E7377"/>
    <w:rsid w:val="004F06ED"/>
    <w:rsid w:val="004F163E"/>
    <w:rsid w:val="004F24F6"/>
    <w:rsid w:val="004F2789"/>
    <w:rsid w:val="004F28D5"/>
    <w:rsid w:val="004F3BC3"/>
    <w:rsid w:val="004F4507"/>
    <w:rsid w:val="004F45EA"/>
    <w:rsid w:val="004F5756"/>
    <w:rsid w:val="004F62FF"/>
    <w:rsid w:val="0050070B"/>
    <w:rsid w:val="00502FCD"/>
    <w:rsid w:val="005047E4"/>
    <w:rsid w:val="0050481B"/>
    <w:rsid w:val="005056E0"/>
    <w:rsid w:val="00510DF6"/>
    <w:rsid w:val="00511545"/>
    <w:rsid w:val="005119B1"/>
    <w:rsid w:val="0051550F"/>
    <w:rsid w:val="005166CE"/>
    <w:rsid w:val="00517B77"/>
    <w:rsid w:val="00517C08"/>
    <w:rsid w:val="00521638"/>
    <w:rsid w:val="00522915"/>
    <w:rsid w:val="00523BCF"/>
    <w:rsid w:val="005244BC"/>
    <w:rsid w:val="00525F44"/>
    <w:rsid w:val="0052645C"/>
    <w:rsid w:val="00527B73"/>
    <w:rsid w:val="0053139A"/>
    <w:rsid w:val="005316F8"/>
    <w:rsid w:val="00532884"/>
    <w:rsid w:val="00532DA3"/>
    <w:rsid w:val="0053372D"/>
    <w:rsid w:val="0053702C"/>
    <w:rsid w:val="00537691"/>
    <w:rsid w:val="00542D5D"/>
    <w:rsid w:val="00544143"/>
    <w:rsid w:val="0054515E"/>
    <w:rsid w:val="00545634"/>
    <w:rsid w:val="00545A63"/>
    <w:rsid w:val="00546CEC"/>
    <w:rsid w:val="005471D5"/>
    <w:rsid w:val="00547BD6"/>
    <w:rsid w:val="00550990"/>
    <w:rsid w:val="00550FF6"/>
    <w:rsid w:val="00551266"/>
    <w:rsid w:val="00551922"/>
    <w:rsid w:val="005524AB"/>
    <w:rsid w:val="00553217"/>
    <w:rsid w:val="005536D7"/>
    <w:rsid w:val="0055477F"/>
    <w:rsid w:val="00554AAE"/>
    <w:rsid w:val="00554BBD"/>
    <w:rsid w:val="00554C1A"/>
    <w:rsid w:val="0055784E"/>
    <w:rsid w:val="00561738"/>
    <w:rsid w:val="00562314"/>
    <w:rsid w:val="00562CA1"/>
    <w:rsid w:val="00565B0B"/>
    <w:rsid w:val="00565DA5"/>
    <w:rsid w:val="005679B0"/>
    <w:rsid w:val="00567AFC"/>
    <w:rsid w:val="0057148B"/>
    <w:rsid w:val="005717CF"/>
    <w:rsid w:val="00571F07"/>
    <w:rsid w:val="00572BB9"/>
    <w:rsid w:val="005759F0"/>
    <w:rsid w:val="00575A5F"/>
    <w:rsid w:val="00575F98"/>
    <w:rsid w:val="005765F5"/>
    <w:rsid w:val="00576CCE"/>
    <w:rsid w:val="00577019"/>
    <w:rsid w:val="00577532"/>
    <w:rsid w:val="005831BA"/>
    <w:rsid w:val="005841BE"/>
    <w:rsid w:val="005841E2"/>
    <w:rsid w:val="005844E8"/>
    <w:rsid w:val="00584E36"/>
    <w:rsid w:val="00585526"/>
    <w:rsid w:val="00587986"/>
    <w:rsid w:val="0059176B"/>
    <w:rsid w:val="005934D4"/>
    <w:rsid w:val="0059482F"/>
    <w:rsid w:val="0059555B"/>
    <w:rsid w:val="005956FE"/>
    <w:rsid w:val="00596F8C"/>
    <w:rsid w:val="005978C8"/>
    <w:rsid w:val="005A010B"/>
    <w:rsid w:val="005A1528"/>
    <w:rsid w:val="005A1D8E"/>
    <w:rsid w:val="005A2651"/>
    <w:rsid w:val="005A483D"/>
    <w:rsid w:val="005A650D"/>
    <w:rsid w:val="005A68C6"/>
    <w:rsid w:val="005A6DFC"/>
    <w:rsid w:val="005A79E7"/>
    <w:rsid w:val="005B2C1A"/>
    <w:rsid w:val="005B31AA"/>
    <w:rsid w:val="005B39AD"/>
    <w:rsid w:val="005C6584"/>
    <w:rsid w:val="005C6D6E"/>
    <w:rsid w:val="005C75C9"/>
    <w:rsid w:val="005C7CEA"/>
    <w:rsid w:val="005D231D"/>
    <w:rsid w:val="005D27C1"/>
    <w:rsid w:val="005D35A1"/>
    <w:rsid w:val="005D3BDA"/>
    <w:rsid w:val="005D3C08"/>
    <w:rsid w:val="005D4503"/>
    <w:rsid w:val="005D507B"/>
    <w:rsid w:val="005D633E"/>
    <w:rsid w:val="005D65FF"/>
    <w:rsid w:val="005D7649"/>
    <w:rsid w:val="005D770B"/>
    <w:rsid w:val="005E0483"/>
    <w:rsid w:val="005E1081"/>
    <w:rsid w:val="005E204A"/>
    <w:rsid w:val="005E3047"/>
    <w:rsid w:val="005F10C3"/>
    <w:rsid w:val="005F1361"/>
    <w:rsid w:val="005F1727"/>
    <w:rsid w:val="005F3B53"/>
    <w:rsid w:val="005F41F8"/>
    <w:rsid w:val="005F47C1"/>
    <w:rsid w:val="005F5711"/>
    <w:rsid w:val="005F6FA2"/>
    <w:rsid w:val="005F791D"/>
    <w:rsid w:val="005F7A0A"/>
    <w:rsid w:val="00600BC2"/>
    <w:rsid w:val="0060164B"/>
    <w:rsid w:val="006022EB"/>
    <w:rsid w:val="006024D5"/>
    <w:rsid w:val="00604492"/>
    <w:rsid w:val="00605F4E"/>
    <w:rsid w:val="006063BC"/>
    <w:rsid w:val="006066E3"/>
    <w:rsid w:val="006073BB"/>
    <w:rsid w:val="00607DAE"/>
    <w:rsid w:val="00610001"/>
    <w:rsid w:val="006114A1"/>
    <w:rsid w:val="00611C39"/>
    <w:rsid w:val="0061204C"/>
    <w:rsid w:val="00613405"/>
    <w:rsid w:val="00613859"/>
    <w:rsid w:val="0061533E"/>
    <w:rsid w:val="00615E9D"/>
    <w:rsid w:val="006160CC"/>
    <w:rsid w:val="00616959"/>
    <w:rsid w:val="0061711C"/>
    <w:rsid w:val="006176E8"/>
    <w:rsid w:val="00620A19"/>
    <w:rsid w:val="00621476"/>
    <w:rsid w:val="0062147F"/>
    <w:rsid w:val="0062174C"/>
    <w:rsid w:val="0062313E"/>
    <w:rsid w:val="00624567"/>
    <w:rsid w:val="006261B5"/>
    <w:rsid w:val="00626905"/>
    <w:rsid w:val="00626EFC"/>
    <w:rsid w:val="00627F32"/>
    <w:rsid w:val="00630AAF"/>
    <w:rsid w:val="00630FEF"/>
    <w:rsid w:val="0063113E"/>
    <w:rsid w:val="00632308"/>
    <w:rsid w:val="00632FC5"/>
    <w:rsid w:val="0063335A"/>
    <w:rsid w:val="006335B8"/>
    <w:rsid w:val="006362B6"/>
    <w:rsid w:val="006372FA"/>
    <w:rsid w:val="00637625"/>
    <w:rsid w:val="00640823"/>
    <w:rsid w:val="00642DB3"/>
    <w:rsid w:val="00644129"/>
    <w:rsid w:val="0064443B"/>
    <w:rsid w:val="00646C7D"/>
    <w:rsid w:val="00646E53"/>
    <w:rsid w:val="006470BF"/>
    <w:rsid w:val="006470C0"/>
    <w:rsid w:val="0065130A"/>
    <w:rsid w:val="00651A4D"/>
    <w:rsid w:val="00651CF5"/>
    <w:rsid w:val="006533AF"/>
    <w:rsid w:val="006539A4"/>
    <w:rsid w:val="006544FF"/>
    <w:rsid w:val="00657787"/>
    <w:rsid w:val="006600BB"/>
    <w:rsid w:val="00660642"/>
    <w:rsid w:val="006635F2"/>
    <w:rsid w:val="006636FC"/>
    <w:rsid w:val="00663C7E"/>
    <w:rsid w:val="00666214"/>
    <w:rsid w:val="00667D62"/>
    <w:rsid w:val="00670312"/>
    <w:rsid w:val="0067057C"/>
    <w:rsid w:val="006723EF"/>
    <w:rsid w:val="006737F0"/>
    <w:rsid w:val="0067424C"/>
    <w:rsid w:val="006756B9"/>
    <w:rsid w:val="006771B6"/>
    <w:rsid w:val="0068195C"/>
    <w:rsid w:val="006820B9"/>
    <w:rsid w:val="006828C2"/>
    <w:rsid w:val="00683F47"/>
    <w:rsid w:val="00684C26"/>
    <w:rsid w:val="00684D46"/>
    <w:rsid w:val="0068592F"/>
    <w:rsid w:val="006859C5"/>
    <w:rsid w:val="00685A51"/>
    <w:rsid w:val="0068635A"/>
    <w:rsid w:val="00686A43"/>
    <w:rsid w:val="0069004B"/>
    <w:rsid w:val="00690C77"/>
    <w:rsid w:val="00691982"/>
    <w:rsid w:val="00692D3A"/>
    <w:rsid w:val="00693D8A"/>
    <w:rsid w:val="0069446B"/>
    <w:rsid w:val="006957CF"/>
    <w:rsid w:val="00697E60"/>
    <w:rsid w:val="006A1420"/>
    <w:rsid w:val="006A182D"/>
    <w:rsid w:val="006A2510"/>
    <w:rsid w:val="006A39C1"/>
    <w:rsid w:val="006A45A7"/>
    <w:rsid w:val="006A5BF0"/>
    <w:rsid w:val="006A5EDC"/>
    <w:rsid w:val="006A6D27"/>
    <w:rsid w:val="006A78FB"/>
    <w:rsid w:val="006A7D54"/>
    <w:rsid w:val="006B02F7"/>
    <w:rsid w:val="006B2493"/>
    <w:rsid w:val="006B33AE"/>
    <w:rsid w:val="006B47A8"/>
    <w:rsid w:val="006B4963"/>
    <w:rsid w:val="006B4A3F"/>
    <w:rsid w:val="006B604C"/>
    <w:rsid w:val="006B6A2E"/>
    <w:rsid w:val="006B73C0"/>
    <w:rsid w:val="006B7DCE"/>
    <w:rsid w:val="006C0110"/>
    <w:rsid w:val="006C0B52"/>
    <w:rsid w:val="006C103B"/>
    <w:rsid w:val="006C1242"/>
    <w:rsid w:val="006C2BDE"/>
    <w:rsid w:val="006C2D2F"/>
    <w:rsid w:val="006C3DDC"/>
    <w:rsid w:val="006C4E65"/>
    <w:rsid w:val="006C505A"/>
    <w:rsid w:val="006C5797"/>
    <w:rsid w:val="006C5C08"/>
    <w:rsid w:val="006C630B"/>
    <w:rsid w:val="006C70D4"/>
    <w:rsid w:val="006C7CA5"/>
    <w:rsid w:val="006D0A3B"/>
    <w:rsid w:val="006D1A12"/>
    <w:rsid w:val="006D2065"/>
    <w:rsid w:val="006D20C7"/>
    <w:rsid w:val="006D2546"/>
    <w:rsid w:val="006D2752"/>
    <w:rsid w:val="006D6C48"/>
    <w:rsid w:val="006D6E58"/>
    <w:rsid w:val="006D7426"/>
    <w:rsid w:val="006D7484"/>
    <w:rsid w:val="006D7795"/>
    <w:rsid w:val="006E04F0"/>
    <w:rsid w:val="006E0B05"/>
    <w:rsid w:val="006E22D5"/>
    <w:rsid w:val="006E23C9"/>
    <w:rsid w:val="006E2CE5"/>
    <w:rsid w:val="006E6193"/>
    <w:rsid w:val="006E7AA7"/>
    <w:rsid w:val="006F0E22"/>
    <w:rsid w:val="006F20D0"/>
    <w:rsid w:val="006F3689"/>
    <w:rsid w:val="006F3750"/>
    <w:rsid w:val="006F4B3D"/>
    <w:rsid w:val="006F4C45"/>
    <w:rsid w:val="006F54F1"/>
    <w:rsid w:val="007004CE"/>
    <w:rsid w:val="007007F9"/>
    <w:rsid w:val="00700D1D"/>
    <w:rsid w:val="00701629"/>
    <w:rsid w:val="00702009"/>
    <w:rsid w:val="00704A61"/>
    <w:rsid w:val="00704AD7"/>
    <w:rsid w:val="0070505B"/>
    <w:rsid w:val="00705D8B"/>
    <w:rsid w:val="00706BDB"/>
    <w:rsid w:val="00710242"/>
    <w:rsid w:val="00710CDF"/>
    <w:rsid w:val="00711A56"/>
    <w:rsid w:val="00712978"/>
    <w:rsid w:val="00714DB0"/>
    <w:rsid w:val="00715477"/>
    <w:rsid w:val="00721E20"/>
    <w:rsid w:val="00721E96"/>
    <w:rsid w:val="00722882"/>
    <w:rsid w:val="007228D1"/>
    <w:rsid w:val="007231BF"/>
    <w:rsid w:val="00723F4C"/>
    <w:rsid w:val="00724C30"/>
    <w:rsid w:val="0072639B"/>
    <w:rsid w:val="007264AC"/>
    <w:rsid w:val="00731B00"/>
    <w:rsid w:val="0073266B"/>
    <w:rsid w:val="00732EB5"/>
    <w:rsid w:val="00733018"/>
    <w:rsid w:val="00734104"/>
    <w:rsid w:val="0073483F"/>
    <w:rsid w:val="00734ACB"/>
    <w:rsid w:val="00735860"/>
    <w:rsid w:val="0073637E"/>
    <w:rsid w:val="00737B23"/>
    <w:rsid w:val="007401CA"/>
    <w:rsid w:val="00740B2A"/>
    <w:rsid w:val="0074151B"/>
    <w:rsid w:val="00742345"/>
    <w:rsid w:val="00742F0A"/>
    <w:rsid w:val="00743393"/>
    <w:rsid w:val="0074406C"/>
    <w:rsid w:val="00744221"/>
    <w:rsid w:val="007447E4"/>
    <w:rsid w:val="00744F96"/>
    <w:rsid w:val="00745EC9"/>
    <w:rsid w:val="00745FF3"/>
    <w:rsid w:val="00750504"/>
    <w:rsid w:val="007505B7"/>
    <w:rsid w:val="007508F0"/>
    <w:rsid w:val="00751F83"/>
    <w:rsid w:val="007525CA"/>
    <w:rsid w:val="007527C8"/>
    <w:rsid w:val="00752C6C"/>
    <w:rsid w:val="0075381D"/>
    <w:rsid w:val="00755343"/>
    <w:rsid w:val="0075597A"/>
    <w:rsid w:val="00756031"/>
    <w:rsid w:val="00757420"/>
    <w:rsid w:val="00757E92"/>
    <w:rsid w:val="00760AEA"/>
    <w:rsid w:val="00760B19"/>
    <w:rsid w:val="00761C5A"/>
    <w:rsid w:val="00762484"/>
    <w:rsid w:val="00763FC9"/>
    <w:rsid w:val="007640B2"/>
    <w:rsid w:val="007662F8"/>
    <w:rsid w:val="007664D5"/>
    <w:rsid w:val="0076685C"/>
    <w:rsid w:val="00767742"/>
    <w:rsid w:val="00770F27"/>
    <w:rsid w:val="00773BDD"/>
    <w:rsid w:val="007750F8"/>
    <w:rsid w:val="00775C6F"/>
    <w:rsid w:val="007800BB"/>
    <w:rsid w:val="007820DE"/>
    <w:rsid w:val="00782260"/>
    <w:rsid w:val="00782944"/>
    <w:rsid w:val="00782F7B"/>
    <w:rsid w:val="007846BA"/>
    <w:rsid w:val="0078554A"/>
    <w:rsid w:val="00785724"/>
    <w:rsid w:val="007859B5"/>
    <w:rsid w:val="00785A1F"/>
    <w:rsid w:val="00786745"/>
    <w:rsid w:val="00787E5F"/>
    <w:rsid w:val="00791A24"/>
    <w:rsid w:val="007926F3"/>
    <w:rsid w:val="00792800"/>
    <w:rsid w:val="007928D6"/>
    <w:rsid w:val="00792BC8"/>
    <w:rsid w:val="00794F6A"/>
    <w:rsid w:val="007954DE"/>
    <w:rsid w:val="00795F15"/>
    <w:rsid w:val="00797012"/>
    <w:rsid w:val="007A1426"/>
    <w:rsid w:val="007A22E7"/>
    <w:rsid w:val="007A27FE"/>
    <w:rsid w:val="007A33D5"/>
    <w:rsid w:val="007A54CC"/>
    <w:rsid w:val="007A5906"/>
    <w:rsid w:val="007A6343"/>
    <w:rsid w:val="007B163B"/>
    <w:rsid w:val="007B2BC8"/>
    <w:rsid w:val="007B2FA1"/>
    <w:rsid w:val="007B40A7"/>
    <w:rsid w:val="007B638F"/>
    <w:rsid w:val="007B6991"/>
    <w:rsid w:val="007C006E"/>
    <w:rsid w:val="007C0F35"/>
    <w:rsid w:val="007C3B6D"/>
    <w:rsid w:val="007C6C0E"/>
    <w:rsid w:val="007C6CF7"/>
    <w:rsid w:val="007C75A6"/>
    <w:rsid w:val="007C7DB7"/>
    <w:rsid w:val="007D0E05"/>
    <w:rsid w:val="007D3F43"/>
    <w:rsid w:val="007D5312"/>
    <w:rsid w:val="007D5BDB"/>
    <w:rsid w:val="007D7011"/>
    <w:rsid w:val="007E03D7"/>
    <w:rsid w:val="007E1BCF"/>
    <w:rsid w:val="007E20E8"/>
    <w:rsid w:val="007E304E"/>
    <w:rsid w:val="007E38DA"/>
    <w:rsid w:val="007E3BEA"/>
    <w:rsid w:val="007E5D63"/>
    <w:rsid w:val="007E5FAE"/>
    <w:rsid w:val="007E6425"/>
    <w:rsid w:val="007E681D"/>
    <w:rsid w:val="007E7398"/>
    <w:rsid w:val="007F05BA"/>
    <w:rsid w:val="007F0F10"/>
    <w:rsid w:val="007F7203"/>
    <w:rsid w:val="007F76FD"/>
    <w:rsid w:val="007F791C"/>
    <w:rsid w:val="007F7993"/>
    <w:rsid w:val="0080079B"/>
    <w:rsid w:val="008018EA"/>
    <w:rsid w:val="0080195B"/>
    <w:rsid w:val="0080264A"/>
    <w:rsid w:val="008029D7"/>
    <w:rsid w:val="00802BB4"/>
    <w:rsid w:val="00802F6A"/>
    <w:rsid w:val="00803626"/>
    <w:rsid w:val="00803CC6"/>
    <w:rsid w:val="008044C4"/>
    <w:rsid w:val="00804571"/>
    <w:rsid w:val="008050A1"/>
    <w:rsid w:val="0080575A"/>
    <w:rsid w:val="00806495"/>
    <w:rsid w:val="0080746D"/>
    <w:rsid w:val="00811695"/>
    <w:rsid w:val="00811B06"/>
    <w:rsid w:val="00811B9A"/>
    <w:rsid w:val="00812BC5"/>
    <w:rsid w:val="00815A05"/>
    <w:rsid w:val="00816167"/>
    <w:rsid w:val="0081667C"/>
    <w:rsid w:val="0081679E"/>
    <w:rsid w:val="00816D27"/>
    <w:rsid w:val="008170B8"/>
    <w:rsid w:val="0082014E"/>
    <w:rsid w:val="0082075A"/>
    <w:rsid w:val="00820BAB"/>
    <w:rsid w:val="00820C28"/>
    <w:rsid w:val="008225C4"/>
    <w:rsid w:val="008235C6"/>
    <w:rsid w:val="00824143"/>
    <w:rsid w:val="00825463"/>
    <w:rsid w:val="008256BC"/>
    <w:rsid w:val="00825D14"/>
    <w:rsid w:val="0083076A"/>
    <w:rsid w:val="00831598"/>
    <w:rsid w:val="00832ED9"/>
    <w:rsid w:val="00833351"/>
    <w:rsid w:val="00833784"/>
    <w:rsid w:val="00833AC5"/>
    <w:rsid w:val="00834729"/>
    <w:rsid w:val="00835993"/>
    <w:rsid w:val="008372A9"/>
    <w:rsid w:val="00840074"/>
    <w:rsid w:val="008412B0"/>
    <w:rsid w:val="00841368"/>
    <w:rsid w:val="0084188A"/>
    <w:rsid w:val="00842550"/>
    <w:rsid w:val="00842D36"/>
    <w:rsid w:val="00842E76"/>
    <w:rsid w:val="00842EDE"/>
    <w:rsid w:val="00843F72"/>
    <w:rsid w:val="0084607B"/>
    <w:rsid w:val="00846F81"/>
    <w:rsid w:val="00851060"/>
    <w:rsid w:val="00851A69"/>
    <w:rsid w:val="00851A7D"/>
    <w:rsid w:val="00853414"/>
    <w:rsid w:val="00853480"/>
    <w:rsid w:val="00853BC0"/>
    <w:rsid w:val="00854AEC"/>
    <w:rsid w:val="008557FE"/>
    <w:rsid w:val="00856369"/>
    <w:rsid w:val="008568BB"/>
    <w:rsid w:val="00857B13"/>
    <w:rsid w:val="00857F3B"/>
    <w:rsid w:val="0086032B"/>
    <w:rsid w:val="0086098F"/>
    <w:rsid w:val="00862A63"/>
    <w:rsid w:val="00865081"/>
    <w:rsid w:val="00866191"/>
    <w:rsid w:val="0087109E"/>
    <w:rsid w:val="00872781"/>
    <w:rsid w:val="00872CE7"/>
    <w:rsid w:val="0087385B"/>
    <w:rsid w:val="0087391C"/>
    <w:rsid w:val="008747AD"/>
    <w:rsid w:val="00875857"/>
    <w:rsid w:val="008764BD"/>
    <w:rsid w:val="00876A5D"/>
    <w:rsid w:val="008773E7"/>
    <w:rsid w:val="00877C5D"/>
    <w:rsid w:val="00877F1B"/>
    <w:rsid w:val="0088074A"/>
    <w:rsid w:val="00880EF5"/>
    <w:rsid w:val="00881163"/>
    <w:rsid w:val="00882C6D"/>
    <w:rsid w:val="008867FE"/>
    <w:rsid w:val="00886A37"/>
    <w:rsid w:val="00886DA7"/>
    <w:rsid w:val="00893151"/>
    <w:rsid w:val="00893929"/>
    <w:rsid w:val="0089407F"/>
    <w:rsid w:val="00895C47"/>
    <w:rsid w:val="00895EBE"/>
    <w:rsid w:val="00896CA8"/>
    <w:rsid w:val="008A1143"/>
    <w:rsid w:val="008A6C2A"/>
    <w:rsid w:val="008A706D"/>
    <w:rsid w:val="008B099D"/>
    <w:rsid w:val="008B114C"/>
    <w:rsid w:val="008B1772"/>
    <w:rsid w:val="008B1D3F"/>
    <w:rsid w:val="008B1FAE"/>
    <w:rsid w:val="008B21CE"/>
    <w:rsid w:val="008B51F6"/>
    <w:rsid w:val="008B5CD2"/>
    <w:rsid w:val="008B72E2"/>
    <w:rsid w:val="008B7A67"/>
    <w:rsid w:val="008C1B46"/>
    <w:rsid w:val="008C1CD4"/>
    <w:rsid w:val="008C2318"/>
    <w:rsid w:val="008C37C1"/>
    <w:rsid w:val="008C5A64"/>
    <w:rsid w:val="008C63B0"/>
    <w:rsid w:val="008C743F"/>
    <w:rsid w:val="008D02F2"/>
    <w:rsid w:val="008D15D6"/>
    <w:rsid w:val="008D37E0"/>
    <w:rsid w:val="008D3E36"/>
    <w:rsid w:val="008D40BC"/>
    <w:rsid w:val="008D5E27"/>
    <w:rsid w:val="008D6439"/>
    <w:rsid w:val="008D6D8F"/>
    <w:rsid w:val="008D79D1"/>
    <w:rsid w:val="008D7DA2"/>
    <w:rsid w:val="008E0D30"/>
    <w:rsid w:val="008E0E4E"/>
    <w:rsid w:val="008E126E"/>
    <w:rsid w:val="008E19DD"/>
    <w:rsid w:val="008E3621"/>
    <w:rsid w:val="008E4987"/>
    <w:rsid w:val="008E7C43"/>
    <w:rsid w:val="008F0557"/>
    <w:rsid w:val="008F06E1"/>
    <w:rsid w:val="008F27BA"/>
    <w:rsid w:val="008F352E"/>
    <w:rsid w:val="008F4176"/>
    <w:rsid w:val="008F5438"/>
    <w:rsid w:val="008F5E23"/>
    <w:rsid w:val="008F63AF"/>
    <w:rsid w:val="008F68D4"/>
    <w:rsid w:val="00900A0A"/>
    <w:rsid w:val="0090108B"/>
    <w:rsid w:val="00901090"/>
    <w:rsid w:val="009021B9"/>
    <w:rsid w:val="00902459"/>
    <w:rsid w:val="00903DCC"/>
    <w:rsid w:val="00903E21"/>
    <w:rsid w:val="0090568A"/>
    <w:rsid w:val="0090587F"/>
    <w:rsid w:val="009071F6"/>
    <w:rsid w:val="009075B0"/>
    <w:rsid w:val="00907623"/>
    <w:rsid w:val="00907A6A"/>
    <w:rsid w:val="009105B3"/>
    <w:rsid w:val="00910FDC"/>
    <w:rsid w:val="009115DD"/>
    <w:rsid w:val="0091184E"/>
    <w:rsid w:val="00912266"/>
    <w:rsid w:val="009132A9"/>
    <w:rsid w:val="0091351F"/>
    <w:rsid w:val="00913EB5"/>
    <w:rsid w:val="00914074"/>
    <w:rsid w:val="009152C6"/>
    <w:rsid w:val="009153D0"/>
    <w:rsid w:val="00915ACA"/>
    <w:rsid w:val="00916836"/>
    <w:rsid w:val="00922BFF"/>
    <w:rsid w:val="0092311D"/>
    <w:rsid w:val="0092334F"/>
    <w:rsid w:val="009235FD"/>
    <w:rsid w:val="00923915"/>
    <w:rsid w:val="00924EFA"/>
    <w:rsid w:val="0092545F"/>
    <w:rsid w:val="009254E0"/>
    <w:rsid w:val="0092586B"/>
    <w:rsid w:val="009264C5"/>
    <w:rsid w:val="009276B2"/>
    <w:rsid w:val="00927DEB"/>
    <w:rsid w:val="00930531"/>
    <w:rsid w:val="00930F87"/>
    <w:rsid w:val="00931C09"/>
    <w:rsid w:val="00931C34"/>
    <w:rsid w:val="00932039"/>
    <w:rsid w:val="00932930"/>
    <w:rsid w:val="009348B5"/>
    <w:rsid w:val="0093689D"/>
    <w:rsid w:val="00937D43"/>
    <w:rsid w:val="009418B0"/>
    <w:rsid w:val="00941F16"/>
    <w:rsid w:val="00943377"/>
    <w:rsid w:val="00944418"/>
    <w:rsid w:val="00945D2A"/>
    <w:rsid w:val="00947F70"/>
    <w:rsid w:val="0095128D"/>
    <w:rsid w:val="0095162A"/>
    <w:rsid w:val="00951DF0"/>
    <w:rsid w:val="00951E02"/>
    <w:rsid w:val="00953617"/>
    <w:rsid w:val="009543EA"/>
    <w:rsid w:val="0095548B"/>
    <w:rsid w:val="00955E26"/>
    <w:rsid w:val="00956423"/>
    <w:rsid w:val="0095658C"/>
    <w:rsid w:val="00956F42"/>
    <w:rsid w:val="00960A24"/>
    <w:rsid w:val="00961309"/>
    <w:rsid w:val="00963123"/>
    <w:rsid w:val="009635BC"/>
    <w:rsid w:val="00964B3E"/>
    <w:rsid w:val="00964D13"/>
    <w:rsid w:val="00964D2C"/>
    <w:rsid w:val="00965039"/>
    <w:rsid w:val="009652AC"/>
    <w:rsid w:val="00966133"/>
    <w:rsid w:val="0096684F"/>
    <w:rsid w:val="009700E6"/>
    <w:rsid w:val="0097066B"/>
    <w:rsid w:val="00970B30"/>
    <w:rsid w:val="00970D6D"/>
    <w:rsid w:val="0097273B"/>
    <w:rsid w:val="009732B5"/>
    <w:rsid w:val="00973AA7"/>
    <w:rsid w:val="00973C28"/>
    <w:rsid w:val="00973F54"/>
    <w:rsid w:val="0097420F"/>
    <w:rsid w:val="00975D3B"/>
    <w:rsid w:val="00975DD4"/>
    <w:rsid w:val="00976877"/>
    <w:rsid w:val="0097715E"/>
    <w:rsid w:val="00977AA6"/>
    <w:rsid w:val="00980AD7"/>
    <w:rsid w:val="00981782"/>
    <w:rsid w:val="009824A9"/>
    <w:rsid w:val="00982D5F"/>
    <w:rsid w:val="0098430D"/>
    <w:rsid w:val="00984F4E"/>
    <w:rsid w:val="009859FA"/>
    <w:rsid w:val="0098602F"/>
    <w:rsid w:val="009864A2"/>
    <w:rsid w:val="00987799"/>
    <w:rsid w:val="00990971"/>
    <w:rsid w:val="00992A04"/>
    <w:rsid w:val="00992F5A"/>
    <w:rsid w:val="009935CD"/>
    <w:rsid w:val="009945A1"/>
    <w:rsid w:val="0099480E"/>
    <w:rsid w:val="00995044"/>
    <w:rsid w:val="0099583F"/>
    <w:rsid w:val="00997916"/>
    <w:rsid w:val="009A3232"/>
    <w:rsid w:val="009A5618"/>
    <w:rsid w:val="009A5CA7"/>
    <w:rsid w:val="009A7386"/>
    <w:rsid w:val="009A7640"/>
    <w:rsid w:val="009B3C0D"/>
    <w:rsid w:val="009B4657"/>
    <w:rsid w:val="009B5085"/>
    <w:rsid w:val="009B5430"/>
    <w:rsid w:val="009B5570"/>
    <w:rsid w:val="009B6E19"/>
    <w:rsid w:val="009B6EA1"/>
    <w:rsid w:val="009C0FEC"/>
    <w:rsid w:val="009C2E1F"/>
    <w:rsid w:val="009C5005"/>
    <w:rsid w:val="009C5CBE"/>
    <w:rsid w:val="009C6AD3"/>
    <w:rsid w:val="009C726F"/>
    <w:rsid w:val="009D0622"/>
    <w:rsid w:val="009D0BCB"/>
    <w:rsid w:val="009D105D"/>
    <w:rsid w:val="009D10BE"/>
    <w:rsid w:val="009D250E"/>
    <w:rsid w:val="009D25FC"/>
    <w:rsid w:val="009D2B80"/>
    <w:rsid w:val="009D2E85"/>
    <w:rsid w:val="009D3204"/>
    <w:rsid w:val="009D3323"/>
    <w:rsid w:val="009D415E"/>
    <w:rsid w:val="009D55D1"/>
    <w:rsid w:val="009D604F"/>
    <w:rsid w:val="009D6086"/>
    <w:rsid w:val="009D609D"/>
    <w:rsid w:val="009D60A5"/>
    <w:rsid w:val="009D62B1"/>
    <w:rsid w:val="009D7413"/>
    <w:rsid w:val="009D76DA"/>
    <w:rsid w:val="009D7F10"/>
    <w:rsid w:val="009E25B6"/>
    <w:rsid w:val="009E2F7B"/>
    <w:rsid w:val="009E3FE4"/>
    <w:rsid w:val="009E4B27"/>
    <w:rsid w:val="009E5EDE"/>
    <w:rsid w:val="009E67FD"/>
    <w:rsid w:val="009E76ED"/>
    <w:rsid w:val="009F05C9"/>
    <w:rsid w:val="009F1D42"/>
    <w:rsid w:val="009F1ECD"/>
    <w:rsid w:val="009F3520"/>
    <w:rsid w:val="009F4828"/>
    <w:rsid w:val="009F4E65"/>
    <w:rsid w:val="009F563E"/>
    <w:rsid w:val="009F56C2"/>
    <w:rsid w:val="009F6B22"/>
    <w:rsid w:val="009F6E5F"/>
    <w:rsid w:val="009F724F"/>
    <w:rsid w:val="009F738A"/>
    <w:rsid w:val="009F76E7"/>
    <w:rsid w:val="00A0112E"/>
    <w:rsid w:val="00A01241"/>
    <w:rsid w:val="00A02D34"/>
    <w:rsid w:val="00A073E9"/>
    <w:rsid w:val="00A0799A"/>
    <w:rsid w:val="00A11230"/>
    <w:rsid w:val="00A11D1A"/>
    <w:rsid w:val="00A11DA5"/>
    <w:rsid w:val="00A11ED8"/>
    <w:rsid w:val="00A13B14"/>
    <w:rsid w:val="00A13F75"/>
    <w:rsid w:val="00A1491B"/>
    <w:rsid w:val="00A15213"/>
    <w:rsid w:val="00A1542F"/>
    <w:rsid w:val="00A1623E"/>
    <w:rsid w:val="00A173B0"/>
    <w:rsid w:val="00A173B1"/>
    <w:rsid w:val="00A206EC"/>
    <w:rsid w:val="00A20FC4"/>
    <w:rsid w:val="00A22907"/>
    <w:rsid w:val="00A2565D"/>
    <w:rsid w:val="00A25A6D"/>
    <w:rsid w:val="00A26CDD"/>
    <w:rsid w:val="00A27872"/>
    <w:rsid w:val="00A27ABD"/>
    <w:rsid w:val="00A27B8D"/>
    <w:rsid w:val="00A30007"/>
    <w:rsid w:val="00A30B0B"/>
    <w:rsid w:val="00A31089"/>
    <w:rsid w:val="00A31410"/>
    <w:rsid w:val="00A3179B"/>
    <w:rsid w:val="00A320F7"/>
    <w:rsid w:val="00A33E2C"/>
    <w:rsid w:val="00A345B4"/>
    <w:rsid w:val="00A35140"/>
    <w:rsid w:val="00A359A7"/>
    <w:rsid w:val="00A400C0"/>
    <w:rsid w:val="00A401F6"/>
    <w:rsid w:val="00A4189C"/>
    <w:rsid w:val="00A4327D"/>
    <w:rsid w:val="00A447CA"/>
    <w:rsid w:val="00A44CAC"/>
    <w:rsid w:val="00A45E52"/>
    <w:rsid w:val="00A4757D"/>
    <w:rsid w:val="00A511AA"/>
    <w:rsid w:val="00A51E01"/>
    <w:rsid w:val="00A522BC"/>
    <w:rsid w:val="00A528F6"/>
    <w:rsid w:val="00A53B12"/>
    <w:rsid w:val="00A53D9C"/>
    <w:rsid w:val="00A54809"/>
    <w:rsid w:val="00A54FA9"/>
    <w:rsid w:val="00A560DE"/>
    <w:rsid w:val="00A564FB"/>
    <w:rsid w:val="00A6012D"/>
    <w:rsid w:val="00A602A3"/>
    <w:rsid w:val="00A61CF4"/>
    <w:rsid w:val="00A621AD"/>
    <w:rsid w:val="00A63364"/>
    <w:rsid w:val="00A63FDF"/>
    <w:rsid w:val="00A64A8D"/>
    <w:rsid w:val="00A70A95"/>
    <w:rsid w:val="00A71169"/>
    <w:rsid w:val="00A72237"/>
    <w:rsid w:val="00A72938"/>
    <w:rsid w:val="00A72B5D"/>
    <w:rsid w:val="00A73DFD"/>
    <w:rsid w:val="00A747DF"/>
    <w:rsid w:val="00A75A1D"/>
    <w:rsid w:val="00A75D2C"/>
    <w:rsid w:val="00A75FB5"/>
    <w:rsid w:val="00A76771"/>
    <w:rsid w:val="00A77162"/>
    <w:rsid w:val="00A80591"/>
    <w:rsid w:val="00A81FFA"/>
    <w:rsid w:val="00A86F76"/>
    <w:rsid w:val="00A872DB"/>
    <w:rsid w:val="00A905BA"/>
    <w:rsid w:val="00A91EEA"/>
    <w:rsid w:val="00A92C60"/>
    <w:rsid w:val="00A9310B"/>
    <w:rsid w:val="00A94951"/>
    <w:rsid w:val="00A9497A"/>
    <w:rsid w:val="00A94BAB"/>
    <w:rsid w:val="00A95433"/>
    <w:rsid w:val="00A95DAF"/>
    <w:rsid w:val="00A95E00"/>
    <w:rsid w:val="00A965C9"/>
    <w:rsid w:val="00A97BC7"/>
    <w:rsid w:val="00A97FD0"/>
    <w:rsid w:val="00AA20EA"/>
    <w:rsid w:val="00AA2D86"/>
    <w:rsid w:val="00AA2E9F"/>
    <w:rsid w:val="00AA3729"/>
    <w:rsid w:val="00AA6CC3"/>
    <w:rsid w:val="00AB15F7"/>
    <w:rsid w:val="00AB1C7D"/>
    <w:rsid w:val="00AB24C6"/>
    <w:rsid w:val="00AB26FA"/>
    <w:rsid w:val="00AB2B21"/>
    <w:rsid w:val="00AB4610"/>
    <w:rsid w:val="00AB5E18"/>
    <w:rsid w:val="00AB639D"/>
    <w:rsid w:val="00AB6D97"/>
    <w:rsid w:val="00AB71F0"/>
    <w:rsid w:val="00AC0D64"/>
    <w:rsid w:val="00AC0FDB"/>
    <w:rsid w:val="00AC1B00"/>
    <w:rsid w:val="00AC2D83"/>
    <w:rsid w:val="00AC4F88"/>
    <w:rsid w:val="00AC5A40"/>
    <w:rsid w:val="00AC6753"/>
    <w:rsid w:val="00AC78EB"/>
    <w:rsid w:val="00AC7C3E"/>
    <w:rsid w:val="00AD0128"/>
    <w:rsid w:val="00AD059B"/>
    <w:rsid w:val="00AD109D"/>
    <w:rsid w:val="00AD2F73"/>
    <w:rsid w:val="00AD49CD"/>
    <w:rsid w:val="00AD5BCC"/>
    <w:rsid w:val="00AD7086"/>
    <w:rsid w:val="00AD7A73"/>
    <w:rsid w:val="00AD7B81"/>
    <w:rsid w:val="00AE031C"/>
    <w:rsid w:val="00AE2DFD"/>
    <w:rsid w:val="00AE3302"/>
    <w:rsid w:val="00AE3778"/>
    <w:rsid w:val="00AE3D85"/>
    <w:rsid w:val="00AE45A8"/>
    <w:rsid w:val="00AE4B23"/>
    <w:rsid w:val="00AE5AA6"/>
    <w:rsid w:val="00AE70EF"/>
    <w:rsid w:val="00AE725B"/>
    <w:rsid w:val="00AE7BC0"/>
    <w:rsid w:val="00AE7D3D"/>
    <w:rsid w:val="00AF040E"/>
    <w:rsid w:val="00AF126B"/>
    <w:rsid w:val="00AF1E5F"/>
    <w:rsid w:val="00AF435C"/>
    <w:rsid w:val="00AF45FA"/>
    <w:rsid w:val="00AF4854"/>
    <w:rsid w:val="00AF4C3F"/>
    <w:rsid w:val="00AF4C54"/>
    <w:rsid w:val="00AF552C"/>
    <w:rsid w:val="00AF5733"/>
    <w:rsid w:val="00AF63DA"/>
    <w:rsid w:val="00AF63EC"/>
    <w:rsid w:val="00AF679A"/>
    <w:rsid w:val="00B02187"/>
    <w:rsid w:val="00B02D17"/>
    <w:rsid w:val="00B034F7"/>
    <w:rsid w:val="00B03824"/>
    <w:rsid w:val="00B03B8B"/>
    <w:rsid w:val="00B03E4B"/>
    <w:rsid w:val="00B04FCB"/>
    <w:rsid w:val="00B066C2"/>
    <w:rsid w:val="00B06BB6"/>
    <w:rsid w:val="00B0745A"/>
    <w:rsid w:val="00B13DB5"/>
    <w:rsid w:val="00B1459F"/>
    <w:rsid w:val="00B16E20"/>
    <w:rsid w:val="00B17323"/>
    <w:rsid w:val="00B173FE"/>
    <w:rsid w:val="00B17647"/>
    <w:rsid w:val="00B17684"/>
    <w:rsid w:val="00B17A3C"/>
    <w:rsid w:val="00B202D2"/>
    <w:rsid w:val="00B208DE"/>
    <w:rsid w:val="00B217C9"/>
    <w:rsid w:val="00B22449"/>
    <w:rsid w:val="00B2395A"/>
    <w:rsid w:val="00B23C25"/>
    <w:rsid w:val="00B2657D"/>
    <w:rsid w:val="00B27C3C"/>
    <w:rsid w:val="00B30213"/>
    <w:rsid w:val="00B30668"/>
    <w:rsid w:val="00B30E90"/>
    <w:rsid w:val="00B311BB"/>
    <w:rsid w:val="00B31B04"/>
    <w:rsid w:val="00B33659"/>
    <w:rsid w:val="00B343F1"/>
    <w:rsid w:val="00B34AD6"/>
    <w:rsid w:val="00B356A7"/>
    <w:rsid w:val="00B35E54"/>
    <w:rsid w:val="00B36AD6"/>
    <w:rsid w:val="00B3784F"/>
    <w:rsid w:val="00B42EB9"/>
    <w:rsid w:val="00B43DDB"/>
    <w:rsid w:val="00B4551E"/>
    <w:rsid w:val="00B505D9"/>
    <w:rsid w:val="00B518A7"/>
    <w:rsid w:val="00B529C7"/>
    <w:rsid w:val="00B52D19"/>
    <w:rsid w:val="00B542C7"/>
    <w:rsid w:val="00B55D79"/>
    <w:rsid w:val="00B56934"/>
    <w:rsid w:val="00B56D50"/>
    <w:rsid w:val="00B570EE"/>
    <w:rsid w:val="00B5753D"/>
    <w:rsid w:val="00B61643"/>
    <w:rsid w:val="00B61668"/>
    <w:rsid w:val="00B61E48"/>
    <w:rsid w:val="00B6487C"/>
    <w:rsid w:val="00B65382"/>
    <w:rsid w:val="00B6590A"/>
    <w:rsid w:val="00B664E2"/>
    <w:rsid w:val="00B675F4"/>
    <w:rsid w:val="00B67637"/>
    <w:rsid w:val="00B67B7F"/>
    <w:rsid w:val="00B72D49"/>
    <w:rsid w:val="00B73441"/>
    <w:rsid w:val="00B734B8"/>
    <w:rsid w:val="00B742DE"/>
    <w:rsid w:val="00B75078"/>
    <w:rsid w:val="00B75F99"/>
    <w:rsid w:val="00B80F07"/>
    <w:rsid w:val="00B80F74"/>
    <w:rsid w:val="00B82260"/>
    <w:rsid w:val="00B839CF"/>
    <w:rsid w:val="00B83AB6"/>
    <w:rsid w:val="00B8470B"/>
    <w:rsid w:val="00B873FA"/>
    <w:rsid w:val="00B87EFC"/>
    <w:rsid w:val="00B9031F"/>
    <w:rsid w:val="00B9043B"/>
    <w:rsid w:val="00B91A4C"/>
    <w:rsid w:val="00B9280A"/>
    <w:rsid w:val="00B93153"/>
    <w:rsid w:val="00B94979"/>
    <w:rsid w:val="00B94F43"/>
    <w:rsid w:val="00B96BAD"/>
    <w:rsid w:val="00B97ECD"/>
    <w:rsid w:val="00BA0BAA"/>
    <w:rsid w:val="00BA1006"/>
    <w:rsid w:val="00BA116D"/>
    <w:rsid w:val="00BA232D"/>
    <w:rsid w:val="00BA29CF"/>
    <w:rsid w:val="00BA2A6F"/>
    <w:rsid w:val="00BA2A9F"/>
    <w:rsid w:val="00BA2ED3"/>
    <w:rsid w:val="00BA65EA"/>
    <w:rsid w:val="00BA6BBA"/>
    <w:rsid w:val="00BB14A2"/>
    <w:rsid w:val="00BB1823"/>
    <w:rsid w:val="00BB46DF"/>
    <w:rsid w:val="00BB4860"/>
    <w:rsid w:val="00BB4BC7"/>
    <w:rsid w:val="00BB7830"/>
    <w:rsid w:val="00BC2151"/>
    <w:rsid w:val="00BC226B"/>
    <w:rsid w:val="00BC23F6"/>
    <w:rsid w:val="00BC24E6"/>
    <w:rsid w:val="00BC27DD"/>
    <w:rsid w:val="00BC2862"/>
    <w:rsid w:val="00BC2DCD"/>
    <w:rsid w:val="00BC34E8"/>
    <w:rsid w:val="00BC40B2"/>
    <w:rsid w:val="00BC426A"/>
    <w:rsid w:val="00BC5133"/>
    <w:rsid w:val="00BC62A4"/>
    <w:rsid w:val="00BC7114"/>
    <w:rsid w:val="00BC75F4"/>
    <w:rsid w:val="00BC7966"/>
    <w:rsid w:val="00BC7E51"/>
    <w:rsid w:val="00BD031C"/>
    <w:rsid w:val="00BD1771"/>
    <w:rsid w:val="00BD271B"/>
    <w:rsid w:val="00BD5F29"/>
    <w:rsid w:val="00BD6736"/>
    <w:rsid w:val="00BD67CB"/>
    <w:rsid w:val="00BD6870"/>
    <w:rsid w:val="00BD747C"/>
    <w:rsid w:val="00BD7A11"/>
    <w:rsid w:val="00BE09E6"/>
    <w:rsid w:val="00BE137C"/>
    <w:rsid w:val="00BE1766"/>
    <w:rsid w:val="00BE17E6"/>
    <w:rsid w:val="00BE2AD5"/>
    <w:rsid w:val="00BE2DB3"/>
    <w:rsid w:val="00BE3095"/>
    <w:rsid w:val="00BE3508"/>
    <w:rsid w:val="00BE4117"/>
    <w:rsid w:val="00BE48E4"/>
    <w:rsid w:val="00BE62E1"/>
    <w:rsid w:val="00BE6772"/>
    <w:rsid w:val="00BE7E80"/>
    <w:rsid w:val="00BF0C6F"/>
    <w:rsid w:val="00BF0C98"/>
    <w:rsid w:val="00BF0CF3"/>
    <w:rsid w:val="00BF12FA"/>
    <w:rsid w:val="00BF192E"/>
    <w:rsid w:val="00BF1E38"/>
    <w:rsid w:val="00BF403E"/>
    <w:rsid w:val="00BF4A39"/>
    <w:rsid w:val="00BF6537"/>
    <w:rsid w:val="00C0018E"/>
    <w:rsid w:val="00C00A66"/>
    <w:rsid w:val="00C02332"/>
    <w:rsid w:val="00C02823"/>
    <w:rsid w:val="00C02DC2"/>
    <w:rsid w:val="00C02F98"/>
    <w:rsid w:val="00C0312E"/>
    <w:rsid w:val="00C04D62"/>
    <w:rsid w:val="00C050F2"/>
    <w:rsid w:val="00C065CA"/>
    <w:rsid w:val="00C06A10"/>
    <w:rsid w:val="00C10834"/>
    <w:rsid w:val="00C129EC"/>
    <w:rsid w:val="00C12DBC"/>
    <w:rsid w:val="00C13126"/>
    <w:rsid w:val="00C133D4"/>
    <w:rsid w:val="00C14959"/>
    <w:rsid w:val="00C14A08"/>
    <w:rsid w:val="00C1678F"/>
    <w:rsid w:val="00C168D7"/>
    <w:rsid w:val="00C20C99"/>
    <w:rsid w:val="00C2151A"/>
    <w:rsid w:val="00C219D6"/>
    <w:rsid w:val="00C21E9A"/>
    <w:rsid w:val="00C2629A"/>
    <w:rsid w:val="00C27A31"/>
    <w:rsid w:val="00C27B24"/>
    <w:rsid w:val="00C32E31"/>
    <w:rsid w:val="00C33190"/>
    <w:rsid w:val="00C335EF"/>
    <w:rsid w:val="00C338B2"/>
    <w:rsid w:val="00C338C6"/>
    <w:rsid w:val="00C33CA6"/>
    <w:rsid w:val="00C346CC"/>
    <w:rsid w:val="00C35A3B"/>
    <w:rsid w:val="00C35E6A"/>
    <w:rsid w:val="00C36229"/>
    <w:rsid w:val="00C37BBB"/>
    <w:rsid w:val="00C4151F"/>
    <w:rsid w:val="00C418FC"/>
    <w:rsid w:val="00C43A69"/>
    <w:rsid w:val="00C44540"/>
    <w:rsid w:val="00C445C4"/>
    <w:rsid w:val="00C44F12"/>
    <w:rsid w:val="00C45F9B"/>
    <w:rsid w:val="00C46211"/>
    <w:rsid w:val="00C46421"/>
    <w:rsid w:val="00C472CC"/>
    <w:rsid w:val="00C476F8"/>
    <w:rsid w:val="00C50131"/>
    <w:rsid w:val="00C506BF"/>
    <w:rsid w:val="00C51C86"/>
    <w:rsid w:val="00C534B0"/>
    <w:rsid w:val="00C54610"/>
    <w:rsid w:val="00C54B91"/>
    <w:rsid w:val="00C5581D"/>
    <w:rsid w:val="00C60BA4"/>
    <w:rsid w:val="00C6123F"/>
    <w:rsid w:val="00C615DC"/>
    <w:rsid w:val="00C627AF"/>
    <w:rsid w:val="00C63963"/>
    <w:rsid w:val="00C64B7B"/>
    <w:rsid w:val="00C64F71"/>
    <w:rsid w:val="00C66027"/>
    <w:rsid w:val="00C74510"/>
    <w:rsid w:val="00C7479B"/>
    <w:rsid w:val="00C747AD"/>
    <w:rsid w:val="00C74B7F"/>
    <w:rsid w:val="00C77D82"/>
    <w:rsid w:val="00C80A9C"/>
    <w:rsid w:val="00C80E6A"/>
    <w:rsid w:val="00C81FAB"/>
    <w:rsid w:val="00C84853"/>
    <w:rsid w:val="00C87AB5"/>
    <w:rsid w:val="00C90486"/>
    <w:rsid w:val="00C9331C"/>
    <w:rsid w:val="00C93E6F"/>
    <w:rsid w:val="00C93E70"/>
    <w:rsid w:val="00C94499"/>
    <w:rsid w:val="00C94FCD"/>
    <w:rsid w:val="00C957D1"/>
    <w:rsid w:val="00C96072"/>
    <w:rsid w:val="00C968C7"/>
    <w:rsid w:val="00C96DBD"/>
    <w:rsid w:val="00C97ABA"/>
    <w:rsid w:val="00CA02F6"/>
    <w:rsid w:val="00CA0742"/>
    <w:rsid w:val="00CA0932"/>
    <w:rsid w:val="00CA2DFF"/>
    <w:rsid w:val="00CA451E"/>
    <w:rsid w:val="00CA5217"/>
    <w:rsid w:val="00CA5333"/>
    <w:rsid w:val="00CA5715"/>
    <w:rsid w:val="00CA58B3"/>
    <w:rsid w:val="00CB075F"/>
    <w:rsid w:val="00CB2897"/>
    <w:rsid w:val="00CB39C7"/>
    <w:rsid w:val="00CB3B75"/>
    <w:rsid w:val="00CB6A8F"/>
    <w:rsid w:val="00CB7153"/>
    <w:rsid w:val="00CC4D6F"/>
    <w:rsid w:val="00CC54EC"/>
    <w:rsid w:val="00CC560B"/>
    <w:rsid w:val="00CC5774"/>
    <w:rsid w:val="00CC64F6"/>
    <w:rsid w:val="00CC6C74"/>
    <w:rsid w:val="00CC705F"/>
    <w:rsid w:val="00CD05AC"/>
    <w:rsid w:val="00CD0AA9"/>
    <w:rsid w:val="00CD2344"/>
    <w:rsid w:val="00CD2DEE"/>
    <w:rsid w:val="00CD326E"/>
    <w:rsid w:val="00CD3549"/>
    <w:rsid w:val="00CD4255"/>
    <w:rsid w:val="00CD4E19"/>
    <w:rsid w:val="00CD4F0A"/>
    <w:rsid w:val="00CD7134"/>
    <w:rsid w:val="00CD7495"/>
    <w:rsid w:val="00CD7677"/>
    <w:rsid w:val="00CE0509"/>
    <w:rsid w:val="00CE0A73"/>
    <w:rsid w:val="00CE12C0"/>
    <w:rsid w:val="00CE2689"/>
    <w:rsid w:val="00CE384C"/>
    <w:rsid w:val="00CE3C36"/>
    <w:rsid w:val="00CE45F9"/>
    <w:rsid w:val="00CE478E"/>
    <w:rsid w:val="00CE625C"/>
    <w:rsid w:val="00CE7B0B"/>
    <w:rsid w:val="00CE7E2A"/>
    <w:rsid w:val="00CF4489"/>
    <w:rsid w:val="00CF48A7"/>
    <w:rsid w:val="00CF54BB"/>
    <w:rsid w:val="00CF5BF8"/>
    <w:rsid w:val="00D00548"/>
    <w:rsid w:val="00D01916"/>
    <w:rsid w:val="00D02306"/>
    <w:rsid w:val="00D032C2"/>
    <w:rsid w:val="00D04741"/>
    <w:rsid w:val="00D05001"/>
    <w:rsid w:val="00D05549"/>
    <w:rsid w:val="00D1056A"/>
    <w:rsid w:val="00D1137F"/>
    <w:rsid w:val="00D12269"/>
    <w:rsid w:val="00D13D7B"/>
    <w:rsid w:val="00D14798"/>
    <w:rsid w:val="00D15004"/>
    <w:rsid w:val="00D163D3"/>
    <w:rsid w:val="00D16936"/>
    <w:rsid w:val="00D175D9"/>
    <w:rsid w:val="00D1761C"/>
    <w:rsid w:val="00D17E01"/>
    <w:rsid w:val="00D2095A"/>
    <w:rsid w:val="00D20C51"/>
    <w:rsid w:val="00D2186C"/>
    <w:rsid w:val="00D21F3C"/>
    <w:rsid w:val="00D24783"/>
    <w:rsid w:val="00D24810"/>
    <w:rsid w:val="00D24B5A"/>
    <w:rsid w:val="00D250F7"/>
    <w:rsid w:val="00D26556"/>
    <w:rsid w:val="00D26A54"/>
    <w:rsid w:val="00D270DF"/>
    <w:rsid w:val="00D27F56"/>
    <w:rsid w:val="00D30682"/>
    <w:rsid w:val="00D32E8F"/>
    <w:rsid w:val="00D3313E"/>
    <w:rsid w:val="00D34B1E"/>
    <w:rsid w:val="00D3693C"/>
    <w:rsid w:val="00D3798B"/>
    <w:rsid w:val="00D37DDE"/>
    <w:rsid w:val="00D37E9F"/>
    <w:rsid w:val="00D4007A"/>
    <w:rsid w:val="00D40626"/>
    <w:rsid w:val="00D40924"/>
    <w:rsid w:val="00D40AF7"/>
    <w:rsid w:val="00D41455"/>
    <w:rsid w:val="00D42256"/>
    <w:rsid w:val="00D43529"/>
    <w:rsid w:val="00D44DCA"/>
    <w:rsid w:val="00D4537D"/>
    <w:rsid w:val="00D462B9"/>
    <w:rsid w:val="00D46DB7"/>
    <w:rsid w:val="00D4766C"/>
    <w:rsid w:val="00D47C4C"/>
    <w:rsid w:val="00D47D89"/>
    <w:rsid w:val="00D47F9A"/>
    <w:rsid w:val="00D5095C"/>
    <w:rsid w:val="00D50C64"/>
    <w:rsid w:val="00D50F10"/>
    <w:rsid w:val="00D5287C"/>
    <w:rsid w:val="00D52E8D"/>
    <w:rsid w:val="00D53B6E"/>
    <w:rsid w:val="00D54886"/>
    <w:rsid w:val="00D550E9"/>
    <w:rsid w:val="00D57FC7"/>
    <w:rsid w:val="00D6073D"/>
    <w:rsid w:val="00D60FEC"/>
    <w:rsid w:val="00D614B9"/>
    <w:rsid w:val="00D61B5C"/>
    <w:rsid w:val="00D61CCA"/>
    <w:rsid w:val="00D6267C"/>
    <w:rsid w:val="00D65011"/>
    <w:rsid w:val="00D65F34"/>
    <w:rsid w:val="00D667ED"/>
    <w:rsid w:val="00D6770A"/>
    <w:rsid w:val="00D700CA"/>
    <w:rsid w:val="00D701E6"/>
    <w:rsid w:val="00D71AFD"/>
    <w:rsid w:val="00D71BDC"/>
    <w:rsid w:val="00D724FB"/>
    <w:rsid w:val="00D746D1"/>
    <w:rsid w:val="00D74982"/>
    <w:rsid w:val="00D74FB0"/>
    <w:rsid w:val="00D75BE5"/>
    <w:rsid w:val="00D75C29"/>
    <w:rsid w:val="00D7615F"/>
    <w:rsid w:val="00D764A8"/>
    <w:rsid w:val="00D7770A"/>
    <w:rsid w:val="00D77BF8"/>
    <w:rsid w:val="00D819F7"/>
    <w:rsid w:val="00D827A9"/>
    <w:rsid w:val="00D833D5"/>
    <w:rsid w:val="00D83C2C"/>
    <w:rsid w:val="00D83D24"/>
    <w:rsid w:val="00D84BC0"/>
    <w:rsid w:val="00D85F3E"/>
    <w:rsid w:val="00D874EB"/>
    <w:rsid w:val="00D903E9"/>
    <w:rsid w:val="00D92C7F"/>
    <w:rsid w:val="00D93D80"/>
    <w:rsid w:val="00D94900"/>
    <w:rsid w:val="00D95229"/>
    <w:rsid w:val="00D96A7F"/>
    <w:rsid w:val="00D97254"/>
    <w:rsid w:val="00D97B70"/>
    <w:rsid w:val="00D97FEE"/>
    <w:rsid w:val="00DA0444"/>
    <w:rsid w:val="00DA2071"/>
    <w:rsid w:val="00DA3181"/>
    <w:rsid w:val="00DA3F06"/>
    <w:rsid w:val="00DA5CBD"/>
    <w:rsid w:val="00DA6DE8"/>
    <w:rsid w:val="00DA7C4D"/>
    <w:rsid w:val="00DB067A"/>
    <w:rsid w:val="00DB0F50"/>
    <w:rsid w:val="00DB2DD4"/>
    <w:rsid w:val="00DB4E72"/>
    <w:rsid w:val="00DB59B5"/>
    <w:rsid w:val="00DB5D33"/>
    <w:rsid w:val="00DB7355"/>
    <w:rsid w:val="00DB7B62"/>
    <w:rsid w:val="00DB7F05"/>
    <w:rsid w:val="00DC0326"/>
    <w:rsid w:val="00DC08AC"/>
    <w:rsid w:val="00DC1288"/>
    <w:rsid w:val="00DC1ABC"/>
    <w:rsid w:val="00DC3851"/>
    <w:rsid w:val="00DC5A49"/>
    <w:rsid w:val="00DC5D44"/>
    <w:rsid w:val="00DC6E23"/>
    <w:rsid w:val="00DC794A"/>
    <w:rsid w:val="00DC7AD0"/>
    <w:rsid w:val="00DD0967"/>
    <w:rsid w:val="00DD1F98"/>
    <w:rsid w:val="00DD2CE4"/>
    <w:rsid w:val="00DD3DB7"/>
    <w:rsid w:val="00DD6F1B"/>
    <w:rsid w:val="00DD77F3"/>
    <w:rsid w:val="00DE0CC8"/>
    <w:rsid w:val="00DE22E1"/>
    <w:rsid w:val="00DE32F5"/>
    <w:rsid w:val="00DE3485"/>
    <w:rsid w:val="00DE39EB"/>
    <w:rsid w:val="00DE3DEC"/>
    <w:rsid w:val="00DE3E4E"/>
    <w:rsid w:val="00DE4276"/>
    <w:rsid w:val="00DE46D6"/>
    <w:rsid w:val="00DE587F"/>
    <w:rsid w:val="00DE6402"/>
    <w:rsid w:val="00DE7317"/>
    <w:rsid w:val="00DF133A"/>
    <w:rsid w:val="00DF2111"/>
    <w:rsid w:val="00DF28E4"/>
    <w:rsid w:val="00DF458C"/>
    <w:rsid w:val="00DF584D"/>
    <w:rsid w:val="00DF7B48"/>
    <w:rsid w:val="00DF7FA7"/>
    <w:rsid w:val="00E008DF"/>
    <w:rsid w:val="00E0204E"/>
    <w:rsid w:val="00E02E52"/>
    <w:rsid w:val="00E03C06"/>
    <w:rsid w:val="00E03D8D"/>
    <w:rsid w:val="00E04805"/>
    <w:rsid w:val="00E048FB"/>
    <w:rsid w:val="00E04B03"/>
    <w:rsid w:val="00E0532C"/>
    <w:rsid w:val="00E06005"/>
    <w:rsid w:val="00E06633"/>
    <w:rsid w:val="00E06B6A"/>
    <w:rsid w:val="00E11949"/>
    <w:rsid w:val="00E11B39"/>
    <w:rsid w:val="00E13CE3"/>
    <w:rsid w:val="00E1494B"/>
    <w:rsid w:val="00E15741"/>
    <w:rsid w:val="00E161FB"/>
    <w:rsid w:val="00E1678C"/>
    <w:rsid w:val="00E17687"/>
    <w:rsid w:val="00E20090"/>
    <w:rsid w:val="00E218AB"/>
    <w:rsid w:val="00E21D6E"/>
    <w:rsid w:val="00E23791"/>
    <w:rsid w:val="00E26FB0"/>
    <w:rsid w:val="00E31651"/>
    <w:rsid w:val="00E3191E"/>
    <w:rsid w:val="00E32119"/>
    <w:rsid w:val="00E33140"/>
    <w:rsid w:val="00E34056"/>
    <w:rsid w:val="00E42317"/>
    <w:rsid w:val="00E44A92"/>
    <w:rsid w:val="00E44E41"/>
    <w:rsid w:val="00E44FC4"/>
    <w:rsid w:val="00E4572E"/>
    <w:rsid w:val="00E47BBB"/>
    <w:rsid w:val="00E47F02"/>
    <w:rsid w:val="00E504BE"/>
    <w:rsid w:val="00E516FF"/>
    <w:rsid w:val="00E520C8"/>
    <w:rsid w:val="00E52321"/>
    <w:rsid w:val="00E52585"/>
    <w:rsid w:val="00E526A3"/>
    <w:rsid w:val="00E534A0"/>
    <w:rsid w:val="00E542E2"/>
    <w:rsid w:val="00E55B01"/>
    <w:rsid w:val="00E55E0E"/>
    <w:rsid w:val="00E56FA0"/>
    <w:rsid w:val="00E571BC"/>
    <w:rsid w:val="00E57618"/>
    <w:rsid w:val="00E6034F"/>
    <w:rsid w:val="00E639E3"/>
    <w:rsid w:val="00E63AE6"/>
    <w:rsid w:val="00E645BF"/>
    <w:rsid w:val="00E64A6C"/>
    <w:rsid w:val="00E64D8D"/>
    <w:rsid w:val="00E67318"/>
    <w:rsid w:val="00E70793"/>
    <w:rsid w:val="00E71035"/>
    <w:rsid w:val="00E74A4D"/>
    <w:rsid w:val="00E7699A"/>
    <w:rsid w:val="00E77E28"/>
    <w:rsid w:val="00E80D00"/>
    <w:rsid w:val="00E810D1"/>
    <w:rsid w:val="00E8480D"/>
    <w:rsid w:val="00E84C01"/>
    <w:rsid w:val="00E85369"/>
    <w:rsid w:val="00E8541B"/>
    <w:rsid w:val="00E858D1"/>
    <w:rsid w:val="00E87BEA"/>
    <w:rsid w:val="00E906B8"/>
    <w:rsid w:val="00E916E2"/>
    <w:rsid w:val="00E9171C"/>
    <w:rsid w:val="00E92128"/>
    <w:rsid w:val="00E92CDA"/>
    <w:rsid w:val="00E950A3"/>
    <w:rsid w:val="00E95AB7"/>
    <w:rsid w:val="00EA05EF"/>
    <w:rsid w:val="00EA06C9"/>
    <w:rsid w:val="00EA11A2"/>
    <w:rsid w:val="00EA1AFE"/>
    <w:rsid w:val="00EA62EB"/>
    <w:rsid w:val="00EA6B34"/>
    <w:rsid w:val="00EB01C7"/>
    <w:rsid w:val="00EB0EC9"/>
    <w:rsid w:val="00EB237E"/>
    <w:rsid w:val="00EB2693"/>
    <w:rsid w:val="00EB31FD"/>
    <w:rsid w:val="00EB6098"/>
    <w:rsid w:val="00EB6BF9"/>
    <w:rsid w:val="00EB7A9C"/>
    <w:rsid w:val="00EC0BAE"/>
    <w:rsid w:val="00EC15C4"/>
    <w:rsid w:val="00EC2958"/>
    <w:rsid w:val="00EC353E"/>
    <w:rsid w:val="00EC35E6"/>
    <w:rsid w:val="00EC5464"/>
    <w:rsid w:val="00EC5E24"/>
    <w:rsid w:val="00EC5EE5"/>
    <w:rsid w:val="00EC6D06"/>
    <w:rsid w:val="00EC6D34"/>
    <w:rsid w:val="00EC6F4A"/>
    <w:rsid w:val="00ED1E0D"/>
    <w:rsid w:val="00ED2482"/>
    <w:rsid w:val="00ED271C"/>
    <w:rsid w:val="00ED28FD"/>
    <w:rsid w:val="00ED29E7"/>
    <w:rsid w:val="00ED2CFF"/>
    <w:rsid w:val="00ED2D94"/>
    <w:rsid w:val="00ED3284"/>
    <w:rsid w:val="00ED32D6"/>
    <w:rsid w:val="00ED417C"/>
    <w:rsid w:val="00ED590B"/>
    <w:rsid w:val="00ED5B3A"/>
    <w:rsid w:val="00ED7971"/>
    <w:rsid w:val="00ED7A9B"/>
    <w:rsid w:val="00EE0F48"/>
    <w:rsid w:val="00EE19A4"/>
    <w:rsid w:val="00EE1B25"/>
    <w:rsid w:val="00EE208F"/>
    <w:rsid w:val="00EE5504"/>
    <w:rsid w:val="00EE5D8F"/>
    <w:rsid w:val="00EE633E"/>
    <w:rsid w:val="00EF01B1"/>
    <w:rsid w:val="00EF0A3E"/>
    <w:rsid w:val="00EF1270"/>
    <w:rsid w:val="00EF2218"/>
    <w:rsid w:val="00EF2561"/>
    <w:rsid w:val="00EF3BB4"/>
    <w:rsid w:val="00EF41AE"/>
    <w:rsid w:val="00EF4649"/>
    <w:rsid w:val="00EF4688"/>
    <w:rsid w:val="00EF490F"/>
    <w:rsid w:val="00EF6529"/>
    <w:rsid w:val="00EF7746"/>
    <w:rsid w:val="00EF7B6E"/>
    <w:rsid w:val="00F00308"/>
    <w:rsid w:val="00F006A7"/>
    <w:rsid w:val="00F011CF"/>
    <w:rsid w:val="00F0191D"/>
    <w:rsid w:val="00F05FA4"/>
    <w:rsid w:val="00F10D7F"/>
    <w:rsid w:val="00F1375B"/>
    <w:rsid w:val="00F139BD"/>
    <w:rsid w:val="00F14C04"/>
    <w:rsid w:val="00F153BF"/>
    <w:rsid w:val="00F15C77"/>
    <w:rsid w:val="00F16DC3"/>
    <w:rsid w:val="00F205D5"/>
    <w:rsid w:val="00F23675"/>
    <w:rsid w:val="00F24887"/>
    <w:rsid w:val="00F25869"/>
    <w:rsid w:val="00F2693B"/>
    <w:rsid w:val="00F2772B"/>
    <w:rsid w:val="00F27753"/>
    <w:rsid w:val="00F30F31"/>
    <w:rsid w:val="00F31413"/>
    <w:rsid w:val="00F320DE"/>
    <w:rsid w:val="00F325F8"/>
    <w:rsid w:val="00F331D4"/>
    <w:rsid w:val="00F34F0E"/>
    <w:rsid w:val="00F357F4"/>
    <w:rsid w:val="00F42173"/>
    <w:rsid w:val="00F426B8"/>
    <w:rsid w:val="00F42A9B"/>
    <w:rsid w:val="00F43F5E"/>
    <w:rsid w:val="00F44668"/>
    <w:rsid w:val="00F47ADE"/>
    <w:rsid w:val="00F50E62"/>
    <w:rsid w:val="00F529D0"/>
    <w:rsid w:val="00F53C2A"/>
    <w:rsid w:val="00F53D3F"/>
    <w:rsid w:val="00F54920"/>
    <w:rsid w:val="00F5697A"/>
    <w:rsid w:val="00F57BC9"/>
    <w:rsid w:val="00F61068"/>
    <w:rsid w:val="00F63059"/>
    <w:rsid w:val="00F66F13"/>
    <w:rsid w:val="00F677F2"/>
    <w:rsid w:val="00F7021D"/>
    <w:rsid w:val="00F70A69"/>
    <w:rsid w:val="00F72C00"/>
    <w:rsid w:val="00F73EFE"/>
    <w:rsid w:val="00F74717"/>
    <w:rsid w:val="00F76D38"/>
    <w:rsid w:val="00F814CD"/>
    <w:rsid w:val="00F8509B"/>
    <w:rsid w:val="00F859E7"/>
    <w:rsid w:val="00F85E2B"/>
    <w:rsid w:val="00F86736"/>
    <w:rsid w:val="00F871C0"/>
    <w:rsid w:val="00F9031E"/>
    <w:rsid w:val="00F90626"/>
    <w:rsid w:val="00F90915"/>
    <w:rsid w:val="00F9224F"/>
    <w:rsid w:val="00F92E2B"/>
    <w:rsid w:val="00F92F8D"/>
    <w:rsid w:val="00F92FA2"/>
    <w:rsid w:val="00F939F2"/>
    <w:rsid w:val="00F93C2D"/>
    <w:rsid w:val="00F949BC"/>
    <w:rsid w:val="00F9721E"/>
    <w:rsid w:val="00F977B9"/>
    <w:rsid w:val="00F97DEC"/>
    <w:rsid w:val="00FA0D64"/>
    <w:rsid w:val="00FA5743"/>
    <w:rsid w:val="00FA5F52"/>
    <w:rsid w:val="00FB08F9"/>
    <w:rsid w:val="00FB1399"/>
    <w:rsid w:val="00FB1D59"/>
    <w:rsid w:val="00FB20EB"/>
    <w:rsid w:val="00FB3319"/>
    <w:rsid w:val="00FB3479"/>
    <w:rsid w:val="00FB3A66"/>
    <w:rsid w:val="00FB4022"/>
    <w:rsid w:val="00FB5222"/>
    <w:rsid w:val="00FB73FA"/>
    <w:rsid w:val="00FB7462"/>
    <w:rsid w:val="00FC035D"/>
    <w:rsid w:val="00FC085C"/>
    <w:rsid w:val="00FC1525"/>
    <w:rsid w:val="00FC3D51"/>
    <w:rsid w:val="00FC3F75"/>
    <w:rsid w:val="00FC4009"/>
    <w:rsid w:val="00FC67B6"/>
    <w:rsid w:val="00FC7535"/>
    <w:rsid w:val="00FD0C6F"/>
    <w:rsid w:val="00FD1BE3"/>
    <w:rsid w:val="00FD2E16"/>
    <w:rsid w:val="00FD3490"/>
    <w:rsid w:val="00FD41E9"/>
    <w:rsid w:val="00FD4385"/>
    <w:rsid w:val="00FD4A86"/>
    <w:rsid w:val="00FD69AB"/>
    <w:rsid w:val="00FD6C16"/>
    <w:rsid w:val="00FE042F"/>
    <w:rsid w:val="00FE0651"/>
    <w:rsid w:val="00FE1BD3"/>
    <w:rsid w:val="00FE62A5"/>
    <w:rsid w:val="00FF1B53"/>
    <w:rsid w:val="00FF353D"/>
    <w:rsid w:val="00FF37A8"/>
    <w:rsid w:val="00FF39ED"/>
    <w:rsid w:val="00FF6379"/>
    <w:rsid w:val="00FF68FF"/>
    <w:rsid w:val="00FF697E"/>
    <w:rsid w:val="00FF6F55"/>
    <w:rsid w:val="00FF724D"/>
    <w:rsid w:val="00FF7D74"/>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BB24C"/>
  <w15:chartTrackingRefBased/>
  <w15:docId w15:val="{9CF0D7A7-E961-4DBD-9A81-BEC96A76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82"/>
    <w:pPr>
      <w:spacing w:after="0" w:line="240" w:lineRule="auto"/>
      <w:ind w:firstLine="720"/>
      <w:contextualSpacing/>
      <w:jc w:val="both"/>
    </w:pPr>
    <w:rPr>
      <w:rFonts w:ascii="Times New Roman" w:hAnsi="Times New Roman"/>
    </w:rPr>
  </w:style>
  <w:style w:type="paragraph" w:styleId="Heading1">
    <w:name w:val="heading 1"/>
    <w:basedOn w:val="Normal"/>
    <w:next w:val="Normal"/>
    <w:link w:val="Heading1Char"/>
    <w:uiPriority w:val="9"/>
    <w:qFormat/>
    <w:rsid w:val="00DF133A"/>
    <w:pPr>
      <w:keepNext/>
      <w:keepLines/>
      <w:numPr>
        <w:numId w:val="2"/>
      </w:numP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E520C8"/>
    <w:pPr>
      <w:keepNext/>
      <w:keepLines/>
      <w:numPr>
        <w:ilvl w:val="1"/>
        <w:numId w:val="2"/>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3F7E1C"/>
    <w:pPr>
      <w:keepNext/>
      <w:keepLines/>
      <w:numPr>
        <w:ilvl w:val="2"/>
        <w:numId w:val="2"/>
      </w:numPr>
      <w:jc w:val="left"/>
      <w:outlineLvl w:val="2"/>
    </w:pPr>
    <w:rPr>
      <w:rFonts w:eastAsiaTheme="majorEastAsia" w:cstheme="majorBidi"/>
      <w:b/>
      <w:i/>
      <w:szCs w:val="28"/>
    </w:rPr>
  </w:style>
  <w:style w:type="paragraph" w:styleId="Heading4">
    <w:name w:val="heading 4"/>
    <w:basedOn w:val="Normal"/>
    <w:next w:val="Normal"/>
    <w:link w:val="Heading4Char"/>
    <w:uiPriority w:val="9"/>
    <w:unhideWhenUsed/>
    <w:qFormat/>
    <w:rsid w:val="00E06633"/>
    <w:pPr>
      <w:keepNext/>
      <w:keepLines/>
      <w:numPr>
        <w:ilvl w:val="3"/>
        <w:numId w:val="2"/>
      </w:numPr>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C36229"/>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229"/>
    <w:pPr>
      <w:keepNext/>
      <w:keepLines/>
      <w:numPr>
        <w:ilvl w:val="5"/>
        <w:numId w:val="2"/>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229"/>
    <w:pPr>
      <w:keepNext/>
      <w:keepLines/>
      <w:numPr>
        <w:ilvl w:val="6"/>
        <w:numId w:val="2"/>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229"/>
    <w:pPr>
      <w:keepNext/>
      <w:keepLines/>
      <w:numPr>
        <w:ilvl w:val="7"/>
        <w:numId w:val="2"/>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229"/>
    <w:pPr>
      <w:keepNext/>
      <w:keepLines/>
      <w:numPr>
        <w:ilvl w:val="8"/>
        <w:numId w:val="2"/>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33A"/>
    <w:rPr>
      <w:rFonts w:ascii="Times New Roman" w:eastAsiaTheme="majorEastAsia" w:hAnsi="Times New Roman" w:cstheme="majorBidi"/>
      <w:b/>
      <w:sz w:val="24"/>
      <w:szCs w:val="40"/>
    </w:rPr>
  </w:style>
  <w:style w:type="character" w:customStyle="1" w:styleId="Heading2Char">
    <w:name w:val="Heading 2 Char"/>
    <w:basedOn w:val="DefaultParagraphFont"/>
    <w:link w:val="Heading2"/>
    <w:uiPriority w:val="9"/>
    <w:rsid w:val="00E520C8"/>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3F7E1C"/>
    <w:rPr>
      <w:rFonts w:ascii="Times New Roman" w:eastAsiaTheme="majorEastAsia" w:hAnsi="Times New Roman" w:cstheme="majorBidi"/>
      <w:b/>
      <w:i/>
      <w:sz w:val="24"/>
      <w:szCs w:val="28"/>
    </w:rPr>
  </w:style>
  <w:style w:type="character" w:customStyle="1" w:styleId="Heading4Char">
    <w:name w:val="Heading 4 Char"/>
    <w:basedOn w:val="DefaultParagraphFont"/>
    <w:link w:val="Heading4"/>
    <w:uiPriority w:val="9"/>
    <w:rsid w:val="00E06633"/>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semiHidden/>
    <w:rsid w:val="00C36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229"/>
    <w:rPr>
      <w:rFonts w:eastAsiaTheme="majorEastAsia" w:cstheme="majorBidi"/>
      <w:color w:val="272727" w:themeColor="text1" w:themeTint="D8"/>
    </w:rPr>
  </w:style>
  <w:style w:type="paragraph" w:styleId="Title">
    <w:name w:val="Title"/>
    <w:basedOn w:val="Normal"/>
    <w:next w:val="Normal"/>
    <w:link w:val="TitleChar"/>
    <w:uiPriority w:val="10"/>
    <w:qFormat/>
    <w:rsid w:val="00C36229"/>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229"/>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229"/>
    <w:pPr>
      <w:spacing w:before="160"/>
      <w:jc w:val="center"/>
    </w:pPr>
    <w:rPr>
      <w:i/>
      <w:iCs/>
      <w:color w:val="404040" w:themeColor="text1" w:themeTint="BF"/>
    </w:rPr>
  </w:style>
  <w:style w:type="character" w:customStyle="1" w:styleId="QuoteChar">
    <w:name w:val="Quote Char"/>
    <w:basedOn w:val="DefaultParagraphFont"/>
    <w:link w:val="Quote"/>
    <w:uiPriority w:val="29"/>
    <w:rsid w:val="00C36229"/>
    <w:rPr>
      <w:i/>
      <w:iCs/>
      <w:color w:val="404040" w:themeColor="text1" w:themeTint="BF"/>
    </w:rPr>
  </w:style>
  <w:style w:type="paragraph" w:styleId="ListParagraph">
    <w:name w:val="List Paragraph"/>
    <w:basedOn w:val="Normal"/>
    <w:uiPriority w:val="34"/>
    <w:qFormat/>
    <w:rsid w:val="00C36229"/>
    <w:pPr>
      <w:ind w:left="720"/>
    </w:pPr>
  </w:style>
  <w:style w:type="character" w:styleId="IntenseEmphasis">
    <w:name w:val="Intense Emphasis"/>
    <w:basedOn w:val="DefaultParagraphFont"/>
    <w:uiPriority w:val="21"/>
    <w:qFormat/>
    <w:rsid w:val="00C36229"/>
    <w:rPr>
      <w:i/>
      <w:iCs/>
      <w:color w:val="0F4761" w:themeColor="accent1" w:themeShade="BF"/>
    </w:rPr>
  </w:style>
  <w:style w:type="paragraph" w:styleId="IntenseQuote">
    <w:name w:val="Intense Quote"/>
    <w:basedOn w:val="Normal"/>
    <w:next w:val="Normal"/>
    <w:link w:val="IntenseQuoteChar"/>
    <w:uiPriority w:val="30"/>
    <w:qFormat/>
    <w:rsid w:val="00C36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229"/>
    <w:rPr>
      <w:i/>
      <w:iCs/>
      <w:color w:val="0F4761" w:themeColor="accent1" w:themeShade="BF"/>
    </w:rPr>
  </w:style>
  <w:style w:type="character" w:styleId="IntenseReference">
    <w:name w:val="Intense Reference"/>
    <w:basedOn w:val="DefaultParagraphFont"/>
    <w:uiPriority w:val="32"/>
    <w:qFormat/>
    <w:rsid w:val="00C36229"/>
    <w:rPr>
      <w:b/>
      <w:bCs/>
      <w:smallCaps/>
      <w:color w:val="0F4761" w:themeColor="accent1" w:themeShade="BF"/>
      <w:spacing w:val="5"/>
    </w:rPr>
  </w:style>
  <w:style w:type="paragraph" w:styleId="NoSpacing">
    <w:name w:val="No Spacing"/>
    <w:uiPriority w:val="1"/>
    <w:qFormat/>
    <w:rsid w:val="004E0B19"/>
    <w:pPr>
      <w:spacing w:after="0" w:line="240" w:lineRule="auto"/>
      <w:ind w:firstLine="720"/>
      <w:contextualSpacing/>
      <w:jc w:val="both"/>
    </w:pPr>
    <w:rPr>
      <w:rFonts w:ascii="Times New Roman" w:hAnsi="Times New Roman"/>
    </w:rPr>
  </w:style>
  <w:style w:type="table" w:styleId="TableGrid">
    <w:name w:val="Table Grid"/>
    <w:basedOn w:val="TableNormal"/>
    <w:uiPriority w:val="39"/>
    <w:rsid w:val="009C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Paragraph">
    <w:name w:val="1st Paragraph"/>
    <w:basedOn w:val="Normal"/>
    <w:link w:val="1stParagraphChar"/>
    <w:qFormat/>
    <w:rsid w:val="00C77D82"/>
    <w:pPr>
      <w:ind w:firstLine="0"/>
      <w:contextualSpacing w:val="0"/>
    </w:pPr>
    <w:rPr>
      <w:kern w:val="0"/>
      <w14:ligatures w14:val="none"/>
    </w:rPr>
  </w:style>
  <w:style w:type="character" w:customStyle="1" w:styleId="1stParagraphChar">
    <w:name w:val="1st Paragraph Char"/>
    <w:basedOn w:val="DefaultParagraphFont"/>
    <w:link w:val="1stParagraph"/>
    <w:rsid w:val="00C77D82"/>
    <w:rPr>
      <w:rFonts w:ascii="Times New Roman" w:hAnsi="Times New Roman"/>
      <w:kern w:val="0"/>
      <w14:ligatures w14:val="none"/>
    </w:rPr>
  </w:style>
  <w:style w:type="character" w:styleId="PlaceholderText">
    <w:name w:val="Placeholder Text"/>
    <w:basedOn w:val="DefaultParagraphFont"/>
    <w:uiPriority w:val="99"/>
    <w:semiHidden/>
    <w:rsid w:val="00857F3B"/>
    <w:rPr>
      <w:color w:val="666666"/>
    </w:rPr>
  </w:style>
  <w:style w:type="paragraph" w:styleId="NormalWeb">
    <w:name w:val="Normal (Web)"/>
    <w:basedOn w:val="Normal"/>
    <w:uiPriority w:val="99"/>
    <w:semiHidden/>
    <w:unhideWhenUsed/>
    <w:rsid w:val="009D604F"/>
    <w:pPr>
      <w:spacing w:before="100" w:beforeAutospacing="1" w:after="100" w:afterAutospacing="1"/>
      <w:ind w:firstLine="0"/>
      <w:contextualSpacing w:val="0"/>
      <w:jc w:val="left"/>
    </w:pPr>
    <w:rPr>
      <w:rFonts w:eastAsia="Times New Roman" w:cs="Times New Roman"/>
      <w:kern w:val="0"/>
      <w:szCs w:val="24"/>
      <w14:ligatures w14:val="none"/>
    </w:rPr>
  </w:style>
  <w:style w:type="character" w:styleId="Strong">
    <w:name w:val="Strong"/>
    <w:basedOn w:val="DefaultParagraphFont"/>
    <w:uiPriority w:val="22"/>
    <w:qFormat/>
    <w:rsid w:val="009D604F"/>
    <w:rPr>
      <w:b/>
      <w:bCs/>
    </w:rPr>
  </w:style>
  <w:style w:type="character" w:styleId="CommentReference">
    <w:name w:val="annotation reference"/>
    <w:basedOn w:val="DefaultParagraphFont"/>
    <w:uiPriority w:val="99"/>
    <w:semiHidden/>
    <w:unhideWhenUsed/>
    <w:rsid w:val="00C04D62"/>
    <w:rPr>
      <w:sz w:val="16"/>
      <w:szCs w:val="16"/>
    </w:rPr>
  </w:style>
  <w:style w:type="paragraph" w:styleId="CommentText">
    <w:name w:val="annotation text"/>
    <w:basedOn w:val="Normal"/>
    <w:link w:val="CommentTextChar"/>
    <w:uiPriority w:val="99"/>
    <w:unhideWhenUsed/>
    <w:rsid w:val="00C04D62"/>
    <w:rPr>
      <w:sz w:val="20"/>
      <w:szCs w:val="20"/>
    </w:rPr>
  </w:style>
  <w:style w:type="character" w:customStyle="1" w:styleId="CommentTextChar">
    <w:name w:val="Comment Text Char"/>
    <w:basedOn w:val="DefaultParagraphFont"/>
    <w:link w:val="CommentText"/>
    <w:uiPriority w:val="99"/>
    <w:rsid w:val="00C04D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4D62"/>
    <w:rPr>
      <w:b/>
      <w:bCs/>
    </w:rPr>
  </w:style>
  <w:style w:type="character" w:customStyle="1" w:styleId="CommentSubjectChar">
    <w:name w:val="Comment Subject Char"/>
    <w:basedOn w:val="CommentTextChar"/>
    <w:link w:val="CommentSubject"/>
    <w:uiPriority w:val="99"/>
    <w:semiHidden/>
    <w:rsid w:val="00C04D62"/>
    <w:rPr>
      <w:rFonts w:ascii="Times New Roman" w:hAnsi="Times New Roman"/>
      <w:b/>
      <w:bCs/>
      <w:sz w:val="20"/>
      <w:szCs w:val="20"/>
    </w:rPr>
  </w:style>
  <w:style w:type="paragraph" w:customStyle="1" w:styleId="Default">
    <w:name w:val="Default"/>
    <w:rsid w:val="00056249"/>
    <w:pPr>
      <w:autoSpaceDE w:val="0"/>
      <w:autoSpaceDN w:val="0"/>
      <w:adjustRightInd w:val="0"/>
      <w:spacing w:after="0" w:line="240" w:lineRule="auto"/>
    </w:pPr>
    <w:rPr>
      <w:rFonts w:ascii="Times New Roman" w:hAnsi="Times New Roman" w:cs="Times New Roman"/>
      <w:color w:val="000000"/>
      <w:kern w:val="0"/>
      <w:sz w:val="24"/>
      <w:szCs w:val="24"/>
      <w:lang w:val="en-CA"/>
      <w14:ligatures w14:val="none"/>
    </w:rPr>
  </w:style>
  <w:style w:type="paragraph" w:styleId="Header">
    <w:name w:val="header"/>
    <w:basedOn w:val="Normal"/>
    <w:link w:val="HeaderChar"/>
    <w:uiPriority w:val="99"/>
    <w:unhideWhenUsed/>
    <w:rsid w:val="00AE45A8"/>
    <w:pPr>
      <w:tabs>
        <w:tab w:val="center" w:pos="4680"/>
        <w:tab w:val="right" w:pos="9360"/>
      </w:tabs>
    </w:pPr>
  </w:style>
  <w:style w:type="character" w:customStyle="1" w:styleId="HeaderChar">
    <w:name w:val="Header Char"/>
    <w:basedOn w:val="DefaultParagraphFont"/>
    <w:link w:val="Header"/>
    <w:uiPriority w:val="99"/>
    <w:rsid w:val="00AE45A8"/>
    <w:rPr>
      <w:rFonts w:ascii="Times New Roman" w:hAnsi="Times New Roman"/>
      <w:sz w:val="24"/>
    </w:rPr>
  </w:style>
  <w:style w:type="paragraph" w:styleId="Footer">
    <w:name w:val="footer"/>
    <w:basedOn w:val="Normal"/>
    <w:link w:val="FooterChar"/>
    <w:uiPriority w:val="99"/>
    <w:unhideWhenUsed/>
    <w:rsid w:val="00AE45A8"/>
    <w:pPr>
      <w:tabs>
        <w:tab w:val="center" w:pos="4680"/>
        <w:tab w:val="right" w:pos="9360"/>
      </w:tabs>
    </w:pPr>
  </w:style>
  <w:style w:type="character" w:customStyle="1" w:styleId="FooterChar">
    <w:name w:val="Footer Char"/>
    <w:basedOn w:val="DefaultParagraphFont"/>
    <w:link w:val="Footer"/>
    <w:uiPriority w:val="99"/>
    <w:rsid w:val="00AE45A8"/>
    <w:rPr>
      <w:rFonts w:ascii="Times New Roman" w:hAnsi="Times New Roman"/>
      <w:sz w:val="24"/>
    </w:rPr>
  </w:style>
  <w:style w:type="paragraph" w:customStyle="1" w:styleId="FigureCaption">
    <w:name w:val="Figure Caption"/>
    <w:basedOn w:val="1stParagraph"/>
    <w:link w:val="FigureCaptionChar"/>
    <w:qFormat/>
    <w:rsid w:val="00CE0509"/>
    <w:pPr>
      <w:spacing w:line="480" w:lineRule="auto"/>
      <w:jc w:val="center"/>
    </w:pPr>
    <w:rPr>
      <w:b/>
      <w:bCs/>
    </w:rPr>
  </w:style>
  <w:style w:type="character" w:customStyle="1" w:styleId="FigureCaptionChar">
    <w:name w:val="Figure Caption Char"/>
    <w:basedOn w:val="1stParagraphChar"/>
    <w:link w:val="FigureCaption"/>
    <w:rsid w:val="00CE0509"/>
    <w:rPr>
      <w:rFonts w:ascii="Times New Roman" w:hAnsi="Times New Roman"/>
      <w:b/>
      <w:bCs/>
      <w:kern w:val="0"/>
      <w:sz w:val="24"/>
      <w14:ligatures w14:val="none"/>
    </w:rPr>
  </w:style>
  <w:style w:type="paragraph" w:styleId="Revision">
    <w:name w:val="Revision"/>
    <w:hidden/>
    <w:uiPriority w:val="99"/>
    <w:semiHidden/>
    <w:rsid w:val="0095162A"/>
    <w:pPr>
      <w:spacing w:after="0" w:line="240" w:lineRule="auto"/>
    </w:pPr>
    <w:rPr>
      <w:rFonts w:ascii="Times New Roman" w:hAnsi="Times New Roman"/>
      <w:sz w:val="24"/>
    </w:rPr>
  </w:style>
  <w:style w:type="character" w:styleId="Hyperlink">
    <w:name w:val="Hyperlink"/>
    <w:basedOn w:val="DefaultParagraphFont"/>
    <w:uiPriority w:val="99"/>
    <w:unhideWhenUsed/>
    <w:rsid w:val="00615E9D"/>
    <w:rPr>
      <w:color w:val="467886" w:themeColor="hyperlink"/>
      <w:u w:val="single"/>
    </w:rPr>
  </w:style>
  <w:style w:type="character" w:styleId="UnresolvedMention">
    <w:name w:val="Unresolved Mention"/>
    <w:basedOn w:val="DefaultParagraphFont"/>
    <w:uiPriority w:val="99"/>
    <w:semiHidden/>
    <w:unhideWhenUsed/>
    <w:rsid w:val="00615E9D"/>
    <w:rPr>
      <w:color w:val="605E5C"/>
      <w:shd w:val="clear" w:color="auto" w:fill="E1DFDD"/>
    </w:rPr>
  </w:style>
  <w:style w:type="character" w:styleId="LineNumber">
    <w:name w:val="line number"/>
    <w:basedOn w:val="DefaultParagraphFont"/>
    <w:uiPriority w:val="99"/>
    <w:semiHidden/>
    <w:unhideWhenUsed/>
    <w:rsid w:val="00E526A3"/>
  </w:style>
  <w:style w:type="paragraph" w:styleId="FootnoteText">
    <w:name w:val="footnote text"/>
    <w:basedOn w:val="Normal"/>
    <w:link w:val="FootnoteTextChar"/>
    <w:uiPriority w:val="99"/>
    <w:semiHidden/>
    <w:unhideWhenUsed/>
    <w:rsid w:val="007A22E7"/>
    <w:rPr>
      <w:sz w:val="20"/>
      <w:szCs w:val="20"/>
    </w:rPr>
  </w:style>
  <w:style w:type="character" w:customStyle="1" w:styleId="FootnoteTextChar">
    <w:name w:val="Footnote Text Char"/>
    <w:basedOn w:val="DefaultParagraphFont"/>
    <w:link w:val="FootnoteText"/>
    <w:uiPriority w:val="99"/>
    <w:semiHidden/>
    <w:rsid w:val="007A22E7"/>
    <w:rPr>
      <w:rFonts w:ascii="Times New Roman" w:hAnsi="Times New Roman"/>
      <w:sz w:val="20"/>
      <w:szCs w:val="20"/>
    </w:rPr>
  </w:style>
  <w:style w:type="character" w:styleId="FootnoteReference">
    <w:name w:val="footnote reference"/>
    <w:basedOn w:val="DefaultParagraphFont"/>
    <w:uiPriority w:val="99"/>
    <w:semiHidden/>
    <w:unhideWhenUsed/>
    <w:rsid w:val="007A2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2132">
      <w:bodyDiv w:val="1"/>
      <w:marLeft w:val="0"/>
      <w:marRight w:val="0"/>
      <w:marTop w:val="0"/>
      <w:marBottom w:val="0"/>
      <w:divBdr>
        <w:top w:val="none" w:sz="0" w:space="0" w:color="auto"/>
        <w:left w:val="none" w:sz="0" w:space="0" w:color="auto"/>
        <w:bottom w:val="none" w:sz="0" w:space="0" w:color="auto"/>
        <w:right w:val="none" w:sz="0" w:space="0" w:color="auto"/>
      </w:divBdr>
    </w:div>
    <w:div w:id="30346428">
      <w:bodyDiv w:val="1"/>
      <w:marLeft w:val="0"/>
      <w:marRight w:val="0"/>
      <w:marTop w:val="0"/>
      <w:marBottom w:val="0"/>
      <w:divBdr>
        <w:top w:val="none" w:sz="0" w:space="0" w:color="auto"/>
        <w:left w:val="none" w:sz="0" w:space="0" w:color="auto"/>
        <w:bottom w:val="none" w:sz="0" w:space="0" w:color="auto"/>
        <w:right w:val="none" w:sz="0" w:space="0" w:color="auto"/>
      </w:divBdr>
    </w:div>
    <w:div w:id="38550906">
      <w:bodyDiv w:val="1"/>
      <w:marLeft w:val="0"/>
      <w:marRight w:val="0"/>
      <w:marTop w:val="0"/>
      <w:marBottom w:val="0"/>
      <w:divBdr>
        <w:top w:val="none" w:sz="0" w:space="0" w:color="auto"/>
        <w:left w:val="none" w:sz="0" w:space="0" w:color="auto"/>
        <w:bottom w:val="none" w:sz="0" w:space="0" w:color="auto"/>
        <w:right w:val="none" w:sz="0" w:space="0" w:color="auto"/>
      </w:divBdr>
    </w:div>
    <w:div w:id="79378853">
      <w:bodyDiv w:val="1"/>
      <w:marLeft w:val="0"/>
      <w:marRight w:val="0"/>
      <w:marTop w:val="0"/>
      <w:marBottom w:val="0"/>
      <w:divBdr>
        <w:top w:val="none" w:sz="0" w:space="0" w:color="auto"/>
        <w:left w:val="none" w:sz="0" w:space="0" w:color="auto"/>
        <w:bottom w:val="none" w:sz="0" w:space="0" w:color="auto"/>
        <w:right w:val="none" w:sz="0" w:space="0" w:color="auto"/>
      </w:divBdr>
    </w:div>
    <w:div w:id="182088553">
      <w:bodyDiv w:val="1"/>
      <w:marLeft w:val="0"/>
      <w:marRight w:val="0"/>
      <w:marTop w:val="0"/>
      <w:marBottom w:val="0"/>
      <w:divBdr>
        <w:top w:val="none" w:sz="0" w:space="0" w:color="auto"/>
        <w:left w:val="none" w:sz="0" w:space="0" w:color="auto"/>
        <w:bottom w:val="none" w:sz="0" w:space="0" w:color="auto"/>
        <w:right w:val="none" w:sz="0" w:space="0" w:color="auto"/>
      </w:divBdr>
    </w:div>
    <w:div w:id="198133920">
      <w:bodyDiv w:val="1"/>
      <w:marLeft w:val="0"/>
      <w:marRight w:val="0"/>
      <w:marTop w:val="0"/>
      <w:marBottom w:val="0"/>
      <w:divBdr>
        <w:top w:val="none" w:sz="0" w:space="0" w:color="auto"/>
        <w:left w:val="none" w:sz="0" w:space="0" w:color="auto"/>
        <w:bottom w:val="none" w:sz="0" w:space="0" w:color="auto"/>
        <w:right w:val="none" w:sz="0" w:space="0" w:color="auto"/>
      </w:divBdr>
    </w:div>
    <w:div w:id="212274844">
      <w:bodyDiv w:val="1"/>
      <w:marLeft w:val="0"/>
      <w:marRight w:val="0"/>
      <w:marTop w:val="0"/>
      <w:marBottom w:val="0"/>
      <w:divBdr>
        <w:top w:val="none" w:sz="0" w:space="0" w:color="auto"/>
        <w:left w:val="none" w:sz="0" w:space="0" w:color="auto"/>
        <w:bottom w:val="none" w:sz="0" w:space="0" w:color="auto"/>
        <w:right w:val="none" w:sz="0" w:space="0" w:color="auto"/>
      </w:divBdr>
    </w:div>
    <w:div w:id="288056282">
      <w:bodyDiv w:val="1"/>
      <w:marLeft w:val="0"/>
      <w:marRight w:val="0"/>
      <w:marTop w:val="0"/>
      <w:marBottom w:val="0"/>
      <w:divBdr>
        <w:top w:val="none" w:sz="0" w:space="0" w:color="auto"/>
        <w:left w:val="none" w:sz="0" w:space="0" w:color="auto"/>
        <w:bottom w:val="none" w:sz="0" w:space="0" w:color="auto"/>
        <w:right w:val="none" w:sz="0" w:space="0" w:color="auto"/>
      </w:divBdr>
    </w:div>
    <w:div w:id="335040576">
      <w:bodyDiv w:val="1"/>
      <w:marLeft w:val="0"/>
      <w:marRight w:val="0"/>
      <w:marTop w:val="0"/>
      <w:marBottom w:val="0"/>
      <w:divBdr>
        <w:top w:val="none" w:sz="0" w:space="0" w:color="auto"/>
        <w:left w:val="none" w:sz="0" w:space="0" w:color="auto"/>
        <w:bottom w:val="none" w:sz="0" w:space="0" w:color="auto"/>
        <w:right w:val="none" w:sz="0" w:space="0" w:color="auto"/>
      </w:divBdr>
    </w:div>
    <w:div w:id="365564334">
      <w:bodyDiv w:val="1"/>
      <w:marLeft w:val="0"/>
      <w:marRight w:val="0"/>
      <w:marTop w:val="0"/>
      <w:marBottom w:val="0"/>
      <w:divBdr>
        <w:top w:val="none" w:sz="0" w:space="0" w:color="auto"/>
        <w:left w:val="none" w:sz="0" w:space="0" w:color="auto"/>
        <w:bottom w:val="none" w:sz="0" w:space="0" w:color="auto"/>
        <w:right w:val="none" w:sz="0" w:space="0" w:color="auto"/>
      </w:divBdr>
    </w:div>
    <w:div w:id="368646205">
      <w:bodyDiv w:val="1"/>
      <w:marLeft w:val="0"/>
      <w:marRight w:val="0"/>
      <w:marTop w:val="0"/>
      <w:marBottom w:val="0"/>
      <w:divBdr>
        <w:top w:val="none" w:sz="0" w:space="0" w:color="auto"/>
        <w:left w:val="none" w:sz="0" w:space="0" w:color="auto"/>
        <w:bottom w:val="none" w:sz="0" w:space="0" w:color="auto"/>
        <w:right w:val="none" w:sz="0" w:space="0" w:color="auto"/>
      </w:divBdr>
    </w:div>
    <w:div w:id="376662888">
      <w:bodyDiv w:val="1"/>
      <w:marLeft w:val="0"/>
      <w:marRight w:val="0"/>
      <w:marTop w:val="0"/>
      <w:marBottom w:val="0"/>
      <w:divBdr>
        <w:top w:val="none" w:sz="0" w:space="0" w:color="auto"/>
        <w:left w:val="none" w:sz="0" w:space="0" w:color="auto"/>
        <w:bottom w:val="none" w:sz="0" w:space="0" w:color="auto"/>
        <w:right w:val="none" w:sz="0" w:space="0" w:color="auto"/>
      </w:divBdr>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4450717">
      <w:bodyDiv w:val="1"/>
      <w:marLeft w:val="0"/>
      <w:marRight w:val="0"/>
      <w:marTop w:val="0"/>
      <w:marBottom w:val="0"/>
      <w:divBdr>
        <w:top w:val="none" w:sz="0" w:space="0" w:color="auto"/>
        <w:left w:val="none" w:sz="0" w:space="0" w:color="auto"/>
        <w:bottom w:val="none" w:sz="0" w:space="0" w:color="auto"/>
        <w:right w:val="none" w:sz="0" w:space="0" w:color="auto"/>
      </w:divBdr>
    </w:div>
    <w:div w:id="392390721">
      <w:bodyDiv w:val="1"/>
      <w:marLeft w:val="0"/>
      <w:marRight w:val="0"/>
      <w:marTop w:val="0"/>
      <w:marBottom w:val="0"/>
      <w:divBdr>
        <w:top w:val="none" w:sz="0" w:space="0" w:color="auto"/>
        <w:left w:val="none" w:sz="0" w:space="0" w:color="auto"/>
        <w:bottom w:val="none" w:sz="0" w:space="0" w:color="auto"/>
        <w:right w:val="none" w:sz="0" w:space="0" w:color="auto"/>
      </w:divBdr>
    </w:div>
    <w:div w:id="404959537">
      <w:bodyDiv w:val="1"/>
      <w:marLeft w:val="0"/>
      <w:marRight w:val="0"/>
      <w:marTop w:val="0"/>
      <w:marBottom w:val="0"/>
      <w:divBdr>
        <w:top w:val="none" w:sz="0" w:space="0" w:color="auto"/>
        <w:left w:val="none" w:sz="0" w:space="0" w:color="auto"/>
        <w:bottom w:val="none" w:sz="0" w:space="0" w:color="auto"/>
        <w:right w:val="none" w:sz="0" w:space="0" w:color="auto"/>
      </w:divBdr>
    </w:div>
    <w:div w:id="428549819">
      <w:bodyDiv w:val="1"/>
      <w:marLeft w:val="0"/>
      <w:marRight w:val="0"/>
      <w:marTop w:val="0"/>
      <w:marBottom w:val="0"/>
      <w:divBdr>
        <w:top w:val="none" w:sz="0" w:space="0" w:color="auto"/>
        <w:left w:val="none" w:sz="0" w:space="0" w:color="auto"/>
        <w:bottom w:val="none" w:sz="0" w:space="0" w:color="auto"/>
        <w:right w:val="none" w:sz="0" w:space="0" w:color="auto"/>
      </w:divBdr>
    </w:div>
    <w:div w:id="482895054">
      <w:bodyDiv w:val="1"/>
      <w:marLeft w:val="0"/>
      <w:marRight w:val="0"/>
      <w:marTop w:val="0"/>
      <w:marBottom w:val="0"/>
      <w:divBdr>
        <w:top w:val="none" w:sz="0" w:space="0" w:color="auto"/>
        <w:left w:val="none" w:sz="0" w:space="0" w:color="auto"/>
        <w:bottom w:val="none" w:sz="0" w:space="0" w:color="auto"/>
        <w:right w:val="none" w:sz="0" w:space="0" w:color="auto"/>
      </w:divBdr>
    </w:div>
    <w:div w:id="520170832">
      <w:bodyDiv w:val="1"/>
      <w:marLeft w:val="0"/>
      <w:marRight w:val="0"/>
      <w:marTop w:val="0"/>
      <w:marBottom w:val="0"/>
      <w:divBdr>
        <w:top w:val="none" w:sz="0" w:space="0" w:color="auto"/>
        <w:left w:val="none" w:sz="0" w:space="0" w:color="auto"/>
        <w:bottom w:val="none" w:sz="0" w:space="0" w:color="auto"/>
        <w:right w:val="none" w:sz="0" w:space="0" w:color="auto"/>
      </w:divBdr>
    </w:div>
    <w:div w:id="597254840">
      <w:bodyDiv w:val="1"/>
      <w:marLeft w:val="0"/>
      <w:marRight w:val="0"/>
      <w:marTop w:val="0"/>
      <w:marBottom w:val="0"/>
      <w:divBdr>
        <w:top w:val="none" w:sz="0" w:space="0" w:color="auto"/>
        <w:left w:val="none" w:sz="0" w:space="0" w:color="auto"/>
        <w:bottom w:val="none" w:sz="0" w:space="0" w:color="auto"/>
        <w:right w:val="none" w:sz="0" w:space="0" w:color="auto"/>
      </w:divBdr>
    </w:div>
    <w:div w:id="755984104">
      <w:bodyDiv w:val="1"/>
      <w:marLeft w:val="0"/>
      <w:marRight w:val="0"/>
      <w:marTop w:val="0"/>
      <w:marBottom w:val="0"/>
      <w:divBdr>
        <w:top w:val="none" w:sz="0" w:space="0" w:color="auto"/>
        <w:left w:val="none" w:sz="0" w:space="0" w:color="auto"/>
        <w:bottom w:val="none" w:sz="0" w:space="0" w:color="auto"/>
        <w:right w:val="none" w:sz="0" w:space="0" w:color="auto"/>
      </w:divBdr>
    </w:div>
    <w:div w:id="851915460">
      <w:bodyDiv w:val="1"/>
      <w:marLeft w:val="0"/>
      <w:marRight w:val="0"/>
      <w:marTop w:val="0"/>
      <w:marBottom w:val="0"/>
      <w:divBdr>
        <w:top w:val="none" w:sz="0" w:space="0" w:color="auto"/>
        <w:left w:val="none" w:sz="0" w:space="0" w:color="auto"/>
        <w:bottom w:val="none" w:sz="0" w:space="0" w:color="auto"/>
        <w:right w:val="none" w:sz="0" w:space="0" w:color="auto"/>
      </w:divBdr>
    </w:div>
    <w:div w:id="885989729">
      <w:bodyDiv w:val="1"/>
      <w:marLeft w:val="0"/>
      <w:marRight w:val="0"/>
      <w:marTop w:val="0"/>
      <w:marBottom w:val="0"/>
      <w:divBdr>
        <w:top w:val="none" w:sz="0" w:space="0" w:color="auto"/>
        <w:left w:val="none" w:sz="0" w:space="0" w:color="auto"/>
        <w:bottom w:val="none" w:sz="0" w:space="0" w:color="auto"/>
        <w:right w:val="none" w:sz="0" w:space="0" w:color="auto"/>
      </w:divBdr>
    </w:div>
    <w:div w:id="895550600">
      <w:bodyDiv w:val="1"/>
      <w:marLeft w:val="0"/>
      <w:marRight w:val="0"/>
      <w:marTop w:val="0"/>
      <w:marBottom w:val="0"/>
      <w:divBdr>
        <w:top w:val="none" w:sz="0" w:space="0" w:color="auto"/>
        <w:left w:val="none" w:sz="0" w:space="0" w:color="auto"/>
        <w:bottom w:val="none" w:sz="0" w:space="0" w:color="auto"/>
        <w:right w:val="none" w:sz="0" w:space="0" w:color="auto"/>
      </w:divBdr>
    </w:div>
    <w:div w:id="916788715">
      <w:bodyDiv w:val="1"/>
      <w:marLeft w:val="0"/>
      <w:marRight w:val="0"/>
      <w:marTop w:val="0"/>
      <w:marBottom w:val="0"/>
      <w:divBdr>
        <w:top w:val="none" w:sz="0" w:space="0" w:color="auto"/>
        <w:left w:val="none" w:sz="0" w:space="0" w:color="auto"/>
        <w:bottom w:val="none" w:sz="0" w:space="0" w:color="auto"/>
        <w:right w:val="none" w:sz="0" w:space="0" w:color="auto"/>
      </w:divBdr>
    </w:div>
    <w:div w:id="943150946">
      <w:bodyDiv w:val="1"/>
      <w:marLeft w:val="0"/>
      <w:marRight w:val="0"/>
      <w:marTop w:val="0"/>
      <w:marBottom w:val="0"/>
      <w:divBdr>
        <w:top w:val="none" w:sz="0" w:space="0" w:color="auto"/>
        <w:left w:val="none" w:sz="0" w:space="0" w:color="auto"/>
        <w:bottom w:val="none" w:sz="0" w:space="0" w:color="auto"/>
        <w:right w:val="none" w:sz="0" w:space="0" w:color="auto"/>
      </w:divBdr>
    </w:div>
    <w:div w:id="952635976">
      <w:bodyDiv w:val="1"/>
      <w:marLeft w:val="0"/>
      <w:marRight w:val="0"/>
      <w:marTop w:val="0"/>
      <w:marBottom w:val="0"/>
      <w:divBdr>
        <w:top w:val="none" w:sz="0" w:space="0" w:color="auto"/>
        <w:left w:val="none" w:sz="0" w:space="0" w:color="auto"/>
        <w:bottom w:val="none" w:sz="0" w:space="0" w:color="auto"/>
        <w:right w:val="none" w:sz="0" w:space="0" w:color="auto"/>
      </w:divBdr>
    </w:div>
    <w:div w:id="961690037">
      <w:bodyDiv w:val="1"/>
      <w:marLeft w:val="0"/>
      <w:marRight w:val="0"/>
      <w:marTop w:val="0"/>
      <w:marBottom w:val="0"/>
      <w:divBdr>
        <w:top w:val="none" w:sz="0" w:space="0" w:color="auto"/>
        <w:left w:val="none" w:sz="0" w:space="0" w:color="auto"/>
        <w:bottom w:val="none" w:sz="0" w:space="0" w:color="auto"/>
        <w:right w:val="none" w:sz="0" w:space="0" w:color="auto"/>
      </w:divBdr>
    </w:div>
    <w:div w:id="967902148">
      <w:bodyDiv w:val="1"/>
      <w:marLeft w:val="0"/>
      <w:marRight w:val="0"/>
      <w:marTop w:val="0"/>
      <w:marBottom w:val="0"/>
      <w:divBdr>
        <w:top w:val="none" w:sz="0" w:space="0" w:color="auto"/>
        <w:left w:val="none" w:sz="0" w:space="0" w:color="auto"/>
        <w:bottom w:val="none" w:sz="0" w:space="0" w:color="auto"/>
        <w:right w:val="none" w:sz="0" w:space="0" w:color="auto"/>
      </w:divBdr>
    </w:div>
    <w:div w:id="983697179">
      <w:bodyDiv w:val="1"/>
      <w:marLeft w:val="0"/>
      <w:marRight w:val="0"/>
      <w:marTop w:val="0"/>
      <w:marBottom w:val="0"/>
      <w:divBdr>
        <w:top w:val="none" w:sz="0" w:space="0" w:color="auto"/>
        <w:left w:val="none" w:sz="0" w:space="0" w:color="auto"/>
        <w:bottom w:val="none" w:sz="0" w:space="0" w:color="auto"/>
        <w:right w:val="none" w:sz="0" w:space="0" w:color="auto"/>
      </w:divBdr>
    </w:div>
    <w:div w:id="1043945702">
      <w:bodyDiv w:val="1"/>
      <w:marLeft w:val="0"/>
      <w:marRight w:val="0"/>
      <w:marTop w:val="0"/>
      <w:marBottom w:val="0"/>
      <w:divBdr>
        <w:top w:val="none" w:sz="0" w:space="0" w:color="auto"/>
        <w:left w:val="none" w:sz="0" w:space="0" w:color="auto"/>
        <w:bottom w:val="none" w:sz="0" w:space="0" w:color="auto"/>
        <w:right w:val="none" w:sz="0" w:space="0" w:color="auto"/>
      </w:divBdr>
    </w:div>
    <w:div w:id="1067266466">
      <w:bodyDiv w:val="1"/>
      <w:marLeft w:val="0"/>
      <w:marRight w:val="0"/>
      <w:marTop w:val="0"/>
      <w:marBottom w:val="0"/>
      <w:divBdr>
        <w:top w:val="none" w:sz="0" w:space="0" w:color="auto"/>
        <w:left w:val="none" w:sz="0" w:space="0" w:color="auto"/>
        <w:bottom w:val="none" w:sz="0" w:space="0" w:color="auto"/>
        <w:right w:val="none" w:sz="0" w:space="0" w:color="auto"/>
      </w:divBdr>
    </w:div>
    <w:div w:id="1075469472">
      <w:bodyDiv w:val="1"/>
      <w:marLeft w:val="0"/>
      <w:marRight w:val="0"/>
      <w:marTop w:val="0"/>
      <w:marBottom w:val="0"/>
      <w:divBdr>
        <w:top w:val="none" w:sz="0" w:space="0" w:color="auto"/>
        <w:left w:val="none" w:sz="0" w:space="0" w:color="auto"/>
        <w:bottom w:val="none" w:sz="0" w:space="0" w:color="auto"/>
        <w:right w:val="none" w:sz="0" w:space="0" w:color="auto"/>
      </w:divBdr>
    </w:div>
    <w:div w:id="1105075883">
      <w:bodyDiv w:val="1"/>
      <w:marLeft w:val="0"/>
      <w:marRight w:val="0"/>
      <w:marTop w:val="0"/>
      <w:marBottom w:val="0"/>
      <w:divBdr>
        <w:top w:val="none" w:sz="0" w:space="0" w:color="auto"/>
        <w:left w:val="none" w:sz="0" w:space="0" w:color="auto"/>
        <w:bottom w:val="none" w:sz="0" w:space="0" w:color="auto"/>
        <w:right w:val="none" w:sz="0" w:space="0" w:color="auto"/>
      </w:divBdr>
    </w:div>
    <w:div w:id="1134715137">
      <w:bodyDiv w:val="1"/>
      <w:marLeft w:val="0"/>
      <w:marRight w:val="0"/>
      <w:marTop w:val="0"/>
      <w:marBottom w:val="0"/>
      <w:divBdr>
        <w:top w:val="none" w:sz="0" w:space="0" w:color="auto"/>
        <w:left w:val="none" w:sz="0" w:space="0" w:color="auto"/>
        <w:bottom w:val="none" w:sz="0" w:space="0" w:color="auto"/>
        <w:right w:val="none" w:sz="0" w:space="0" w:color="auto"/>
      </w:divBdr>
    </w:div>
    <w:div w:id="1240481819">
      <w:bodyDiv w:val="1"/>
      <w:marLeft w:val="0"/>
      <w:marRight w:val="0"/>
      <w:marTop w:val="0"/>
      <w:marBottom w:val="0"/>
      <w:divBdr>
        <w:top w:val="none" w:sz="0" w:space="0" w:color="auto"/>
        <w:left w:val="none" w:sz="0" w:space="0" w:color="auto"/>
        <w:bottom w:val="none" w:sz="0" w:space="0" w:color="auto"/>
        <w:right w:val="none" w:sz="0" w:space="0" w:color="auto"/>
      </w:divBdr>
    </w:div>
    <w:div w:id="1249313433">
      <w:bodyDiv w:val="1"/>
      <w:marLeft w:val="0"/>
      <w:marRight w:val="0"/>
      <w:marTop w:val="0"/>
      <w:marBottom w:val="0"/>
      <w:divBdr>
        <w:top w:val="none" w:sz="0" w:space="0" w:color="auto"/>
        <w:left w:val="none" w:sz="0" w:space="0" w:color="auto"/>
        <w:bottom w:val="none" w:sz="0" w:space="0" w:color="auto"/>
        <w:right w:val="none" w:sz="0" w:space="0" w:color="auto"/>
      </w:divBdr>
    </w:div>
    <w:div w:id="1267343238">
      <w:bodyDiv w:val="1"/>
      <w:marLeft w:val="0"/>
      <w:marRight w:val="0"/>
      <w:marTop w:val="0"/>
      <w:marBottom w:val="0"/>
      <w:divBdr>
        <w:top w:val="none" w:sz="0" w:space="0" w:color="auto"/>
        <w:left w:val="none" w:sz="0" w:space="0" w:color="auto"/>
        <w:bottom w:val="none" w:sz="0" w:space="0" w:color="auto"/>
        <w:right w:val="none" w:sz="0" w:space="0" w:color="auto"/>
      </w:divBdr>
    </w:div>
    <w:div w:id="1274745483">
      <w:bodyDiv w:val="1"/>
      <w:marLeft w:val="0"/>
      <w:marRight w:val="0"/>
      <w:marTop w:val="0"/>
      <w:marBottom w:val="0"/>
      <w:divBdr>
        <w:top w:val="none" w:sz="0" w:space="0" w:color="auto"/>
        <w:left w:val="none" w:sz="0" w:space="0" w:color="auto"/>
        <w:bottom w:val="none" w:sz="0" w:space="0" w:color="auto"/>
        <w:right w:val="none" w:sz="0" w:space="0" w:color="auto"/>
      </w:divBdr>
    </w:div>
    <w:div w:id="1298533036">
      <w:bodyDiv w:val="1"/>
      <w:marLeft w:val="0"/>
      <w:marRight w:val="0"/>
      <w:marTop w:val="0"/>
      <w:marBottom w:val="0"/>
      <w:divBdr>
        <w:top w:val="none" w:sz="0" w:space="0" w:color="auto"/>
        <w:left w:val="none" w:sz="0" w:space="0" w:color="auto"/>
        <w:bottom w:val="none" w:sz="0" w:space="0" w:color="auto"/>
        <w:right w:val="none" w:sz="0" w:space="0" w:color="auto"/>
      </w:divBdr>
    </w:div>
    <w:div w:id="1335648442">
      <w:bodyDiv w:val="1"/>
      <w:marLeft w:val="0"/>
      <w:marRight w:val="0"/>
      <w:marTop w:val="0"/>
      <w:marBottom w:val="0"/>
      <w:divBdr>
        <w:top w:val="none" w:sz="0" w:space="0" w:color="auto"/>
        <w:left w:val="none" w:sz="0" w:space="0" w:color="auto"/>
        <w:bottom w:val="none" w:sz="0" w:space="0" w:color="auto"/>
        <w:right w:val="none" w:sz="0" w:space="0" w:color="auto"/>
      </w:divBdr>
    </w:div>
    <w:div w:id="1350527496">
      <w:bodyDiv w:val="1"/>
      <w:marLeft w:val="0"/>
      <w:marRight w:val="0"/>
      <w:marTop w:val="0"/>
      <w:marBottom w:val="0"/>
      <w:divBdr>
        <w:top w:val="none" w:sz="0" w:space="0" w:color="auto"/>
        <w:left w:val="none" w:sz="0" w:space="0" w:color="auto"/>
        <w:bottom w:val="none" w:sz="0" w:space="0" w:color="auto"/>
        <w:right w:val="none" w:sz="0" w:space="0" w:color="auto"/>
      </w:divBdr>
    </w:div>
    <w:div w:id="1402218683">
      <w:bodyDiv w:val="1"/>
      <w:marLeft w:val="0"/>
      <w:marRight w:val="0"/>
      <w:marTop w:val="0"/>
      <w:marBottom w:val="0"/>
      <w:divBdr>
        <w:top w:val="none" w:sz="0" w:space="0" w:color="auto"/>
        <w:left w:val="none" w:sz="0" w:space="0" w:color="auto"/>
        <w:bottom w:val="none" w:sz="0" w:space="0" w:color="auto"/>
        <w:right w:val="none" w:sz="0" w:space="0" w:color="auto"/>
      </w:divBdr>
    </w:div>
    <w:div w:id="1403334724">
      <w:bodyDiv w:val="1"/>
      <w:marLeft w:val="0"/>
      <w:marRight w:val="0"/>
      <w:marTop w:val="0"/>
      <w:marBottom w:val="0"/>
      <w:divBdr>
        <w:top w:val="none" w:sz="0" w:space="0" w:color="auto"/>
        <w:left w:val="none" w:sz="0" w:space="0" w:color="auto"/>
        <w:bottom w:val="none" w:sz="0" w:space="0" w:color="auto"/>
        <w:right w:val="none" w:sz="0" w:space="0" w:color="auto"/>
      </w:divBdr>
    </w:div>
    <w:div w:id="1452823503">
      <w:bodyDiv w:val="1"/>
      <w:marLeft w:val="0"/>
      <w:marRight w:val="0"/>
      <w:marTop w:val="0"/>
      <w:marBottom w:val="0"/>
      <w:divBdr>
        <w:top w:val="none" w:sz="0" w:space="0" w:color="auto"/>
        <w:left w:val="none" w:sz="0" w:space="0" w:color="auto"/>
        <w:bottom w:val="none" w:sz="0" w:space="0" w:color="auto"/>
        <w:right w:val="none" w:sz="0" w:space="0" w:color="auto"/>
      </w:divBdr>
    </w:div>
    <w:div w:id="1513377194">
      <w:bodyDiv w:val="1"/>
      <w:marLeft w:val="0"/>
      <w:marRight w:val="0"/>
      <w:marTop w:val="0"/>
      <w:marBottom w:val="0"/>
      <w:divBdr>
        <w:top w:val="none" w:sz="0" w:space="0" w:color="auto"/>
        <w:left w:val="none" w:sz="0" w:space="0" w:color="auto"/>
        <w:bottom w:val="none" w:sz="0" w:space="0" w:color="auto"/>
        <w:right w:val="none" w:sz="0" w:space="0" w:color="auto"/>
      </w:divBdr>
    </w:div>
    <w:div w:id="1691298844">
      <w:bodyDiv w:val="1"/>
      <w:marLeft w:val="0"/>
      <w:marRight w:val="0"/>
      <w:marTop w:val="0"/>
      <w:marBottom w:val="0"/>
      <w:divBdr>
        <w:top w:val="none" w:sz="0" w:space="0" w:color="auto"/>
        <w:left w:val="none" w:sz="0" w:space="0" w:color="auto"/>
        <w:bottom w:val="none" w:sz="0" w:space="0" w:color="auto"/>
        <w:right w:val="none" w:sz="0" w:space="0" w:color="auto"/>
      </w:divBdr>
    </w:div>
    <w:div w:id="1696734198">
      <w:bodyDiv w:val="1"/>
      <w:marLeft w:val="0"/>
      <w:marRight w:val="0"/>
      <w:marTop w:val="0"/>
      <w:marBottom w:val="0"/>
      <w:divBdr>
        <w:top w:val="none" w:sz="0" w:space="0" w:color="auto"/>
        <w:left w:val="none" w:sz="0" w:space="0" w:color="auto"/>
        <w:bottom w:val="none" w:sz="0" w:space="0" w:color="auto"/>
        <w:right w:val="none" w:sz="0" w:space="0" w:color="auto"/>
      </w:divBdr>
    </w:div>
    <w:div w:id="1755736863">
      <w:bodyDiv w:val="1"/>
      <w:marLeft w:val="0"/>
      <w:marRight w:val="0"/>
      <w:marTop w:val="0"/>
      <w:marBottom w:val="0"/>
      <w:divBdr>
        <w:top w:val="none" w:sz="0" w:space="0" w:color="auto"/>
        <w:left w:val="none" w:sz="0" w:space="0" w:color="auto"/>
        <w:bottom w:val="none" w:sz="0" w:space="0" w:color="auto"/>
        <w:right w:val="none" w:sz="0" w:space="0" w:color="auto"/>
      </w:divBdr>
    </w:div>
    <w:div w:id="1793211342">
      <w:bodyDiv w:val="1"/>
      <w:marLeft w:val="0"/>
      <w:marRight w:val="0"/>
      <w:marTop w:val="0"/>
      <w:marBottom w:val="0"/>
      <w:divBdr>
        <w:top w:val="none" w:sz="0" w:space="0" w:color="auto"/>
        <w:left w:val="none" w:sz="0" w:space="0" w:color="auto"/>
        <w:bottom w:val="none" w:sz="0" w:space="0" w:color="auto"/>
        <w:right w:val="none" w:sz="0" w:space="0" w:color="auto"/>
      </w:divBdr>
    </w:div>
    <w:div w:id="1813406494">
      <w:bodyDiv w:val="1"/>
      <w:marLeft w:val="0"/>
      <w:marRight w:val="0"/>
      <w:marTop w:val="0"/>
      <w:marBottom w:val="0"/>
      <w:divBdr>
        <w:top w:val="none" w:sz="0" w:space="0" w:color="auto"/>
        <w:left w:val="none" w:sz="0" w:space="0" w:color="auto"/>
        <w:bottom w:val="none" w:sz="0" w:space="0" w:color="auto"/>
        <w:right w:val="none" w:sz="0" w:space="0" w:color="auto"/>
      </w:divBdr>
    </w:div>
    <w:div w:id="1818180940">
      <w:bodyDiv w:val="1"/>
      <w:marLeft w:val="0"/>
      <w:marRight w:val="0"/>
      <w:marTop w:val="0"/>
      <w:marBottom w:val="0"/>
      <w:divBdr>
        <w:top w:val="none" w:sz="0" w:space="0" w:color="auto"/>
        <w:left w:val="none" w:sz="0" w:space="0" w:color="auto"/>
        <w:bottom w:val="none" w:sz="0" w:space="0" w:color="auto"/>
        <w:right w:val="none" w:sz="0" w:space="0" w:color="auto"/>
      </w:divBdr>
    </w:div>
    <w:div w:id="1844004775">
      <w:bodyDiv w:val="1"/>
      <w:marLeft w:val="0"/>
      <w:marRight w:val="0"/>
      <w:marTop w:val="0"/>
      <w:marBottom w:val="0"/>
      <w:divBdr>
        <w:top w:val="none" w:sz="0" w:space="0" w:color="auto"/>
        <w:left w:val="none" w:sz="0" w:space="0" w:color="auto"/>
        <w:bottom w:val="none" w:sz="0" w:space="0" w:color="auto"/>
        <w:right w:val="none" w:sz="0" w:space="0" w:color="auto"/>
      </w:divBdr>
    </w:div>
    <w:div w:id="1901481639">
      <w:bodyDiv w:val="1"/>
      <w:marLeft w:val="0"/>
      <w:marRight w:val="0"/>
      <w:marTop w:val="0"/>
      <w:marBottom w:val="0"/>
      <w:divBdr>
        <w:top w:val="none" w:sz="0" w:space="0" w:color="auto"/>
        <w:left w:val="none" w:sz="0" w:space="0" w:color="auto"/>
        <w:bottom w:val="none" w:sz="0" w:space="0" w:color="auto"/>
        <w:right w:val="none" w:sz="0" w:space="0" w:color="auto"/>
      </w:divBdr>
    </w:div>
    <w:div w:id="1915629587">
      <w:bodyDiv w:val="1"/>
      <w:marLeft w:val="0"/>
      <w:marRight w:val="0"/>
      <w:marTop w:val="0"/>
      <w:marBottom w:val="0"/>
      <w:divBdr>
        <w:top w:val="none" w:sz="0" w:space="0" w:color="auto"/>
        <w:left w:val="none" w:sz="0" w:space="0" w:color="auto"/>
        <w:bottom w:val="none" w:sz="0" w:space="0" w:color="auto"/>
        <w:right w:val="none" w:sz="0" w:space="0" w:color="auto"/>
      </w:divBdr>
    </w:div>
    <w:div w:id="1980530650">
      <w:bodyDiv w:val="1"/>
      <w:marLeft w:val="0"/>
      <w:marRight w:val="0"/>
      <w:marTop w:val="0"/>
      <w:marBottom w:val="0"/>
      <w:divBdr>
        <w:top w:val="none" w:sz="0" w:space="0" w:color="auto"/>
        <w:left w:val="none" w:sz="0" w:space="0" w:color="auto"/>
        <w:bottom w:val="none" w:sz="0" w:space="0" w:color="auto"/>
        <w:right w:val="none" w:sz="0" w:space="0" w:color="auto"/>
      </w:divBdr>
    </w:div>
    <w:div w:id="2004042127">
      <w:bodyDiv w:val="1"/>
      <w:marLeft w:val="0"/>
      <w:marRight w:val="0"/>
      <w:marTop w:val="0"/>
      <w:marBottom w:val="0"/>
      <w:divBdr>
        <w:top w:val="none" w:sz="0" w:space="0" w:color="auto"/>
        <w:left w:val="none" w:sz="0" w:space="0" w:color="auto"/>
        <w:bottom w:val="none" w:sz="0" w:space="0" w:color="auto"/>
        <w:right w:val="none" w:sz="0" w:space="0" w:color="auto"/>
      </w:divBdr>
    </w:div>
    <w:div w:id="2004772709">
      <w:bodyDiv w:val="1"/>
      <w:marLeft w:val="0"/>
      <w:marRight w:val="0"/>
      <w:marTop w:val="0"/>
      <w:marBottom w:val="0"/>
      <w:divBdr>
        <w:top w:val="none" w:sz="0" w:space="0" w:color="auto"/>
        <w:left w:val="none" w:sz="0" w:space="0" w:color="auto"/>
        <w:bottom w:val="none" w:sz="0" w:space="0" w:color="auto"/>
        <w:right w:val="none" w:sz="0" w:space="0" w:color="auto"/>
      </w:divBdr>
    </w:div>
    <w:div w:id="2015108927">
      <w:bodyDiv w:val="1"/>
      <w:marLeft w:val="0"/>
      <w:marRight w:val="0"/>
      <w:marTop w:val="0"/>
      <w:marBottom w:val="0"/>
      <w:divBdr>
        <w:top w:val="none" w:sz="0" w:space="0" w:color="auto"/>
        <w:left w:val="none" w:sz="0" w:space="0" w:color="auto"/>
        <w:bottom w:val="none" w:sz="0" w:space="0" w:color="auto"/>
        <w:right w:val="none" w:sz="0" w:space="0" w:color="auto"/>
      </w:divBdr>
    </w:div>
    <w:div w:id="2017029388">
      <w:bodyDiv w:val="1"/>
      <w:marLeft w:val="0"/>
      <w:marRight w:val="0"/>
      <w:marTop w:val="0"/>
      <w:marBottom w:val="0"/>
      <w:divBdr>
        <w:top w:val="none" w:sz="0" w:space="0" w:color="auto"/>
        <w:left w:val="none" w:sz="0" w:space="0" w:color="auto"/>
        <w:bottom w:val="none" w:sz="0" w:space="0" w:color="auto"/>
        <w:right w:val="none" w:sz="0" w:space="0" w:color="auto"/>
      </w:divBdr>
    </w:div>
    <w:div w:id="2067487784">
      <w:bodyDiv w:val="1"/>
      <w:marLeft w:val="0"/>
      <w:marRight w:val="0"/>
      <w:marTop w:val="0"/>
      <w:marBottom w:val="0"/>
      <w:divBdr>
        <w:top w:val="none" w:sz="0" w:space="0" w:color="auto"/>
        <w:left w:val="none" w:sz="0" w:space="0" w:color="auto"/>
        <w:bottom w:val="none" w:sz="0" w:space="0" w:color="auto"/>
        <w:right w:val="none" w:sz="0" w:space="0" w:color="auto"/>
      </w:divBdr>
    </w:div>
    <w:div w:id="2106530301">
      <w:bodyDiv w:val="1"/>
      <w:marLeft w:val="0"/>
      <w:marRight w:val="0"/>
      <w:marTop w:val="0"/>
      <w:marBottom w:val="0"/>
      <w:divBdr>
        <w:top w:val="none" w:sz="0" w:space="0" w:color="auto"/>
        <w:left w:val="none" w:sz="0" w:space="0" w:color="auto"/>
        <w:bottom w:val="none" w:sz="0" w:space="0" w:color="auto"/>
        <w:right w:val="none" w:sz="0" w:space="0" w:color="auto"/>
      </w:divBdr>
    </w:div>
    <w:div w:id="2119596809">
      <w:bodyDiv w:val="1"/>
      <w:marLeft w:val="0"/>
      <w:marRight w:val="0"/>
      <w:marTop w:val="0"/>
      <w:marBottom w:val="0"/>
      <w:divBdr>
        <w:top w:val="none" w:sz="0" w:space="0" w:color="auto"/>
        <w:left w:val="none" w:sz="0" w:space="0" w:color="auto"/>
        <w:bottom w:val="none" w:sz="0" w:space="0" w:color="auto"/>
        <w:right w:val="none" w:sz="0" w:space="0" w:color="auto"/>
      </w:divBdr>
    </w:div>
    <w:div w:id="2130320311">
      <w:bodyDiv w:val="1"/>
      <w:marLeft w:val="0"/>
      <w:marRight w:val="0"/>
      <w:marTop w:val="0"/>
      <w:marBottom w:val="0"/>
      <w:divBdr>
        <w:top w:val="none" w:sz="0" w:space="0" w:color="auto"/>
        <w:left w:val="none" w:sz="0" w:space="0" w:color="auto"/>
        <w:bottom w:val="none" w:sz="0" w:space="0" w:color="auto"/>
        <w:right w:val="none" w:sz="0" w:space="0" w:color="auto"/>
      </w:divBdr>
    </w:div>
    <w:div w:id="21458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AA874-134F-4EAF-BD40-AF51866E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11655</TotalTime>
  <Pages>30</Pages>
  <Words>27147</Words>
  <Characters>156910</Characters>
  <Application>Microsoft Office Word</Application>
  <DocSecurity>0</DocSecurity>
  <Lines>3649</Lines>
  <Paragraphs>2217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Istiak Jahan</dc:creator>
  <cp:keywords/>
  <dc:description/>
  <cp:lastModifiedBy>Naveen Eluru</cp:lastModifiedBy>
  <cp:revision>2113</cp:revision>
  <cp:lastPrinted>2024-07-31T17:03:00Z</cp:lastPrinted>
  <dcterms:created xsi:type="dcterms:W3CDTF">2024-07-15T02:44:00Z</dcterms:created>
  <dcterms:modified xsi:type="dcterms:W3CDTF">2025-03-18T15:03:00Z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894b767a-f2b0-368d-ae76-6ef24f660ceb</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http://www.zotero.org/styles/transportation-research-record</vt:lpwstr>
  </property>
  <property fmtid="{D5CDD505-2E9C-101B-9397-08002B2CF9AE}" pid="22" name="Mendeley Recent Style Name 8_1">
    <vt:lpwstr>Transportation Research Record: Journal of the Transportation Research Board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